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1EE97">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sz w:val="42"/>
          <w:szCs w:val="42"/>
        </w:rPr>
      </w:pPr>
      <w:r>
        <w:rPr>
          <w:rFonts w:hint="eastAsia" w:ascii="方正小标宋_GBK" w:hAnsi="方正小标宋_GBK" w:eastAsia="方正小标宋_GBK" w:cs="方正小标宋_GBK"/>
          <w:sz w:val="42"/>
          <w:szCs w:val="42"/>
        </w:rPr>
        <w:t>曲靖市生态环境局宣威分局关于云南交豪煤业有限公司10万吨磷矿石仓储中心建设项目</w:t>
      </w:r>
    </w:p>
    <w:p w14:paraId="539E2BE2">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default" w:ascii="Times New Roman" w:hAnsi="Times New Roman" w:eastAsia="方正仿宋_GBK" w:cs="Times New Roman"/>
          <w:sz w:val="32"/>
          <w:szCs w:val="32"/>
        </w:rPr>
      </w:pPr>
      <w:r>
        <w:rPr>
          <w:rFonts w:hint="eastAsia" w:ascii="方正小标宋_GBK" w:hAnsi="方正小标宋_GBK" w:eastAsia="方正小标宋_GBK" w:cs="方正小标宋_GBK"/>
          <w:sz w:val="42"/>
          <w:szCs w:val="42"/>
        </w:rPr>
        <w:t>环境影响评价文件拟进行审查公示</w:t>
      </w:r>
    </w:p>
    <w:p w14:paraId="357AB8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14:paraId="1AD93F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建设项目环境影响评价审批程序及信息公开要求，曲靖市生态环境局宣威分局将对云南交豪煤业有限公司10万吨磷矿石仓储中心建设项目环境影响报告表文件进行审查，现对项目基本情况予以公示，公示期为2025年1月14日—2025年1月20日（5个工作日）。</w:t>
      </w:r>
    </w:p>
    <w:p w14:paraId="60AB84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听证权利告知：依据《中华人民共和国行政许可法》，自公示起五日内申请人、利害关系人可对以下拟作出的建设项目环境影响评价决定要求听证。</w:t>
      </w:r>
    </w:p>
    <w:p w14:paraId="2603FA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联系电话：0874-6061568，传真：0874-6061568</w:t>
      </w:r>
    </w:p>
    <w:p w14:paraId="2496E1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通讯地址：宣威市政务服务中心曲靖市生态环境局宣威分局窗口（宣威市向阳西街政务服务中心二楼）</w:t>
      </w:r>
    </w:p>
    <w:p w14:paraId="284F87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邮    编：655400</w:t>
      </w:r>
    </w:p>
    <w:p w14:paraId="638C1883">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jc w:val="left"/>
        <w:textAlignment w:val="auto"/>
        <w:rPr>
          <w:rFonts w:ascii="Times New Roman" w:hAnsi="Times New Roman" w:eastAsia="宋体" w:cs="Times New Roman"/>
          <w:color w:val="000000"/>
          <w:kern w:val="0"/>
          <w:sz w:val="32"/>
          <w:szCs w:val="32"/>
        </w:rPr>
      </w:pPr>
    </w:p>
    <w:tbl>
      <w:tblPr>
        <w:tblStyle w:val="14"/>
        <w:tblW w:w="9124" w:type="dxa"/>
        <w:jc w:val="center"/>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Layout w:type="autofit"/>
        <w:tblCellMar>
          <w:top w:w="0" w:type="dxa"/>
          <w:left w:w="0" w:type="dxa"/>
          <w:bottom w:w="0" w:type="dxa"/>
          <w:right w:w="0" w:type="dxa"/>
        </w:tblCellMar>
      </w:tblPr>
      <w:tblGrid>
        <w:gridCol w:w="1663"/>
        <w:gridCol w:w="1723"/>
        <w:gridCol w:w="1466"/>
        <w:gridCol w:w="1227"/>
        <w:gridCol w:w="1467"/>
        <w:gridCol w:w="1578"/>
      </w:tblGrid>
      <w:tr w14:paraId="4BD96DFA">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571" w:hRule="atLeast"/>
          <w:jc w:val="center"/>
        </w:trPr>
        <w:tc>
          <w:tcPr>
            <w:tcW w:w="1663" w:type="dxa"/>
            <w:tcBorders>
              <w:top w:val="single" w:color="auto" w:sz="8" w:space="0"/>
              <w:left w:val="single" w:color="auto" w:sz="8" w:space="0"/>
              <w:bottom w:val="single" w:color="auto" w:sz="8" w:space="0"/>
              <w:right w:val="single" w:color="auto" w:sz="8" w:space="0"/>
            </w:tcBorders>
            <w:shd w:val="clear" w:color="auto" w:fill="C0C0C0"/>
            <w:tcMar>
              <w:top w:w="0" w:type="dxa"/>
              <w:left w:w="108" w:type="dxa"/>
              <w:bottom w:w="0" w:type="dxa"/>
              <w:right w:w="108" w:type="dxa"/>
            </w:tcMar>
            <w:vAlign w:val="center"/>
          </w:tcPr>
          <w:p w14:paraId="111B7827">
            <w:pPr>
              <w:widowControl/>
              <w:spacing w:before="100" w:beforeAutospacing="1" w:after="100" w:afterAutospacing="1" w:line="280" w:lineRule="atLeast"/>
              <w:ind w:left="120" w:right="120"/>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w:t>
            </w:r>
            <w:r>
              <w:rPr>
                <w:rFonts w:ascii="Times New Roman" w:hAnsi="Times New Roman" w:eastAsia="方正仿宋_GBK" w:cs="Times New Roman"/>
                <w:color w:val="000000"/>
                <w:kern w:val="0"/>
                <w:sz w:val="24"/>
                <w:szCs w:val="24"/>
              </w:rPr>
              <w:t>项目名称</w:t>
            </w:r>
          </w:p>
        </w:tc>
        <w:tc>
          <w:tcPr>
            <w:tcW w:w="172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3CE0DA5">
            <w:pPr>
              <w:widowControl/>
              <w:spacing w:before="100" w:beforeAutospacing="1" w:after="100" w:afterAutospacing="1" w:line="280" w:lineRule="atLeast"/>
              <w:ind w:left="120" w:right="120"/>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云南交豪煤业有限公司10万吨磷矿石仓储中心建设项目</w:t>
            </w:r>
          </w:p>
        </w:tc>
        <w:tc>
          <w:tcPr>
            <w:tcW w:w="1466" w:type="dxa"/>
            <w:tcBorders>
              <w:top w:val="single" w:color="auto" w:sz="8" w:space="0"/>
              <w:left w:val="nil"/>
              <w:bottom w:val="single" w:color="auto" w:sz="8" w:space="0"/>
              <w:right w:val="single" w:color="auto" w:sz="8" w:space="0"/>
            </w:tcBorders>
            <w:shd w:val="clear" w:color="auto" w:fill="C0C0C0"/>
            <w:tcMar>
              <w:top w:w="0" w:type="dxa"/>
              <w:left w:w="108" w:type="dxa"/>
              <w:bottom w:w="0" w:type="dxa"/>
              <w:right w:w="108" w:type="dxa"/>
            </w:tcMar>
            <w:vAlign w:val="center"/>
          </w:tcPr>
          <w:p w14:paraId="13461CCD">
            <w:pPr>
              <w:widowControl/>
              <w:spacing w:before="100" w:beforeAutospacing="1" w:after="100" w:afterAutospacing="1" w:line="280" w:lineRule="atLeast"/>
              <w:ind w:left="120" w:right="120"/>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建设地点</w:t>
            </w:r>
          </w:p>
        </w:tc>
        <w:tc>
          <w:tcPr>
            <w:tcW w:w="12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2804767">
            <w:pPr>
              <w:widowControl/>
              <w:spacing w:before="100" w:beforeAutospacing="1" w:after="100" w:afterAutospacing="1" w:line="280" w:lineRule="atLeast"/>
              <w:ind w:left="120" w:right="120"/>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宣威市羊场镇基场下村大脑壳地</w:t>
            </w:r>
          </w:p>
        </w:tc>
        <w:tc>
          <w:tcPr>
            <w:tcW w:w="1467" w:type="dxa"/>
            <w:tcBorders>
              <w:top w:val="single" w:color="auto" w:sz="8" w:space="0"/>
              <w:left w:val="nil"/>
              <w:bottom w:val="single" w:color="auto" w:sz="8" w:space="0"/>
              <w:right w:val="single" w:color="auto" w:sz="8" w:space="0"/>
            </w:tcBorders>
            <w:shd w:val="clear" w:color="auto" w:fill="C0C0C0"/>
            <w:tcMar>
              <w:top w:w="0" w:type="dxa"/>
              <w:left w:w="108" w:type="dxa"/>
              <w:bottom w:w="0" w:type="dxa"/>
              <w:right w:w="108" w:type="dxa"/>
            </w:tcMar>
            <w:vAlign w:val="center"/>
          </w:tcPr>
          <w:p w14:paraId="48A802B5">
            <w:pPr>
              <w:widowControl/>
              <w:spacing w:before="100" w:beforeAutospacing="1" w:after="100" w:afterAutospacing="1" w:line="280" w:lineRule="atLeast"/>
              <w:ind w:left="120" w:right="120"/>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建设单位</w:t>
            </w:r>
          </w:p>
        </w:tc>
        <w:tc>
          <w:tcPr>
            <w:tcW w:w="157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BD7AE38">
            <w:pPr>
              <w:widowControl/>
              <w:spacing w:before="100" w:beforeAutospacing="1" w:after="100" w:afterAutospacing="1" w:line="280" w:lineRule="atLeast"/>
              <w:ind w:left="120" w:right="120"/>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云南交豪煤业有限公司</w:t>
            </w:r>
          </w:p>
        </w:tc>
      </w:tr>
      <w:tr w14:paraId="0B3BC051">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762" w:hRule="atLeast"/>
          <w:jc w:val="center"/>
        </w:trPr>
        <w:tc>
          <w:tcPr>
            <w:tcW w:w="1663" w:type="dxa"/>
            <w:tcBorders>
              <w:top w:val="nil"/>
              <w:left w:val="single" w:color="auto" w:sz="8" w:space="0"/>
              <w:bottom w:val="single" w:color="auto" w:sz="8" w:space="0"/>
              <w:right w:val="single" w:color="auto" w:sz="8" w:space="0"/>
            </w:tcBorders>
            <w:shd w:val="clear" w:color="auto" w:fill="C0C0C0"/>
            <w:tcMar>
              <w:top w:w="0" w:type="dxa"/>
              <w:left w:w="108" w:type="dxa"/>
              <w:bottom w:w="0" w:type="dxa"/>
              <w:right w:w="108" w:type="dxa"/>
            </w:tcMar>
            <w:vAlign w:val="center"/>
          </w:tcPr>
          <w:p w14:paraId="3034778D">
            <w:pPr>
              <w:widowControl/>
              <w:spacing w:before="100" w:beforeAutospacing="1" w:after="100" w:afterAutospacing="1" w:line="280" w:lineRule="atLeast"/>
              <w:ind w:left="120" w:right="120"/>
              <w:jc w:val="left"/>
              <w:rPr>
                <w:rFonts w:ascii="Times New Roman" w:hAnsi="Times New Roman" w:eastAsia="宋体" w:cs="Times New Roman"/>
                <w:color w:val="000000"/>
                <w:kern w:val="0"/>
                <w:sz w:val="24"/>
                <w:szCs w:val="24"/>
              </w:rPr>
            </w:pPr>
            <w:r>
              <w:rPr>
                <w:rFonts w:ascii="Times New Roman" w:hAnsi="Times New Roman" w:eastAsia="方正仿宋_GBK" w:cs="Times New Roman"/>
                <w:color w:val="000000"/>
                <w:kern w:val="0"/>
                <w:sz w:val="24"/>
                <w:szCs w:val="24"/>
              </w:rPr>
              <w:t>环评文件类型</w:t>
            </w:r>
          </w:p>
        </w:tc>
        <w:tc>
          <w:tcPr>
            <w:tcW w:w="1723" w:type="dxa"/>
            <w:tcBorders>
              <w:top w:val="nil"/>
              <w:left w:val="nil"/>
              <w:bottom w:val="single" w:color="auto" w:sz="8" w:space="0"/>
              <w:right w:val="single" w:color="auto" w:sz="8" w:space="0"/>
            </w:tcBorders>
            <w:tcMar>
              <w:top w:w="0" w:type="dxa"/>
              <w:left w:w="108" w:type="dxa"/>
              <w:bottom w:w="0" w:type="dxa"/>
              <w:right w:w="108" w:type="dxa"/>
            </w:tcMar>
            <w:vAlign w:val="center"/>
          </w:tcPr>
          <w:p w14:paraId="13C012E5">
            <w:pPr>
              <w:widowControl/>
              <w:spacing w:before="100" w:beforeAutospacing="1" w:after="100" w:afterAutospacing="1" w:line="280" w:lineRule="atLeast"/>
              <w:ind w:left="120" w:right="120"/>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报告表</w:t>
            </w:r>
          </w:p>
        </w:tc>
        <w:tc>
          <w:tcPr>
            <w:tcW w:w="1466" w:type="dxa"/>
            <w:tcBorders>
              <w:top w:val="nil"/>
              <w:left w:val="nil"/>
              <w:bottom w:val="single" w:color="auto" w:sz="8" w:space="0"/>
              <w:right w:val="single" w:color="auto" w:sz="8" w:space="0"/>
            </w:tcBorders>
            <w:shd w:val="clear" w:color="auto" w:fill="C0C0C0"/>
            <w:tcMar>
              <w:top w:w="0" w:type="dxa"/>
              <w:left w:w="108" w:type="dxa"/>
              <w:bottom w:w="0" w:type="dxa"/>
              <w:right w:w="108" w:type="dxa"/>
            </w:tcMar>
            <w:vAlign w:val="center"/>
          </w:tcPr>
          <w:p w14:paraId="7AC35032">
            <w:pPr>
              <w:widowControl/>
              <w:spacing w:before="100" w:beforeAutospacing="1" w:after="100" w:afterAutospacing="1" w:line="280" w:lineRule="atLeast"/>
              <w:ind w:left="120" w:right="120"/>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环境影响评价机构</w:t>
            </w:r>
          </w:p>
        </w:tc>
        <w:tc>
          <w:tcPr>
            <w:tcW w:w="4272" w:type="dxa"/>
            <w:gridSpan w:val="3"/>
            <w:tcBorders>
              <w:top w:val="nil"/>
              <w:left w:val="nil"/>
              <w:bottom w:val="single" w:color="auto" w:sz="8" w:space="0"/>
              <w:right w:val="single" w:color="000000" w:sz="8" w:space="0"/>
            </w:tcBorders>
            <w:tcMar>
              <w:top w:w="0" w:type="dxa"/>
              <w:left w:w="108" w:type="dxa"/>
              <w:bottom w:w="0" w:type="dxa"/>
              <w:right w:w="108" w:type="dxa"/>
            </w:tcMar>
            <w:vAlign w:val="center"/>
          </w:tcPr>
          <w:p w14:paraId="30992E70">
            <w:pPr>
              <w:widowControl/>
              <w:spacing w:before="100" w:beforeAutospacing="1" w:after="100" w:afterAutospacing="1" w:line="280" w:lineRule="atLeast"/>
              <w:ind w:left="120" w:right="120"/>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云南嘉衍环境工程有限公司</w:t>
            </w:r>
          </w:p>
        </w:tc>
      </w:tr>
      <w:tr w14:paraId="3DE25BCC">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461" w:hRule="atLeast"/>
          <w:jc w:val="center"/>
        </w:trPr>
        <w:tc>
          <w:tcPr>
            <w:tcW w:w="9124" w:type="dxa"/>
            <w:gridSpan w:val="6"/>
            <w:tcBorders>
              <w:top w:val="nil"/>
              <w:left w:val="single" w:color="auto" w:sz="8" w:space="0"/>
              <w:bottom w:val="single" w:color="auto" w:sz="8" w:space="0"/>
              <w:right w:val="single" w:color="auto" w:sz="8" w:space="0"/>
            </w:tcBorders>
            <w:shd w:val="clear" w:color="auto" w:fill="C0C0C0"/>
            <w:tcMar>
              <w:top w:w="0" w:type="dxa"/>
              <w:left w:w="108" w:type="dxa"/>
              <w:bottom w:w="0" w:type="dxa"/>
              <w:right w:w="108" w:type="dxa"/>
            </w:tcMar>
            <w:vAlign w:val="center"/>
          </w:tcPr>
          <w:p w14:paraId="45C0DC3B">
            <w:pPr>
              <w:widowControl/>
              <w:spacing w:before="100" w:beforeAutospacing="1" w:after="100" w:afterAutospacing="1" w:line="280" w:lineRule="atLeast"/>
              <w:ind w:left="120" w:right="120"/>
              <w:jc w:val="center"/>
              <w:rPr>
                <w:rFonts w:ascii="Times New Roman" w:hAnsi="Times New Roman" w:eastAsia="宋体" w:cs="Times New Roman"/>
                <w:color w:val="000000"/>
                <w:kern w:val="0"/>
                <w:sz w:val="24"/>
                <w:szCs w:val="24"/>
              </w:rPr>
            </w:pPr>
            <w:r>
              <w:rPr>
                <w:rFonts w:ascii="Times New Roman" w:hAnsi="Times New Roman" w:eastAsia="方正仿宋_GBK" w:cs="Times New Roman"/>
                <w:color w:val="000000"/>
                <w:kern w:val="0"/>
                <w:sz w:val="24"/>
                <w:szCs w:val="24"/>
              </w:rPr>
              <w:t>项目概况</w:t>
            </w:r>
          </w:p>
        </w:tc>
      </w:tr>
      <w:tr w14:paraId="62EF8E65">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606" w:hRule="atLeast"/>
          <w:jc w:val="center"/>
        </w:trPr>
        <w:tc>
          <w:tcPr>
            <w:tcW w:w="9124"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929DA27">
            <w:pPr>
              <w:widowControl/>
              <w:spacing w:line="360" w:lineRule="auto"/>
              <w:ind w:firstLine="480" w:firstLineChars="200"/>
              <w:jc w:val="left"/>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项目名称：10万吨磷矿石仓储中心建设项目</w:t>
            </w:r>
          </w:p>
          <w:p w14:paraId="10AC5F3C">
            <w:pPr>
              <w:widowControl/>
              <w:spacing w:line="360" w:lineRule="auto"/>
              <w:ind w:firstLine="480" w:firstLineChars="200"/>
              <w:jc w:val="left"/>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建设单位名称：云南交豪煤业有限公司</w:t>
            </w:r>
          </w:p>
          <w:p w14:paraId="133F1B6A">
            <w:pPr>
              <w:widowControl/>
              <w:spacing w:line="360" w:lineRule="auto"/>
              <w:ind w:firstLine="480" w:firstLineChars="200"/>
              <w:jc w:val="left"/>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项目建设地点：云南省曲靖市宣威市羊场镇基场下村大脑壳地</w:t>
            </w:r>
          </w:p>
          <w:p w14:paraId="6CC5DB26">
            <w:pPr>
              <w:widowControl/>
              <w:spacing w:line="360" w:lineRule="auto"/>
              <w:ind w:firstLine="480" w:firstLineChars="200"/>
              <w:jc w:val="left"/>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项目建设性质：新建</w:t>
            </w:r>
          </w:p>
          <w:p w14:paraId="67E2CA10">
            <w:pPr>
              <w:widowControl/>
              <w:spacing w:line="360" w:lineRule="auto"/>
              <w:ind w:firstLine="480" w:firstLineChars="200"/>
              <w:jc w:val="left"/>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总占地面积：7636m</w:t>
            </w:r>
            <w:r>
              <w:rPr>
                <w:rFonts w:hint="eastAsia" w:ascii="Times New Roman" w:hAnsi="Times New Roman" w:eastAsia="宋体" w:cs="Times New Roman"/>
                <w:color w:val="000000"/>
                <w:kern w:val="0"/>
                <w:sz w:val="24"/>
                <w:szCs w:val="24"/>
                <w:vertAlign w:val="superscript"/>
              </w:rPr>
              <w:t>2</w:t>
            </w:r>
          </w:p>
          <w:p w14:paraId="6F84B747">
            <w:pPr>
              <w:widowControl/>
              <w:spacing w:line="360" w:lineRule="auto"/>
              <w:ind w:firstLine="480" w:firstLineChars="200"/>
              <w:jc w:val="left"/>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工程投资：项目总投资800万元</w:t>
            </w:r>
          </w:p>
          <w:p w14:paraId="0AFF39D0">
            <w:pPr>
              <w:widowControl/>
              <w:spacing w:line="360" w:lineRule="auto"/>
              <w:ind w:firstLine="480" w:firstLineChars="200"/>
              <w:jc w:val="left"/>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建设项目规模及主要建设内容</w:t>
            </w:r>
          </w:p>
          <w:p w14:paraId="588C30C4">
            <w:pPr>
              <w:widowControl/>
              <w:spacing w:line="360" w:lineRule="auto"/>
              <w:ind w:firstLine="480" w:firstLineChars="200"/>
              <w:jc w:val="left"/>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项目占地面积7636m</w:t>
            </w:r>
            <w:r>
              <w:rPr>
                <w:rFonts w:hint="eastAsia" w:ascii="Times New Roman" w:hAnsi="Times New Roman" w:eastAsia="宋体" w:cs="Times New Roman"/>
                <w:color w:val="000000"/>
                <w:kern w:val="0"/>
                <w:sz w:val="24"/>
                <w:szCs w:val="24"/>
                <w:vertAlign w:val="superscript"/>
              </w:rPr>
              <w:t>2</w:t>
            </w:r>
            <w:r>
              <w:rPr>
                <w:rFonts w:hint="eastAsia" w:ascii="Times New Roman" w:hAnsi="Times New Roman" w:eastAsia="宋体" w:cs="Times New Roman"/>
                <w:color w:val="000000"/>
                <w:kern w:val="0"/>
                <w:sz w:val="24"/>
                <w:szCs w:val="24"/>
              </w:rPr>
              <w:t>，项目主要建设1栋磷矿仓储，为一层彩钢瓦结构；工程组成以主体工程、辅助工程、环保工程、公用工程为主。设计磷矿石储存能力10万吨，年周转量约30万吨，配套水电路相关基础设施。</w:t>
            </w:r>
          </w:p>
        </w:tc>
      </w:tr>
      <w:tr w14:paraId="44A979AD">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448" w:hRule="atLeast"/>
          <w:jc w:val="center"/>
        </w:trPr>
        <w:tc>
          <w:tcPr>
            <w:tcW w:w="9124" w:type="dxa"/>
            <w:gridSpan w:val="6"/>
            <w:tcBorders>
              <w:top w:val="nil"/>
              <w:left w:val="single" w:color="auto" w:sz="8" w:space="0"/>
              <w:bottom w:val="single" w:color="auto" w:sz="8" w:space="0"/>
              <w:right w:val="single" w:color="auto" w:sz="8" w:space="0"/>
            </w:tcBorders>
            <w:shd w:val="clear" w:color="auto" w:fill="C0C0C0"/>
            <w:tcMar>
              <w:top w:w="0" w:type="dxa"/>
              <w:left w:w="108" w:type="dxa"/>
              <w:bottom w:w="0" w:type="dxa"/>
              <w:right w:w="108" w:type="dxa"/>
            </w:tcMar>
            <w:vAlign w:val="center"/>
          </w:tcPr>
          <w:p w14:paraId="05BE1B55">
            <w:pPr>
              <w:widowControl/>
              <w:spacing w:before="100" w:beforeAutospacing="1" w:after="100" w:afterAutospacing="1" w:line="280" w:lineRule="atLeast"/>
              <w:ind w:left="120" w:right="120"/>
              <w:jc w:val="center"/>
              <w:rPr>
                <w:rFonts w:ascii="Times New Roman" w:hAnsi="Times New Roman" w:eastAsia="宋体" w:cs="Times New Roman"/>
                <w:color w:val="000000"/>
                <w:kern w:val="0"/>
                <w:sz w:val="24"/>
                <w:szCs w:val="24"/>
              </w:rPr>
            </w:pPr>
            <w:r>
              <w:rPr>
                <w:rFonts w:ascii="Times New Roman" w:hAnsi="Times New Roman" w:eastAsia="方正仿宋_GBK" w:cs="Times New Roman"/>
                <w:color w:val="000000"/>
                <w:kern w:val="0"/>
                <w:sz w:val="24"/>
                <w:szCs w:val="24"/>
              </w:rPr>
              <w:t>项目</w:t>
            </w:r>
            <w:r>
              <w:rPr>
                <w:rFonts w:hint="eastAsia" w:ascii="Times New Roman" w:hAnsi="Times New Roman" w:eastAsia="方正仿宋_GBK" w:cs="Times New Roman"/>
                <w:color w:val="000000"/>
                <w:kern w:val="0"/>
                <w:sz w:val="24"/>
                <w:szCs w:val="24"/>
              </w:rPr>
              <w:t>主要环境影响和保护措施</w:t>
            </w:r>
          </w:p>
        </w:tc>
      </w:tr>
      <w:tr w14:paraId="046BDE51">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535" w:hRule="atLeast"/>
          <w:jc w:val="center"/>
        </w:trPr>
        <w:tc>
          <w:tcPr>
            <w:tcW w:w="9124"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0C9661D">
            <w:pPr>
              <w:widowControl/>
              <w:spacing w:before="100" w:beforeAutospacing="1" w:after="100" w:afterAutospacing="1" w:line="360" w:lineRule="atLeast"/>
              <w:ind w:left="120" w:right="120" w:firstLine="480"/>
              <w:jc w:val="left"/>
              <w:rPr>
                <w:rFonts w:ascii="Times New Roman" w:hAnsi="Times New Roman" w:eastAsia="宋体" w:cs="Times New Roman"/>
                <w:b/>
                <w:color w:val="000000"/>
                <w:kern w:val="0"/>
                <w:sz w:val="24"/>
                <w:szCs w:val="24"/>
              </w:rPr>
            </w:pPr>
            <w:r>
              <w:rPr>
                <w:rFonts w:ascii="Times New Roman" w:hAnsi="Times New Roman" w:eastAsia="宋体" w:cs="Times New Roman"/>
                <w:b/>
                <w:color w:val="000000"/>
                <w:kern w:val="0"/>
                <w:sz w:val="24"/>
                <w:szCs w:val="24"/>
              </w:rPr>
              <w:t>施工期</w:t>
            </w:r>
            <w:r>
              <w:rPr>
                <w:rFonts w:hint="eastAsia" w:ascii="Times New Roman" w:hAnsi="Times New Roman" w:eastAsia="宋体" w:cs="Times New Roman"/>
                <w:b/>
                <w:color w:val="000000"/>
                <w:kern w:val="0"/>
                <w:sz w:val="24"/>
                <w:szCs w:val="24"/>
              </w:rPr>
              <w:t>主要环境影响和保护措施</w:t>
            </w:r>
            <w:r>
              <w:rPr>
                <w:rFonts w:ascii="Times New Roman" w:hAnsi="Times New Roman" w:eastAsia="宋体" w:cs="Times New Roman"/>
                <w:b/>
                <w:color w:val="000000"/>
                <w:kern w:val="0"/>
                <w:sz w:val="24"/>
                <w:szCs w:val="24"/>
              </w:rPr>
              <w:t>：</w:t>
            </w:r>
          </w:p>
          <w:p w14:paraId="56773E04">
            <w:pPr>
              <w:adjustRightInd w:val="0"/>
              <w:snapToGrid w:val="0"/>
              <w:spacing w:line="360" w:lineRule="auto"/>
              <w:ind w:firstLine="482" w:firstLineChars="200"/>
              <w:jc w:val="left"/>
              <w:rPr>
                <w:rFonts w:ascii="Times New Roman" w:hAnsi="Times New Roman" w:cs="Times New Roman"/>
                <w:sz w:val="24"/>
                <w:szCs w:val="24"/>
              </w:rPr>
            </w:pPr>
            <w:r>
              <w:rPr>
                <w:rFonts w:ascii="Times New Roman" w:hAnsi="Times New Roman" w:eastAsia="宋体" w:cs="Times New Roman"/>
                <w:b/>
                <w:color w:val="000000"/>
                <w:kern w:val="0"/>
                <w:sz w:val="24"/>
                <w:szCs w:val="24"/>
              </w:rPr>
              <w:t xml:space="preserve">一、废水  </w:t>
            </w:r>
            <w:r>
              <w:rPr>
                <w:rFonts w:hint="eastAsia" w:ascii="Times New Roman" w:hAnsi="Times New Roman" w:eastAsia="宋体" w:cs="Times New Roman"/>
                <w:color w:val="000000"/>
                <w:kern w:val="0"/>
                <w:sz w:val="24"/>
                <w:szCs w:val="24"/>
              </w:rPr>
              <w:t>施工中产生的废水主要是工程废水及雨季暴雨初期地表径流。施工期应采取如下措施：项目区设置临时沉淀池和临时截洪沟，将施工废水收集、初步沉淀后回用于施工用水、施工场地洒水；降雨时，应用篷布遮盖施工物料堆场等设施，从而减少暴雨径流的泥沙含量，及时清扫场地减少地面浮土量；规范砂石堆放，加盖篷布。施工期生活污水依托项目区旁的收集措施，不外排。场地初期降雨冲刷水的主要污染物为SS。通过施工场内及场界周围均设置临时截水沟，对施工场地地表径流废水进行导流，收集进入临时沉砂池，沉淀处理后尽量回用于施工过程和非雨天场地洒水抑尘。综上所述，因此本项目在采取了防治措施后，施工期废水对周边地表水环境影响较小。</w:t>
            </w:r>
          </w:p>
          <w:p w14:paraId="4F6D7237">
            <w:pPr>
              <w:spacing w:line="360" w:lineRule="auto"/>
              <w:ind w:firstLine="475" w:firstLineChars="197"/>
              <w:jc w:val="left"/>
              <w:rPr>
                <w:rFonts w:ascii="Times New Roman" w:hAnsi="Times New Roman" w:cs="Times New Roman"/>
                <w:kern w:val="0"/>
                <w:sz w:val="24"/>
              </w:rPr>
            </w:pPr>
            <w:r>
              <w:rPr>
                <w:rFonts w:ascii="Times New Roman" w:hAnsi="Times New Roman" w:eastAsia="宋体" w:cs="Times New Roman"/>
                <w:b/>
                <w:color w:val="000000"/>
                <w:kern w:val="0"/>
                <w:sz w:val="24"/>
                <w:szCs w:val="24"/>
              </w:rPr>
              <w:t>二、废气</w:t>
            </w:r>
            <w:r>
              <w:rPr>
                <w:rFonts w:ascii="Times New Roman" w:hAnsi="Times New Roman" w:eastAsia="宋体" w:cs="Times New Roman"/>
                <w:color w:val="000000"/>
                <w:kern w:val="0"/>
                <w:sz w:val="24"/>
                <w:szCs w:val="24"/>
              </w:rPr>
              <w:t xml:space="preserve">  </w:t>
            </w:r>
            <w:r>
              <w:rPr>
                <w:rFonts w:hint="eastAsia" w:ascii="Times New Roman" w:hAnsi="Times New Roman" w:eastAsia="宋体" w:cs="Times New Roman"/>
                <w:color w:val="000000"/>
                <w:kern w:val="0"/>
                <w:sz w:val="24"/>
                <w:szCs w:val="24"/>
              </w:rPr>
              <w:t>项目施工期产生的废气主要为建筑施工扬尘、运输车辆扬尘等，为控制施工期扬尘对周围环境的影响，本工程施工期应采取的治理措施如下：项目建设工地运输车辆的车厢应当确保牢固、严密，严禁在装运过程中沿途抛、洒、滴、漏。加强施工现场运输车辆管理。运输的车辆必须车身整洁，装载车厢完好，装载货物堆码整齐，不得污染道路。加强施工现场扬尘控制。严禁从建筑物高处向下倾倒建筑垃圾。在施工场地安排专用洒水车对施工场地洒水以减少粉尘量，洒水次数根据天气状况而定。非雨天每日洒水次数不少于2次；若遇到大风或干燥天气应增加洒水次数。粉状物料大风天气时应进行必要的遮盖，粉状物料装卸时禁止抛洒，禁止在工地内焚烧油毡、油漆以及其他产生有害、有毒气体和烟尘的物品。施工场地出入口5m内必须进行混凝土硬化，并设置车辆冲洗设施，运输车辆必须冲洗后出场。对运输建筑材料及建筑垃圾的车辆加盖篷布减少洒落。通过采取以上措施，可以使施工期扬尘得到有效控制，项目施工期对周边环境影响很小。</w:t>
            </w:r>
          </w:p>
          <w:p w14:paraId="4B0CD288">
            <w:pPr>
              <w:spacing w:line="360" w:lineRule="auto"/>
              <w:ind w:firstLine="482" w:firstLineChars="200"/>
              <w:jc w:val="left"/>
              <w:rPr>
                <w:rFonts w:ascii="Times New Roman" w:hAnsi="Times New Roman" w:eastAsia="宋体" w:cs="Times New Roman"/>
                <w:color w:val="000000"/>
                <w:kern w:val="0"/>
                <w:sz w:val="24"/>
                <w:szCs w:val="24"/>
              </w:rPr>
            </w:pPr>
            <w:r>
              <w:rPr>
                <w:rFonts w:ascii="Times New Roman" w:hAnsi="Times New Roman" w:eastAsia="宋体" w:cs="Times New Roman"/>
                <w:b/>
                <w:color w:val="000000"/>
                <w:kern w:val="0"/>
                <w:sz w:val="24"/>
                <w:szCs w:val="24"/>
              </w:rPr>
              <w:t>三、噪声</w:t>
            </w:r>
            <w:r>
              <w:rPr>
                <w:rFonts w:ascii="Times New Roman" w:hAnsi="Times New Roman" w:eastAsia="宋体" w:cs="Times New Roman"/>
                <w:color w:val="000000"/>
                <w:kern w:val="0"/>
                <w:sz w:val="24"/>
                <w:szCs w:val="24"/>
              </w:rPr>
              <w:t xml:space="preserve">  </w:t>
            </w:r>
            <w:r>
              <w:rPr>
                <w:rFonts w:hint="eastAsia" w:ascii="Times New Roman" w:hAnsi="Times New Roman" w:eastAsia="宋体" w:cs="Times New Roman"/>
                <w:color w:val="000000"/>
                <w:kern w:val="0"/>
                <w:sz w:val="24"/>
                <w:szCs w:val="24"/>
              </w:rPr>
              <w:t>项目施工期间产生的噪声主要是机械设备施工噪声，针对项目特点，项目施工期应采取如下防治措施：选用低噪声施工机械设备，淘汰高噪声设备和落后工艺。工程施工所用的施工机械设备应事先对其进行常规工作状态下的噪声测量，超过国家标准的机械应禁止其入场施工。施工过程中还应经常对设备进行维修保养，避免由于设备性能差导致噪声增强现象的发生。施工尽量在昼间，使用电钻、切割机等高噪声设备时关闭门窗，并禁止夜间施工作业。加强管理，按操作规范操作机械设备等过程中减少碰撞噪声，并对工人进行环保方面的教育，做到文明作业，减少作业噪声。项目所涉及建筑材料尽量采用定尺定料，减少现场切割，教育工人在施工作业时不得敲打钢管、模板等施工器具，尽量减少噪声。建设管理部门应加强对施工场地的噪声管理，施工企业应文明施工，做好区内交通组织，施工场地车辆出入现场时应低速、禁鸣，设立专人负责。建设单位应责成施工单位在施工现场张贴通告和投诉电话，建设单位在接到报案后及时和曲靖市生态环境局宣威分局取得联系，及时处理各种环境纠纷。综上所述，施工期间噪声多产生于昼间，为短期、无规律性的行为，施工期结束后，相应的噪声污染即随之消失，因此在采取本环评提出的上述措施之后，施工噪声不会对周围环境产生长期不良影响。</w:t>
            </w:r>
          </w:p>
          <w:p w14:paraId="3B0228B8">
            <w:pPr>
              <w:spacing w:line="360" w:lineRule="auto"/>
              <w:ind w:firstLine="482" w:firstLineChars="200"/>
              <w:jc w:val="left"/>
              <w:rPr>
                <w:rFonts w:ascii="Times New Roman" w:hAnsi="Times New Roman" w:eastAsia="宋体" w:cs="Times New Roman"/>
                <w:color w:val="000000"/>
                <w:kern w:val="0"/>
                <w:sz w:val="24"/>
                <w:szCs w:val="24"/>
              </w:rPr>
            </w:pPr>
            <w:r>
              <w:rPr>
                <w:rFonts w:ascii="Times New Roman" w:hAnsi="Times New Roman" w:eastAsia="宋体" w:cs="Times New Roman"/>
                <w:b/>
                <w:color w:val="000000"/>
                <w:kern w:val="0"/>
                <w:sz w:val="24"/>
                <w:szCs w:val="24"/>
              </w:rPr>
              <w:t>四、固体废物</w:t>
            </w:r>
            <w:r>
              <w:rPr>
                <w:rFonts w:ascii="Times New Roman" w:hAnsi="Times New Roman" w:eastAsia="宋体" w:cs="Times New Roman"/>
                <w:color w:val="000000"/>
                <w:kern w:val="0"/>
                <w:sz w:val="24"/>
                <w:szCs w:val="24"/>
              </w:rPr>
              <w:t xml:space="preserve">  </w:t>
            </w:r>
            <w:r>
              <w:rPr>
                <w:rFonts w:hint="eastAsia" w:ascii="Times New Roman" w:hAnsi="Times New Roman" w:eastAsia="宋体" w:cs="Times New Roman"/>
                <w:color w:val="000000"/>
                <w:kern w:val="0"/>
                <w:sz w:val="24"/>
                <w:szCs w:val="24"/>
              </w:rPr>
              <w:t>项目施工期固体废物主要为开挖土石方、建筑垃圾以及施工人员垃圾。项目区租用场地已平整，项目区开挖土石方主要为生产厂房建设时开挖的少量土石方，开挖量很小，开挖土石方用于厂区低处回填，不产生废弃土石方。施工期产生的建筑垃圾能回收部分进行回收利用，不能回收的由施工方运至政府指定地点进行堆放。施工人员产生的生活垃圾，统一收集后交由当地环卫部门处置。经采取相应措施后，施工过程产生的固体废物均可得到妥善处理、处置，对周围环境造成的影响较小。</w:t>
            </w:r>
          </w:p>
          <w:p w14:paraId="09ED266C">
            <w:pPr>
              <w:widowControl/>
              <w:spacing w:before="100" w:beforeAutospacing="1" w:after="100" w:afterAutospacing="1" w:line="360" w:lineRule="atLeast"/>
              <w:ind w:left="120" w:right="120" w:firstLine="480"/>
              <w:jc w:val="left"/>
              <w:rPr>
                <w:rFonts w:ascii="Times New Roman" w:hAnsi="Times New Roman" w:eastAsia="宋体" w:cs="Times New Roman"/>
                <w:b/>
                <w:color w:val="000000"/>
                <w:kern w:val="0"/>
                <w:sz w:val="24"/>
                <w:szCs w:val="24"/>
              </w:rPr>
            </w:pPr>
            <w:r>
              <w:rPr>
                <w:rFonts w:ascii="Times New Roman" w:hAnsi="Times New Roman" w:eastAsia="宋体" w:cs="Times New Roman"/>
                <w:b/>
                <w:color w:val="000000"/>
                <w:kern w:val="0"/>
                <w:sz w:val="24"/>
                <w:szCs w:val="24"/>
              </w:rPr>
              <w:t>运营期</w:t>
            </w:r>
            <w:r>
              <w:rPr>
                <w:rFonts w:hint="eastAsia" w:ascii="Times New Roman" w:hAnsi="Times New Roman" w:eastAsia="宋体" w:cs="Times New Roman"/>
                <w:b/>
                <w:color w:val="000000"/>
                <w:kern w:val="0"/>
                <w:sz w:val="24"/>
                <w:szCs w:val="24"/>
              </w:rPr>
              <w:t>主要环境影响和保护措施</w:t>
            </w:r>
            <w:r>
              <w:rPr>
                <w:rFonts w:ascii="Times New Roman" w:hAnsi="Times New Roman" w:eastAsia="宋体" w:cs="Times New Roman"/>
                <w:b/>
                <w:color w:val="000000"/>
                <w:kern w:val="0"/>
                <w:sz w:val="24"/>
                <w:szCs w:val="24"/>
              </w:rPr>
              <w:t>：</w:t>
            </w:r>
          </w:p>
          <w:p w14:paraId="71735103">
            <w:pPr>
              <w:spacing w:line="360" w:lineRule="auto"/>
              <w:ind w:firstLine="482" w:firstLineChars="200"/>
              <w:jc w:val="left"/>
              <w:rPr>
                <w:rFonts w:ascii="Times New Roman" w:hAnsiTheme="minorEastAsia"/>
                <w:kern w:val="0"/>
                <w:sz w:val="24"/>
                <w:szCs w:val="24"/>
              </w:rPr>
            </w:pPr>
            <w:r>
              <w:rPr>
                <w:rFonts w:ascii="Times New Roman" w:hAnsi="Times New Roman" w:eastAsia="宋体" w:cs="Times New Roman"/>
                <w:b/>
                <w:color w:val="000000"/>
                <w:kern w:val="0"/>
                <w:sz w:val="24"/>
                <w:szCs w:val="24"/>
              </w:rPr>
              <w:t>一、</w:t>
            </w:r>
            <w:r>
              <w:rPr>
                <w:rFonts w:hint="eastAsia" w:ascii="Times New Roman" w:hAnsi="Times New Roman" w:eastAsia="宋体" w:cs="Times New Roman"/>
                <w:b/>
                <w:color w:val="000000"/>
                <w:kern w:val="0"/>
                <w:sz w:val="24"/>
                <w:szCs w:val="24"/>
              </w:rPr>
              <w:t xml:space="preserve">废水  </w:t>
            </w:r>
            <w:r>
              <w:rPr>
                <w:rFonts w:hint="eastAsia" w:ascii="Times New Roman" w:hAnsi="Times New Roman" w:eastAsia="宋体" w:cs="Times New Roman"/>
                <w:color w:val="000000"/>
                <w:kern w:val="0"/>
                <w:sz w:val="24"/>
                <w:szCs w:val="24"/>
              </w:rPr>
              <w:t>项目实行雨污分流排水，初期雨水经初期雨水收集池收集后回用于洒水降尘，后期雨水经雨水系统收集后外排，车辆清洗废水经隔油池、车辆清洗池收集处理后循环使用，办公废水经废水收集沉淀池处理后回用于仓库堆场洒水降尘，项目废水不外排，对周边地表水环境影响很小，因项目废水不外排，本次评价不作废水监测要求。</w:t>
            </w:r>
          </w:p>
          <w:p w14:paraId="12E53E46">
            <w:pPr>
              <w:spacing w:line="360" w:lineRule="auto"/>
              <w:ind w:firstLine="482" w:firstLineChars="200"/>
              <w:jc w:val="left"/>
              <w:rPr>
                <w:rFonts w:ascii="Times New Roman" w:hAnsi="Times New Roman" w:eastAsia="宋体" w:cs="Times New Roman"/>
                <w:color w:val="000000"/>
                <w:kern w:val="0"/>
                <w:sz w:val="24"/>
                <w:szCs w:val="24"/>
              </w:rPr>
            </w:pPr>
            <w:r>
              <w:rPr>
                <w:rFonts w:ascii="Times New Roman" w:hAnsi="Times New Roman" w:eastAsia="宋体" w:cs="Times New Roman"/>
                <w:b/>
                <w:color w:val="000000"/>
                <w:kern w:val="0"/>
                <w:sz w:val="24"/>
                <w:szCs w:val="24"/>
              </w:rPr>
              <w:t>二、</w:t>
            </w:r>
            <w:r>
              <w:rPr>
                <w:rFonts w:hint="eastAsia" w:ascii="Times New Roman" w:hAnsi="Times New Roman" w:eastAsia="宋体" w:cs="Times New Roman"/>
                <w:b/>
                <w:color w:val="000000"/>
                <w:kern w:val="0"/>
                <w:sz w:val="24"/>
                <w:szCs w:val="24"/>
              </w:rPr>
              <w:t>废气</w:t>
            </w:r>
            <w:r>
              <w:rPr>
                <w:rFonts w:ascii="Times New Roman" w:hAnsi="Times New Roman" w:eastAsia="宋体" w:cs="Times New Roman"/>
                <w:color w:val="000000"/>
                <w:kern w:val="0"/>
                <w:sz w:val="24"/>
                <w:szCs w:val="24"/>
              </w:rPr>
              <w:t xml:space="preserve">  </w:t>
            </w:r>
            <w:r>
              <w:rPr>
                <w:rFonts w:hint="eastAsia" w:ascii="Times New Roman" w:hAnsi="Times New Roman" w:eastAsia="宋体" w:cs="Times New Roman"/>
                <w:color w:val="000000"/>
                <w:kern w:val="0"/>
                <w:sz w:val="24"/>
                <w:szCs w:val="24"/>
              </w:rPr>
              <w:t>根据《矿山选厂破碎筛分的粉尘控制方法研究》（现代矿业期刊，2011年10月第10期）结论可知：仓库大棚密闭且设洒水喷淋，含尘废气经细微水雾润湿、捕捉粉尘，同时润湿矿石，减少其他工序粉尘产生量。通过上述粉尘综合控制方法，外排的粉尘浓度满足大气污染物综合排放标准的要求。雾化除尘是将水雾化成许多高速运动的密集的细小水滴，雾滴直径1～50μm，雾滴在封闭大棚内、凝聚微细粉尘，使粉尘迅速沉降下来实现就地抑尘，这种除尘技术对去除微细的呼吸性粉尘有非常高效率。关于产尘点分散、占地面积大、粉尘产生量小的储运过程，按现行颗粒物污染防治要求，将其置于大棚内，且建设洒水设施，可有效减少粉尘排放，湿法除尘效率介于机械除尘和袋除尘之间，一般除尘效率不小于 80%，结合本项目大棚内洒水降尘的实际，除尘效率按80%考虑。以上要求，符合颗粒物治理可行技术要求，即可以保证主要粉尘产生点的污染物排放量大大减少，确保厂界无组织粉尘排放浓度达标，因此，项目采取的废气处理措施是可行的。项目磷矿仓库建设为封闭式，且设置洒水喷淋设施定期对其进行洒水降尘，可有效降低扬尘的产生量，仓库按相关要求进行硬化、防渗建设；本项目储存磷矿由昆明采用火车运输至宣威火车货运站，再用货车运至项目内进行堆存，途经路线主要为昆明火车货运站—宣威火车货运站—307省道—项目区，同时，本次评价要求建设单位在磷矿运输过程中对运输的磷矿进行遮盖，采取封闭运输的方式，严禁洒落，采取上述措施后项目产生的颗粒物对周边环境影响较小。同时，根据《环境影响评价技术导则 大气环境》（HJ2.2-2018）中的相关规定，采用AERSCREEN模型对无组织排放的粉尘进行估算，根据估算结果，最大落地点浓度出现的距离为下风向126m处，最大落地浓度为500.7692ug/m</w:t>
            </w:r>
            <w:r>
              <w:rPr>
                <w:rFonts w:hint="eastAsia" w:ascii="Times New Roman" w:hAnsi="Times New Roman" w:eastAsia="宋体" w:cs="Times New Roman"/>
                <w:color w:val="000000"/>
                <w:kern w:val="0"/>
                <w:sz w:val="24"/>
                <w:szCs w:val="24"/>
                <w:vertAlign w:val="superscript"/>
              </w:rPr>
              <w:t>3</w:t>
            </w:r>
            <w:r>
              <w:rPr>
                <w:rFonts w:hint="eastAsia" w:ascii="Times New Roman" w:hAnsi="Times New Roman" w:eastAsia="宋体" w:cs="Times New Roman"/>
                <w:color w:val="000000"/>
                <w:kern w:val="0"/>
                <w:sz w:val="24"/>
                <w:szCs w:val="24"/>
              </w:rPr>
              <w:t>，满足《大气污染物综合排放标准》（GB16297-1996）表2中无组织排放标准要求，项目运行过程中产生的粉尘经处理后可达标排放，对周围环境影响较小。</w:t>
            </w:r>
          </w:p>
          <w:p w14:paraId="1C8D996B">
            <w:pPr>
              <w:spacing w:line="360" w:lineRule="auto"/>
              <w:ind w:firstLine="482" w:firstLineChars="200"/>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b/>
                <w:color w:val="000000"/>
                <w:kern w:val="0"/>
                <w:sz w:val="24"/>
                <w:szCs w:val="24"/>
              </w:rPr>
              <w:t>三</w:t>
            </w:r>
            <w:r>
              <w:rPr>
                <w:rFonts w:ascii="Times New Roman" w:hAnsi="Times New Roman" w:eastAsia="宋体" w:cs="Times New Roman"/>
                <w:b/>
                <w:color w:val="000000"/>
                <w:kern w:val="0"/>
                <w:sz w:val="24"/>
                <w:szCs w:val="24"/>
              </w:rPr>
              <w:t>、</w:t>
            </w:r>
            <w:r>
              <w:rPr>
                <w:rFonts w:hint="eastAsia" w:ascii="Times New Roman" w:hAnsi="Times New Roman" w:eastAsia="宋体" w:cs="Times New Roman"/>
                <w:b/>
                <w:color w:val="000000"/>
                <w:kern w:val="0"/>
                <w:sz w:val="24"/>
                <w:szCs w:val="24"/>
              </w:rPr>
              <w:t>噪声</w:t>
            </w:r>
            <w:r>
              <w:rPr>
                <w:rFonts w:ascii="Times New Roman" w:hAnsi="Times New Roman" w:eastAsia="宋体" w:cs="Times New Roman"/>
                <w:color w:val="000000"/>
                <w:kern w:val="0"/>
                <w:sz w:val="24"/>
                <w:szCs w:val="24"/>
              </w:rPr>
              <w:t xml:space="preserve">  </w:t>
            </w:r>
            <w:r>
              <w:rPr>
                <w:rFonts w:hint="eastAsia" w:ascii="Times New Roman" w:hAnsi="Times New Roman" w:eastAsia="宋体" w:cs="Times New Roman"/>
                <w:color w:val="000000"/>
                <w:kern w:val="0"/>
                <w:sz w:val="24"/>
                <w:szCs w:val="24"/>
              </w:rPr>
              <w:t>项目运营期的设备主要为装载机、运输车辆，运营期产生的噪声主要为装载机装卸运作及车辆运输产生的噪声，装载机、运输车辆噪声的声级值一般在80~95dB（A）之间。运输车辆在运输过程中应合理规划运输路线，尽量减少运输车辆途经敏感点；合理规划运输时间，尽量避免高峰期、禁止夜间运输；并在道路运输车辆出入口设置警示标志和限速标志，行驶至村庄、敏感点时应禁止鸣笛、减速行驶，做好文明运输以减缓运输噪声对周围环境的影响。通过采取上述措施后，项目运输车辆产生的噪声对周边环境影响较小。</w:t>
            </w:r>
          </w:p>
          <w:p w14:paraId="5DDCD2DE">
            <w:pPr>
              <w:spacing w:line="360" w:lineRule="auto"/>
              <w:ind w:firstLine="482" w:firstLineChars="200"/>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b/>
                <w:color w:val="000000"/>
                <w:kern w:val="0"/>
                <w:sz w:val="24"/>
                <w:szCs w:val="24"/>
              </w:rPr>
              <w:t>四</w:t>
            </w:r>
            <w:r>
              <w:rPr>
                <w:rFonts w:ascii="Times New Roman" w:hAnsi="Times New Roman" w:eastAsia="宋体" w:cs="Times New Roman"/>
                <w:b/>
                <w:color w:val="000000"/>
                <w:kern w:val="0"/>
                <w:sz w:val="24"/>
                <w:szCs w:val="24"/>
              </w:rPr>
              <w:t>、</w:t>
            </w:r>
            <w:r>
              <w:rPr>
                <w:rFonts w:hint="eastAsia" w:ascii="Times New Roman" w:hAnsi="Times New Roman" w:eastAsia="宋体" w:cs="Times New Roman"/>
                <w:b/>
                <w:color w:val="000000"/>
                <w:kern w:val="0"/>
                <w:sz w:val="24"/>
                <w:szCs w:val="24"/>
              </w:rPr>
              <w:t>固体废物</w:t>
            </w:r>
            <w:r>
              <w:rPr>
                <w:rFonts w:ascii="Times New Roman" w:hAnsi="Times New Roman" w:eastAsia="宋体" w:cs="Times New Roman"/>
                <w:color w:val="000000"/>
                <w:kern w:val="0"/>
                <w:sz w:val="24"/>
                <w:szCs w:val="24"/>
              </w:rPr>
              <w:t xml:space="preserve">  </w:t>
            </w:r>
            <w:r>
              <w:rPr>
                <w:rFonts w:hint="eastAsia" w:ascii="Times New Roman" w:hAnsi="Times New Roman" w:eastAsia="宋体" w:cs="Times New Roman"/>
                <w:color w:val="000000"/>
                <w:kern w:val="0"/>
                <w:sz w:val="24"/>
                <w:szCs w:val="24"/>
              </w:rPr>
              <w:t>项目装载机、运输车辆定期开至修理厂维护保养，本项目厂区不进行装载机、运输车辆的保养、维修，项目运营期间无机修固体废弃物产生。项目运营期产生的固体废物主要为生活垃圾、车辆清洗池沉渣、旱厕粪便等。项目劳动定员4人，生活垃圾产生量按0.5kg/人·d计，项目生活垃圾产生量为2kg/d、0.6t/a。项目生活垃圾经厂区内生活垃圾桶统一收集后由当地环卫部门清运处置。项目内不设食宿，设置1个旱厕，旱厕粪便产生量约0.6t/a，员工产生的旱厕粪便定期由周边居民清运用作耕地施肥使用。项目车辆清洗废水沉淀池会产生沉渣，主要为磷矿石，产生量约6t/a，定期清掏后掺入磷矿中转运。项目车辆清洗隔油池会产生沉渣，产生量约1t/a，定期清掏后掺入磷矿中转运。项目场地雨污水收集池会产生沉渣，主要为磷矿石，产生量约1t/a，定期清掏后掺入磷矿中转运。项目运营期产生的固废主要为生活垃圾、车辆清洗池沉渣、隔油池沉渣、初期雨水收集池沉渣、旱厕粪便，生活垃圾经生活垃圾收集桶收集后交由当地环卫部门清运处置，旱厕粪便定期由周边居民清运用作耕地施肥使用，项目车辆清洗废水沉淀池产生沉渣、隔油池沉渣、初期雨水收集池沉渣定期清掏后掺入磷矿中转运，项目运营期产生的固废均得到妥善合理处置，对周边环境影响较小。</w:t>
            </w:r>
          </w:p>
          <w:p w14:paraId="7F9E2E0A">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ascii="Times New Roman" w:hAnsi="Times New Roman" w:eastAsia="宋体" w:cs="Times New Roman"/>
                <w:color w:val="000000"/>
                <w:kern w:val="0"/>
                <w:sz w:val="24"/>
                <w:szCs w:val="24"/>
              </w:rPr>
            </w:pPr>
            <w:r>
              <w:rPr>
                <w:rFonts w:hint="eastAsia" w:ascii="Times New Roman" w:hAnsi="Times New Roman" w:eastAsia="宋体" w:cs="Times New Roman"/>
                <w:b/>
                <w:color w:val="000000"/>
                <w:kern w:val="0"/>
                <w:sz w:val="24"/>
                <w:szCs w:val="24"/>
              </w:rPr>
              <w:t>五</w:t>
            </w:r>
            <w:r>
              <w:rPr>
                <w:rFonts w:ascii="Times New Roman" w:hAnsi="Times New Roman" w:eastAsia="宋体" w:cs="Times New Roman"/>
                <w:b/>
                <w:color w:val="000000"/>
                <w:kern w:val="0"/>
                <w:sz w:val="24"/>
                <w:szCs w:val="24"/>
              </w:rPr>
              <w:t>、</w:t>
            </w:r>
            <w:r>
              <w:rPr>
                <w:rFonts w:hint="eastAsia" w:ascii="Times New Roman" w:hAnsi="Times New Roman" w:eastAsia="宋体" w:cs="Times New Roman"/>
                <w:b/>
                <w:color w:val="000000"/>
                <w:kern w:val="0"/>
                <w:sz w:val="24"/>
                <w:szCs w:val="24"/>
              </w:rPr>
              <w:t>地下水、土壤</w:t>
            </w:r>
            <w:r>
              <w:rPr>
                <w:rFonts w:ascii="Times New Roman" w:hAnsi="Times New Roman" w:eastAsia="宋体" w:cs="Times New Roman"/>
                <w:color w:val="000000"/>
                <w:kern w:val="0"/>
                <w:sz w:val="24"/>
                <w:szCs w:val="24"/>
              </w:rPr>
              <w:t xml:space="preserve">  </w:t>
            </w:r>
            <w:r>
              <w:rPr>
                <w:rFonts w:hint="eastAsia" w:ascii="Times New Roman" w:hAnsi="Times New Roman" w:eastAsia="宋体" w:cs="Times New Roman"/>
                <w:color w:val="000000"/>
                <w:kern w:val="0"/>
                <w:sz w:val="24"/>
                <w:szCs w:val="24"/>
              </w:rPr>
              <w:t>项目运营期产生的废水主要为办公废水、初期雨水、车辆清洗废水，其中办公废水经废水收集池沉淀处理后回用于洒水降尘，初期雨水经初期雨水收集池收集沉淀后回用于洒水降尘，车辆清洗废水经隔油池、车辆清洗池处理后循环使用。项目对地下水环境可能造成影响的污染源主要是场地内暂存的废水的收集暂存设施出现破裂、损坏等情况下渗污染地下水环境。本项目磷矿储运置于大棚内，磷矿属于固态物质，自身置于大棚内不会受雨水淋溶。避免磷矿长期堆存对地下水造成影响，本次评价要求建设单位对仓库、隔油池、车辆清洗池、废水收集沉淀池、场地雨污水收集池采用抗渗混凝土结构进行防渗建设，防渗要求参照《环境影响评价技术导则 地下水环境》（HJ 610-2016）中一般防渗区的防渗要求进行防渗，防渗层的防渗性能等效于厚度≥1.5m，渗透系数≤1.0×10</w:t>
            </w:r>
            <w:r>
              <w:rPr>
                <w:rFonts w:hint="eastAsia" w:ascii="Times New Roman" w:hAnsi="Times New Roman" w:eastAsia="宋体" w:cs="Times New Roman"/>
                <w:color w:val="000000"/>
                <w:kern w:val="0"/>
                <w:sz w:val="24"/>
                <w:szCs w:val="24"/>
                <w:vertAlign w:val="superscript"/>
              </w:rPr>
              <w:t>-7</w:t>
            </w:r>
            <w:r>
              <w:rPr>
                <w:rFonts w:hint="eastAsia" w:ascii="Times New Roman" w:hAnsi="Times New Roman" w:eastAsia="宋体" w:cs="Times New Roman"/>
                <w:color w:val="000000"/>
                <w:kern w:val="0"/>
                <w:sz w:val="24"/>
                <w:szCs w:val="24"/>
              </w:rPr>
              <w:t>cm/s的黏土层的防渗性能，其他区域进行一般地面硬化，通过采取上述措施后项目对地下水的影响较小。项目评价范围内无集中饮用水源，不在敏感区（集中式饮用水源</w:t>
            </w:r>
            <w:r>
              <w:rPr>
                <w:rFonts w:hint="eastAsia" w:ascii="Times New Roman" w:hAnsi="Times New Roman" w:eastAsia="宋体" w:cs="Times New Roman"/>
                <w:color w:val="000000"/>
                <w:kern w:val="0"/>
                <w:sz w:val="24"/>
                <w:szCs w:val="24"/>
                <w:lang w:eastAsia="zh-CN"/>
              </w:rPr>
              <w:t>标</w:t>
            </w:r>
            <w:bookmarkStart w:id="0" w:name="_GoBack"/>
            <w:bookmarkEnd w:id="0"/>
            <w:r>
              <w:rPr>
                <w:rFonts w:hint="eastAsia" w:ascii="Times New Roman" w:hAnsi="Times New Roman" w:eastAsia="宋体" w:cs="Times New Roman"/>
                <w:color w:val="000000"/>
                <w:kern w:val="0"/>
                <w:sz w:val="24"/>
                <w:szCs w:val="24"/>
              </w:rPr>
              <w:t>准保护区；除集中式饮用水水源以外的国家或地方政府设定的与地下水环境相关的其他保护区）和较敏感区（集中式饮用水源准保护区以外的补给径流区；未划定准保护区的集中式饮用水源，其保护区以外的补给径流区；分散式饮用水水源地；特殊地下水资源保护区以外的分布区等其他未列入上述敏感分级的环境敏感区）范围内，属于不敏感区域。另外，距离本项目最近的饮用水源保护区为羊场镇安家沟塘坝饮用水源保护区，位于项目西侧6.2km处，中间有山脊分隔，本项目位于羊场镇安家沟塘坝饮用水源保护区地表径流汇水区范围外。羊场镇安家沟塘坝饮用水源保护区中心海拔为1909m，本项目中心海拔为1884m，相对高差为25m，本项目位于羊场镇安家沟塘坝饮用水源保护区的侧下游，且距离较远，项目的建设和运营对羊场镇安家沟塘坝饮用水源保护区无影响。综上所述，采取上述措施后，项目实施对地下水环境影响很小。正常工况下，项目工程对土壤基本无影响，事故情况下，项目运营期对土壤可能产生不利影响的途径主要有以下几个方面：项目运营期产生的污染物主要为堆场粉尘、运输粉尘等，项目通过建设封闭的大棚、采取洒水降尘等措施后可有效减轻粉尘的排放量，同时，根据废气影响分析，项目无组织废气可达标排放，项目产生的废气对土壤的影响很小。本项目磷矿储运置于大棚内，磷矿属于固态物质，自身置于大棚内不会受雨水淋溶。避免磷矿长期堆存对土壤造成影响，本次评价要求建设单位对仓库、隔油池、车辆清洗池、废水收集沉淀池、场地雨污水收集池采用抗渗混凝土结构进行防渗建设，防渗要求参照《环境影响评价技术导则 地下水环境》（HJ 610-2016）中一般防渗区的防渗要求进行防渗，防渗层的防渗性能等效于厚度≥1.5m，渗透系数≤1.0×10</w:t>
            </w:r>
            <w:r>
              <w:rPr>
                <w:rFonts w:hint="eastAsia" w:ascii="Times New Roman" w:hAnsi="Times New Roman" w:eastAsia="宋体" w:cs="Times New Roman"/>
                <w:color w:val="000000"/>
                <w:kern w:val="0"/>
                <w:sz w:val="24"/>
                <w:szCs w:val="24"/>
                <w:vertAlign w:val="superscript"/>
              </w:rPr>
              <w:t>-7</w:t>
            </w:r>
            <w:r>
              <w:rPr>
                <w:rFonts w:hint="eastAsia" w:ascii="Times New Roman" w:hAnsi="Times New Roman" w:eastAsia="宋体" w:cs="Times New Roman"/>
                <w:color w:val="000000"/>
                <w:kern w:val="0"/>
                <w:sz w:val="24"/>
                <w:szCs w:val="24"/>
              </w:rPr>
              <w:t>cm/s的黏土层的防渗性能，其他区域进行一般地面硬化，通过采取上述措施后项目对土壤的影响较小。项目实行雨污分流排水，初期雨水经初期雨水收集池收集后回用于洒水降尘，后期雨水经雨水系统收集后外排，车辆清洗废水经隔油池、车辆清洗池收集处理后循环使用，办公废水经废水收集沉淀池处理后回用于仓库堆场洒水降尘，项目废水不外排。在全面落实相应措施的情况下，项目废水污染物的地面漫流对土壤影响很小。综上所述，在采取环评提出措施后项目对土壤环境的影响可接受。</w:t>
            </w:r>
          </w:p>
        </w:tc>
      </w:tr>
      <w:tr w14:paraId="3462465E">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381" w:hRule="atLeast"/>
          <w:jc w:val="center"/>
        </w:trPr>
        <w:tc>
          <w:tcPr>
            <w:tcW w:w="9124" w:type="dxa"/>
            <w:gridSpan w:val="6"/>
            <w:tcBorders>
              <w:top w:val="nil"/>
              <w:left w:val="single" w:color="auto" w:sz="8" w:space="0"/>
              <w:bottom w:val="single" w:color="auto" w:sz="8" w:space="0"/>
              <w:right w:val="single" w:color="auto" w:sz="8" w:space="0"/>
            </w:tcBorders>
            <w:shd w:val="clear" w:color="auto" w:fill="C0C0C0"/>
            <w:tcMar>
              <w:top w:w="0" w:type="dxa"/>
              <w:left w:w="108" w:type="dxa"/>
              <w:bottom w:w="0" w:type="dxa"/>
              <w:right w:w="108" w:type="dxa"/>
            </w:tcMar>
            <w:vAlign w:val="center"/>
          </w:tcPr>
          <w:p w14:paraId="54FDC80E">
            <w:pPr>
              <w:widowControl/>
              <w:spacing w:before="100" w:beforeAutospacing="1" w:after="100" w:afterAutospacing="1" w:line="400" w:lineRule="atLeast"/>
              <w:ind w:left="120" w:right="120"/>
              <w:jc w:val="center"/>
              <w:rPr>
                <w:rFonts w:ascii="Times New Roman" w:hAnsi="Times New Roman" w:eastAsia="宋体" w:cs="Times New Roman"/>
                <w:color w:val="000000"/>
                <w:kern w:val="0"/>
                <w:sz w:val="24"/>
                <w:szCs w:val="24"/>
              </w:rPr>
            </w:pPr>
            <w:r>
              <w:rPr>
                <w:rFonts w:hint="eastAsia" w:ascii="Times New Roman" w:hAnsi="Times New Roman" w:eastAsia="方正仿宋_GBK" w:cs="Times New Roman"/>
                <w:color w:val="000000"/>
                <w:kern w:val="0"/>
                <w:sz w:val="24"/>
                <w:szCs w:val="24"/>
              </w:rPr>
              <w:t>结论</w:t>
            </w:r>
          </w:p>
        </w:tc>
      </w:tr>
      <w:tr w14:paraId="0D2A23D3">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962" w:hRule="atLeast"/>
          <w:jc w:val="center"/>
        </w:trPr>
        <w:tc>
          <w:tcPr>
            <w:tcW w:w="9124"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1B385B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项目位于云南省曲靖市宣威市羊场镇基场下村大脑壳地，项目用地不涉及生态红线、不占用基本农田，不涉及自然保护区、风景名胜区、饮用水源保护区等敏感区，项目建设无重大环境制约因素，选址合理；该项目的建设符合国家及地方产业政策要求。通过采取本报告提出的环保措施后，项目无废水外排，项目产生的颗粒物在采取相应措施后可达标排放，对当地环境空气质量影响可以接受，项目产生的噪声对周边环境影响可以接受，固废处置率达100%，项目建设对环境影响在可接受范围内，环境功能区质量能够满足相应标准要求。评价认为，建设单位在认真实施本环评提出的废水、废气、噪声、固体废物等治理措施，落实各项环保措施建设，投产后加强环境管理的前提下，从环保角度来看，项目建设可行。</w:t>
            </w:r>
          </w:p>
        </w:tc>
      </w:tr>
      <w:tr w14:paraId="7C4E43B5">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386" w:hRule="atLeast"/>
          <w:jc w:val="center"/>
        </w:trPr>
        <w:tc>
          <w:tcPr>
            <w:tcW w:w="9124" w:type="dxa"/>
            <w:gridSpan w:val="6"/>
            <w:tcBorders>
              <w:top w:val="nil"/>
              <w:left w:val="single" w:color="auto" w:sz="8" w:space="0"/>
              <w:bottom w:val="single" w:color="auto" w:sz="8" w:space="0"/>
              <w:right w:val="single" w:color="auto" w:sz="8" w:space="0"/>
            </w:tcBorders>
            <w:shd w:val="clear" w:color="auto" w:fill="C0C0C0"/>
            <w:tcMar>
              <w:top w:w="0" w:type="dxa"/>
              <w:left w:w="108" w:type="dxa"/>
              <w:bottom w:w="0" w:type="dxa"/>
              <w:right w:w="108" w:type="dxa"/>
            </w:tcMar>
            <w:vAlign w:val="center"/>
          </w:tcPr>
          <w:p w14:paraId="0382D992">
            <w:pPr>
              <w:widowControl/>
              <w:spacing w:before="100" w:beforeAutospacing="1" w:after="100" w:afterAutospacing="1" w:line="280" w:lineRule="atLeast"/>
              <w:ind w:left="120" w:right="120"/>
              <w:jc w:val="center"/>
              <w:rPr>
                <w:rFonts w:ascii="Times New Roman" w:hAnsi="Times New Roman" w:eastAsia="宋体" w:cs="Times New Roman"/>
                <w:color w:val="000000"/>
                <w:kern w:val="0"/>
                <w:sz w:val="24"/>
                <w:szCs w:val="24"/>
              </w:rPr>
            </w:pPr>
            <w:r>
              <w:rPr>
                <w:rFonts w:ascii="Times New Roman" w:hAnsi="Times New Roman" w:eastAsia="方正仿宋_GBK" w:cs="Times New Roman"/>
                <w:color w:val="000000"/>
                <w:kern w:val="0"/>
                <w:sz w:val="24"/>
                <w:szCs w:val="24"/>
              </w:rPr>
              <w:t>公众参与情况</w:t>
            </w:r>
          </w:p>
        </w:tc>
      </w:tr>
      <w:tr w14:paraId="0575D6EF">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449" w:hRule="atLeast"/>
          <w:jc w:val="center"/>
        </w:trPr>
        <w:tc>
          <w:tcPr>
            <w:tcW w:w="9124"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78A8931">
            <w:pPr>
              <w:widowControl/>
              <w:spacing w:line="360" w:lineRule="auto"/>
              <w:jc w:val="left"/>
              <w:rPr>
                <w:rFonts w:ascii="Times New Roman" w:hAnsi="Times New Roman" w:eastAsia="宋体" w:cs="Times New Roman"/>
                <w:color w:val="000000"/>
                <w:kern w:val="0"/>
                <w:sz w:val="24"/>
                <w:szCs w:val="24"/>
              </w:rPr>
            </w:pPr>
          </w:p>
        </w:tc>
      </w:tr>
      <w:tr w14:paraId="518C6436">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429" w:hRule="atLeast"/>
          <w:jc w:val="center"/>
        </w:trPr>
        <w:tc>
          <w:tcPr>
            <w:tcW w:w="3386" w:type="dxa"/>
            <w:gridSpan w:val="2"/>
            <w:tcBorders>
              <w:top w:val="nil"/>
              <w:left w:val="single" w:color="auto" w:sz="8" w:space="0"/>
              <w:bottom w:val="single" w:color="auto" w:sz="8" w:space="0"/>
              <w:right w:val="single" w:color="auto" w:sz="8" w:space="0"/>
            </w:tcBorders>
            <w:shd w:val="clear" w:color="auto" w:fill="C0C0C0"/>
            <w:tcMar>
              <w:top w:w="0" w:type="dxa"/>
              <w:left w:w="108" w:type="dxa"/>
              <w:bottom w:w="0" w:type="dxa"/>
              <w:right w:w="108" w:type="dxa"/>
            </w:tcMar>
            <w:vAlign w:val="center"/>
          </w:tcPr>
          <w:p w14:paraId="73B132D2">
            <w:pPr>
              <w:widowControl/>
              <w:spacing w:before="100" w:beforeAutospacing="1" w:after="100" w:afterAutospacing="1" w:line="280" w:lineRule="atLeast"/>
              <w:ind w:left="120" w:right="120"/>
              <w:jc w:val="left"/>
              <w:rPr>
                <w:rFonts w:ascii="Times New Roman" w:hAnsi="Times New Roman" w:eastAsia="宋体" w:cs="Times New Roman"/>
                <w:color w:val="000000"/>
                <w:kern w:val="0"/>
                <w:sz w:val="24"/>
                <w:szCs w:val="24"/>
              </w:rPr>
            </w:pPr>
            <w:r>
              <w:rPr>
                <w:rFonts w:ascii="Times New Roman" w:hAnsi="Times New Roman" w:eastAsia="方正仿宋_GBK" w:cs="Times New Roman"/>
                <w:color w:val="000000"/>
                <w:kern w:val="0"/>
                <w:sz w:val="24"/>
                <w:szCs w:val="24"/>
              </w:rPr>
              <w:t>建设单位或地方政府所作出的相关承诺文件</w:t>
            </w:r>
          </w:p>
        </w:tc>
        <w:tc>
          <w:tcPr>
            <w:tcW w:w="5738"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14:paraId="61A8366F">
            <w:pPr>
              <w:widowControl/>
              <w:spacing w:line="360" w:lineRule="auto"/>
              <w:jc w:val="center"/>
              <w:rPr>
                <w:rFonts w:ascii="Times New Roman" w:hAnsi="Times New Roman" w:eastAsia="宋体" w:cs="Times New Roman"/>
                <w:color w:val="000000"/>
                <w:kern w:val="0"/>
                <w:sz w:val="24"/>
                <w:szCs w:val="24"/>
              </w:rPr>
            </w:pPr>
            <w:r>
              <w:rPr>
                <w:rFonts w:hint="eastAsia" w:ascii="Times New Roman" w:hAnsi="Times New Roman" w:eastAsia="方正仿宋_GBK" w:cs="Times New Roman"/>
                <w:color w:val="000000"/>
                <w:kern w:val="0"/>
                <w:sz w:val="24"/>
                <w:szCs w:val="24"/>
              </w:rPr>
              <w:t>建设项目环境影响报告表信息全文公开的承诺书</w:t>
            </w:r>
          </w:p>
        </w:tc>
      </w:tr>
      <w:tr w14:paraId="3AD709F3">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9124" w:type="dxa"/>
            <w:gridSpan w:val="6"/>
            <w:tcBorders>
              <w:top w:val="nil"/>
              <w:left w:val="nil"/>
              <w:bottom w:val="nil"/>
              <w:right w:val="nil"/>
            </w:tcBorders>
            <w:tcMar>
              <w:top w:w="0" w:type="dxa"/>
              <w:left w:w="108" w:type="dxa"/>
              <w:bottom w:w="0" w:type="dxa"/>
              <w:right w:w="108" w:type="dxa"/>
            </w:tcMar>
            <w:vAlign w:val="center"/>
          </w:tcPr>
          <w:p w14:paraId="31A31D7C">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19" w:right="119"/>
              <w:jc w:val="left"/>
              <w:textAlignment w:val="auto"/>
              <w:rPr>
                <w:rFonts w:ascii="Times New Roman" w:hAnsi="Times New Roman" w:eastAsia="宋体" w:cs="Times New Roman"/>
                <w:color w:val="000000"/>
                <w:kern w:val="0"/>
                <w:sz w:val="24"/>
                <w:szCs w:val="24"/>
              </w:rPr>
            </w:pPr>
            <w:r>
              <w:rPr>
                <w:rFonts w:ascii="Times New Roman" w:hAnsi="Times New Roman" w:eastAsia="方正仿宋_GBK" w:cs="Times New Roman"/>
                <w:color w:val="000000"/>
                <w:kern w:val="0"/>
                <w:sz w:val="24"/>
                <w:szCs w:val="24"/>
              </w:rPr>
              <w:t>注</w:t>
            </w:r>
            <w:r>
              <w:rPr>
                <w:rFonts w:ascii="Times New Roman" w:hAnsi="Times New Roman" w:eastAsia="宋体" w:cs="Times New Roman"/>
                <w:color w:val="000000"/>
                <w:kern w:val="0"/>
                <w:sz w:val="24"/>
                <w:szCs w:val="24"/>
              </w:rPr>
              <w:t>：</w:t>
            </w:r>
            <w:r>
              <w:rPr>
                <w:rFonts w:ascii="Times New Roman" w:hAnsi="Times New Roman" w:eastAsia="方正仿宋_GBK" w:cs="Times New Roman"/>
                <w:color w:val="000000"/>
                <w:kern w:val="0"/>
                <w:sz w:val="24"/>
                <w:szCs w:val="24"/>
              </w:rPr>
              <w:t>项目概况、项目主要环境影响、项目预防及减轻不良环境影响的对策和措施、公众参与情况、建设单位或地方政府所作出的相关承诺文件部分由建设单位填写。公众反馈意见联系方式部分由行政审批机关填写。</w:t>
            </w:r>
          </w:p>
        </w:tc>
      </w:tr>
    </w:tbl>
    <w:p w14:paraId="3A3502A4">
      <w:pPr>
        <w:adjustRightInd w:val="0"/>
        <w:snapToGrid w:val="0"/>
        <w:spacing w:before="100" w:beforeAutospacing="1" w:after="100" w:afterAutospacing="1" w:line="100" w:lineRule="exact"/>
        <w:rPr>
          <w:rFonts w:ascii="Times New Roman" w:hAnsi="Times New Roman" w:eastAsia="方正仿宋_GBK" w:cs="Times New Roman"/>
          <w:color w:val="000000" w:themeColor="text1"/>
          <w:sz w:val="32"/>
          <w:szCs w:val="32"/>
          <w14:textFill>
            <w14:solidFill>
              <w14:schemeClr w14:val="tx1"/>
            </w14:solidFill>
          </w14:textFill>
        </w:rPr>
      </w:pPr>
    </w:p>
    <w:p w14:paraId="2462BD76">
      <w:pPr>
        <w:adjustRightInd w:val="0"/>
        <w:snapToGrid w:val="0"/>
        <w:spacing w:before="100" w:beforeAutospacing="1" w:after="100" w:afterAutospacing="1" w:line="100" w:lineRule="exact"/>
        <w:rPr>
          <w:rFonts w:ascii="Times New Roman" w:hAnsi="Times New Roman" w:eastAsia="方正仿宋_GBK" w:cs="Times New Roman"/>
          <w:color w:val="000000" w:themeColor="text1"/>
          <w:sz w:val="32"/>
          <w:szCs w:val="32"/>
          <w14:textFill>
            <w14:solidFill>
              <w14:schemeClr w14:val="tx1"/>
            </w14:solidFill>
          </w14:textFill>
        </w:rPr>
      </w:pPr>
    </w:p>
    <w:p w14:paraId="28E55648">
      <w:pPr>
        <w:keepNext w:val="0"/>
        <w:keepLines w:val="0"/>
        <w:pageBreakBefore w:val="0"/>
        <w:widowControl w:val="0"/>
        <w:kinsoku/>
        <w:wordWrap/>
        <w:overflowPunct/>
        <w:topLinePunct w:val="0"/>
        <w:autoSpaceDE/>
        <w:autoSpaceDN/>
        <w:bidi w:val="0"/>
        <w:adjustRightInd/>
        <w:snapToGrid/>
        <w:spacing w:line="600" w:lineRule="exact"/>
        <w:ind w:right="420" w:rightChars="2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曲靖市生态环境局宣威分局</w:t>
      </w:r>
    </w:p>
    <w:p w14:paraId="521A3812">
      <w:pPr>
        <w:keepNext w:val="0"/>
        <w:keepLines w:val="0"/>
        <w:pageBreakBefore w:val="0"/>
        <w:widowControl w:val="0"/>
        <w:kinsoku/>
        <w:wordWrap w:val="0"/>
        <w:overflowPunct/>
        <w:topLinePunct w:val="0"/>
        <w:autoSpaceDE/>
        <w:autoSpaceDN/>
        <w:bidi w:val="0"/>
        <w:adjustRightInd/>
        <w:snapToGrid/>
        <w:spacing w:line="600" w:lineRule="exact"/>
        <w:ind w:right="420" w:rightChars="200"/>
        <w:jc w:val="right"/>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sz w:val="32"/>
          <w:szCs w:val="32"/>
        </w:rPr>
        <w:t>2025年1月14日</w:t>
      </w:r>
      <w:r>
        <w:rPr>
          <w:rFonts w:hint="eastAsia" w:ascii="Times New Roman" w:hAnsi="Times New Roman" w:eastAsia="方正仿宋_GBK" w:cs="Times New Roman"/>
          <w:sz w:val="32"/>
          <w:szCs w:val="32"/>
          <w:lang w:val="en-US" w:eastAsia="zh-CN"/>
        </w:rPr>
        <w:t xml:space="preserve">    </w:t>
      </w:r>
    </w:p>
    <w:sectPr>
      <w:footerReference r:id="rId3" w:type="default"/>
      <w:pgSz w:w="11906" w:h="16838"/>
      <w:pgMar w:top="1814" w:right="1587" w:bottom="1701" w:left="1587" w:header="851" w:footer="136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02F6A">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97FF1B">
                          <w:pPr>
                            <w:pStyle w:val="8"/>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97FF1B">
                    <w:pPr>
                      <w:pStyle w:val="8"/>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6F7"/>
    <w:rsid w:val="00000569"/>
    <w:rsid w:val="00003DF6"/>
    <w:rsid w:val="00005A55"/>
    <w:rsid w:val="00014857"/>
    <w:rsid w:val="000161C1"/>
    <w:rsid w:val="00026E1B"/>
    <w:rsid w:val="00026ED3"/>
    <w:rsid w:val="000270D8"/>
    <w:rsid w:val="0003041A"/>
    <w:rsid w:val="00033649"/>
    <w:rsid w:val="00042FAA"/>
    <w:rsid w:val="00046E5F"/>
    <w:rsid w:val="000514CB"/>
    <w:rsid w:val="000559B9"/>
    <w:rsid w:val="00056A19"/>
    <w:rsid w:val="00060B58"/>
    <w:rsid w:val="000622BA"/>
    <w:rsid w:val="000645B8"/>
    <w:rsid w:val="00070643"/>
    <w:rsid w:val="000709A8"/>
    <w:rsid w:val="00071405"/>
    <w:rsid w:val="00074408"/>
    <w:rsid w:val="00075EF3"/>
    <w:rsid w:val="0008353C"/>
    <w:rsid w:val="00087753"/>
    <w:rsid w:val="0009105C"/>
    <w:rsid w:val="00094520"/>
    <w:rsid w:val="00095620"/>
    <w:rsid w:val="000A03F8"/>
    <w:rsid w:val="000A079C"/>
    <w:rsid w:val="000A1258"/>
    <w:rsid w:val="000A6FDE"/>
    <w:rsid w:val="000B0B80"/>
    <w:rsid w:val="000B13FA"/>
    <w:rsid w:val="000B3642"/>
    <w:rsid w:val="000C51CC"/>
    <w:rsid w:val="000D263B"/>
    <w:rsid w:val="000D3FF4"/>
    <w:rsid w:val="000D4B70"/>
    <w:rsid w:val="000D7698"/>
    <w:rsid w:val="000E1A56"/>
    <w:rsid w:val="000E1BDB"/>
    <w:rsid w:val="000E2F50"/>
    <w:rsid w:val="000E5785"/>
    <w:rsid w:val="000F1323"/>
    <w:rsid w:val="000F21F0"/>
    <w:rsid w:val="000F2E69"/>
    <w:rsid w:val="000F5CD2"/>
    <w:rsid w:val="0010175C"/>
    <w:rsid w:val="0010288D"/>
    <w:rsid w:val="00104EFE"/>
    <w:rsid w:val="00106E47"/>
    <w:rsid w:val="00113EA0"/>
    <w:rsid w:val="0011545D"/>
    <w:rsid w:val="00115FA6"/>
    <w:rsid w:val="00120149"/>
    <w:rsid w:val="00122BDE"/>
    <w:rsid w:val="001252EF"/>
    <w:rsid w:val="001265D6"/>
    <w:rsid w:val="001274CC"/>
    <w:rsid w:val="0012767F"/>
    <w:rsid w:val="001305B6"/>
    <w:rsid w:val="00130E80"/>
    <w:rsid w:val="0013337A"/>
    <w:rsid w:val="001368FB"/>
    <w:rsid w:val="00142C22"/>
    <w:rsid w:val="00143482"/>
    <w:rsid w:val="001504A6"/>
    <w:rsid w:val="001504DE"/>
    <w:rsid w:val="00150CD8"/>
    <w:rsid w:val="00152017"/>
    <w:rsid w:val="00152885"/>
    <w:rsid w:val="001558AA"/>
    <w:rsid w:val="001559AF"/>
    <w:rsid w:val="00155C8A"/>
    <w:rsid w:val="00156F22"/>
    <w:rsid w:val="00161660"/>
    <w:rsid w:val="00163633"/>
    <w:rsid w:val="0016500B"/>
    <w:rsid w:val="0017036F"/>
    <w:rsid w:val="00174648"/>
    <w:rsid w:val="001807EC"/>
    <w:rsid w:val="00181569"/>
    <w:rsid w:val="0018271C"/>
    <w:rsid w:val="00182797"/>
    <w:rsid w:val="00182F76"/>
    <w:rsid w:val="00186127"/>
    <w:rsid w:val="0019670A"/>
    <w:rsid w:val="001A3733"/>
    <w:rsid w:val="001A454B"/>
    <w:rsid w:val="001B426C"/>
    <w:rsid w:val="001B737F"/>
    <w:rsid w:val="001C37A8"/>
    <w:rsid w:val="001C38C1"/>
    <w:rsid w:val="001C6558"/>
    <w:rsid w:val="001D2CFC"/>
    <w:rsid w:val="001D79D6"/>
    <w:rsid w:val="001E3ADD"/>
    <w:rsid w:val="001E4542"/>
    <w:rsid w:val="001F1110"/>
    <w:rsid w:val="001F31D3"/>
    <w:rsid w:val="001F52F4"/>
    <w:rsid w:val="001F6BF6"/>
    <w:rsid w:val="00201B7D"/>
    <w:rsid w:val="00203A4D"/>
    <w:rsid w:val="00205764"/>
    <w:rsid w:val="002148A4"/>
    <w:rsid w:val="002169A9"/>
    <w:rsid w:val="00216F12"/>
    <w:rsid w:val="00217976"/>
    <w:rsid w:val="00217F2D"/>
    <w:rsid w:val="002204A0"/>
    <w:rsid w:val="002207A9"/>
    <w:rsid w:val="002212B6"/>
    <w:rsid w:val="00221C50"/>
    <w:rsid w:val="002230BC"/>
    <w:rsid w:val="0022391D"/>
    <w:rsid w:val="0023019B"/>
    <w:rsid w:val="0023389F"/>
    <w:rsid w:val="00235883"/>
    <w:rsid w:val="00235A00"/>
    <w:rsid w:val="00240763"/>
    <w:rsid w:val="00242146"/>
    <w:rsid w:val="0024673D"/>
    <w:rsid w:val="00246D60"/>
    <w:rsid w:val="00246F21"/>
    <w:rsid w:val="00250596"/>
    <w:rsid w:val="002511C9"/>
    <w:rsid w:val="00252596"/>
    <w:rsid w:val="002533A0"/>
    <w:rsid w:val="00261C55"/>
    <w:rsid w:val="002627A7"/>
    <w:rsid w:val="0026613E"/>
    <w:rsid w:val="00271BE8"/>
    <w:rsid w:val="002801C8"/>
    <w:rsid w:val="002805E4"/>
    <w:rsid w:val="00285115"/>
    <w:rsid w:val="00287259"/>
    <w:rsid w:val="00291FEA"/>
    <w:rsid w:val="002958B8"/>
    <w:rsid w:val="002963D0"/>
    <w:rsid w:val="002A1386"/>
    <w:rsid w:val="002A421B"/>
    <w:rsid w:val="002B0285"/>
    <w:rsid w:val="002B1404"/>
    <w:rsid w:val="002B413F"/>
    <w:rsid w:val="002B4376"/>
    <w:rsid w:val="002B6D9C"/>
    <w:rsid w:val="002B6F88"/>
    <w:rsid w:val="002B7CB6"/>
    <w:rsid w:val="002C0E7E"/>
    <w:rsid w:val="002C1FF5"/>
    <w:rsid w:val="002C22AF"/>
    <w:rsid w:val="002C339D"/>
    <w:rsid w:val="002C39A5"/>
    <w:rsid w:val="002D23B6"/>
    <w:rsid w:val="002D486D"/>
    <w:rsid w:val="002D61DB"/>
    <w:rsid w:val="002D7789"/>
    <w:rsid w:val="002E309E"/>
    <w:rsid w:val="002E6B27"/>
    <w:rsid w:val="002E7C17"/>
    <w:rsid w:val="002F0179"/>
    <w:rsid w:val="002F2440"/>
    <w:rsid w:val="002F5334"/>
    <w:rsid w:val="002F750F"/>
    <w:rsid w:val="00310A9C"/>
    <w:rsid w:val="00312764"/>
    <w:rsid w:val="003128A9"/>
    <w:rsid w:val="00320023"/>
    <w:rsid w:val="00322F17"/>
    <w:rsid w:val="003244E8"/>
    <w:rsid w:val="003253F8"/>
    <w:rsid w:val="00332641"/>
    <w:rsid w:val="00332A9C"/>
    <w:rsid w:val="003355A9"/>
    <w:rsid w:val="00336C57"/>
    <w:rsid w:val="00337215"/>
    <w:rsid w:val="00337303"/>
    <w:rsid w:val="00337AAC"/>
    <w:rsid w:val="00342FA8"/>
    <w:rsid w:val="0034398E"/>
    <w:rsid w:val="00344274"/>
    <w:rsid w:val="00354E97"/>
    <w:rsid w:val="00354F5F"/>
    <w:rsid w:val="00356CA0"/>
    <w:rsid w:val="003579A6"/>
    <w:rsid w:val="0036080D"/>
    <w:rsid w:val="00361329"/>
    <w:rsid w:val="00361458"/>
    <w:rsid w:val="00361BA8"/>
    <w:rsid w:val="003626BD"/>
    <w:rsid w:val="003656C0"/>
    <w:rsid w:val="00367AFA"/>
    <w:rsid w:val="00370291"/>
    <w:rsid w:val="0037116F"/>
    <w:rsid w:val="00372C14"/>
    <w:rsid w:val="003742C2"/>
    <w:rsid w:val="003805CC"/>
    <w:rsid w:val="00381C2F"/>
    <w:rsid w:val="00385034"/>
    <w:rsid w:val="003900E5"/>
    <w:rsid w:val="00390AB6"/>
    <w:rsid w:val="00391BE9"/>
    <w:rsid w:val="00393FDA"/>
    <w:rsid w:val="003947A0"/>
    <w:rsid w:val="003962BB"/>
    <w:rsid w:val="003A05E5"/>
    <w:rsid w:val="003A2C97"/>
    <w:rsid w:val="003A2F6C"/>
    <w:rsid w:val="003A35D0"/>
    <w:rsid w:val="003A5D35"/>
    <w:rsid w:val="003A7B40"/>
    <w:rsid w:val="003B2680"/>
    <w:rsid w:val="003B26C3"/>
    <w:rsid w:val="003B5CBE"/>
    <w:rsid w:val="003C0152"/>
    <w:rsid w:val="003C295E"/>
    <w:rsid w:val="003D21E3"/>
    <w:rsid w:val="003D4AC4"/>
    <w:rsid w:val="003D6489"/>
    <w:rsid w:val="003E10A0"/>
    <w:rsid w:val="003E2EB0"/>
    <w:rsid w:val="003E3D69"/>
    <w:rsid w:val="003F3CFB"/>
    <w:rsid w:val="003F64FF"/>
    <w:rsid w:val="00400E8F"/>
    <w:rsid w:val="0040124F"/>
    <w:rsid w:val="0041342E"/>
    <w:rsid w:val="004276E3"/>
    <w:rsid w:val="00430175"/>
    <w:rsid w:val="004366DB"/>
    <w:rsid w:val="0045235D"/>
    <w:rsid w:val="00453B81"/>
    <w:rsid w:val="00457031"/>
    <w:rsid w:val="00461DEF"/>
    <w:rsid w:val="00463C5F"/>
    <w:rsid w:val="004673B3"/>
    <w:rsid w:val="00467D0A"/>
    <w:rsid w:val="00471D83"/>
    <w:rsid w:val="00472903"/>
    <w:rsid w:val="00475286"/>
    <w:rsid w:val="00475E12"/>
    <w:rsid w:val="0047648C"/>
    <w:rsid w:val="0047702B"/>
    <w:rsid w:val="0048166A"/>
    <w:rsid w:val="00486162"/>
    <w:rsid w:val="00491523"/>
    <w:rsid w:val="00492175"/>
    <w:rsid w:val="00493CA6"/>
    <w:rsid w:val="00496928"/>
    <w:rsid w:val="00496CDC"/>
    <w:rsid w:val="004971F2"/>
    <w:rsid w:val="004A0C4D"/>
    <w:rsid w:val="004A1781"/>
    <w:rsid w:val="004A1B0B"/>
    <w:rsid w:val="004A3355"/>
    <w:rsid w:val="004B52C3"/>
    <w:rsid w:val="004C5062"/>
    <w:rsid w:val="004C573D"/>
    <w:rsid w:val="004D21E1"/>
    <w:rsid w:val="004D4C7E"/>
    <w:rsid w:val="004D589E"/>
    <w:rsid w:val="004E23CD"/>
    <w:rsid w:val="004E496F"/>
    <w:rsid w:val="004F5366"/>
    <w:rsid w:val="004F67C5"/>
    <w:rsid w:val="004F6E64"/>
    <w:rsid w:val="004F765E"/>
    <w:rsid w:val="00502481"/>
    <w:rsid w:val="005033F5"/>
    <w:rsid w:val="00520C40"/>
    <w:rsid w:val="005248F3"/>
    <w:rsid w:val="00526CAF"/>
    <w:rsid w:val="00532CE1"/>
    <w:rsid w:val="00534089"/>
    <w:rsid w:val="00534335"/>
    <w:rsid w:val="00535CC7"/>
    <w:rsid w:val="00536A5D"/>
    <w:rsid w:val="00541111"/>
    <w:rsid w:val="00541BDC"/>
    <w:rsid w:val="00545FC1"/>
    <w:rsid w:val="00553BE5"/>
    <w:rsid w:val="0056002B"/>
    <w:rsid w:val="00560E44"/>
    <w:rsid w:val="005613A1"/>
    <w:rsid w:val="00564474"/>
    <w:rsid w:val="00566E25"/>
    <w:rsid w:val="005671F4"/>
    <w:rsid w:val="00571378"/>
    <w:rsid w:val="00573077"/>
    <w:rsid w:val="0057309C"/>
    <w:rsid w:val="0057440C"/>
    <w:rsid w:val="005803A8"/>
    <w:rsid w:val="005805F0"/>
    <w:rsid w:val="00584194"/>
    <w:rsid w:val="005860F9"/>
    <w:rsid w:val="00587ED9"/>
    <w:rsid w:val="0059094D"/>
    <w:rsid w:val="00590FD3"/>
    <w:rsid w:val="005941B0"/>
    <w:rsid w:val="005944D2"/>
    <w:rsid w:val="00594DF6"/>
    <w:rsid w:val="00595DE0"/>
    <w:rsid w:val="00597D54"/>
    <w:rsid w:val="005A149C"/>
    <w:rsid w:val="005A281E"/>
    <w:rsid w:val="005A4A33"/>
    <w:rsid w:val="005B1A45"/>
    <w:rsid w:val="005B1D8F"/>
    <w:rsid w:val="005B334B"/>
    <w:rsid w:val="005B742B"/>
    <w:rsid w:val="005B7F5F"/>
    <w:rsid w:val="005C252A"/>
    <w:rsid w:val="005C2D16"/>
    <w:rsid w:val="005C4084"/>
    <w:rsid w:val="005C5DCC"/>
    <w:rsid w:val="005D2438"/>
    <w:rsid w:val="005D2705"/>
    <w:rsid w:val="005D3B03"/>
    <w:rsid w:val="005D44E2"/>
    <w:rsid w:val="005E0D98"/>
    <w:rsid w:val="005E1A87"/>
    <w:rsid w:val="005E4C99"/>
    <w:rsid w:val="005F04D0"/>
    <w:rsid w:val="005F2A23"/>
    <w:rsid w:val="006020F0"/>
    <w:rsid w:val="00603355"/>
    <w:rsid w:val="00604495"/>
    <w:rsid w:val="006047ED"/>
    <w:rsid w:val="00611176"/>
    <w:rsid w:val="00612099"/>
    <w:rsid w:val="00613603"/>
    <w:rsid w:val="00614C63"/>
    <w:rsid w:val="006151F5"/>
    <w:rsid w:val="00615DDC"/>
    <w:rsid w:val="0061656A"/>
    <w:rsid w:val="00616B71"/>
    <w:rsid w:val="00621F5E"/>
    <w:rsid w:val="006222DE"/>
    <w:rsid w:val="006233F8"/>
    <w:rsid w:val="0062396E"/>
    <w:rsid w:val="00625C6E"/>
    <w:rsid w:val="0063213C"/>
    <w:rsid w:val="00633A41"/>
    <w:rsid w:val="00637E6C"/>
    <w:rsid w:val="006403A7"/>
    <w:rsid w:val="00642271"/>
    <w:rsid w:val="0064236D"/>
    <w:rsid w:val="00645C76"/>
    <w:rsid w:val="00647969"/>
    <w:rsid w:val="006510BF"/>
    <w:rsid w:val="00651FCE"/>
    <w:rsid w:val="00656449"/>
    <w:rsid w:val="00663684"/>
    <w:rsid w:val="00663FD5"/>
    <w:rsid w:val="00666243"/>
    <w:rsid w:val="00676F19"/>
    <w:rsid w:val="0068254F"/>
    <w:rsid w:val="00696691"/>
    <w:rsid w:val="006A0484"/>
    <w:rsid w:val="006A50AB"/>
    <w:rsid w:val="006A713B"/>
    <w:rsid w:val="006B1A3A"/>
    <w:rsid w:val="006B588C"/>
    <w:rsid w:val="006B767E"/>
    <w:rsid w:val="006B791E"/>
    <w:rsid w:val="006B7E90"/>
    <w:rsid w:val="006C148F"/>
    <w:rsid w:val="006C27F1"/>
    <w:rsid w:val="006C43C4"/>
    <w:rsid w:val="006C4E01"/>
    <w:rsid w:val="006C5FD1"/>
    <w:rsid w:val="006C65D0"/>
    <w:rsid w:val="006C7C25"/>
    <w:rsid w:val="006D2200"/>
    <w:rsid w:val="006D2BE4"/>
    <w:rsid w:val="006F0731"/>
    <w:rsid w:val="006F1B75"/>
    <w:rsid w:val="006F28B4"/>
    <w:rsid w:val="006F2ECC"/>
    <w:rsid w:val="006F7D10"/>
    <w:rsid w:val="00700179"/>
    <w:rsid w:val="007015CF"/>
    <w:rsid w:val="0070204F"/>
    <w:rsid w:val="007051F2"/>
    <w:rsid w:val="00710B09"/>
    <w:rsid w:val="007177A5"/>
    <w:rsid w:val="00717D6A"/>
    <w:rsid w:val="00723233"/>
    <w:rsid w:val="0072529B"/>
    <w:rsid w:val="0072696C"/>
    <w:rsid w:val="007269DF"/>
    <w:rsid w:val="00731F0A"/>
    <w:rsid w:val="00737287"/>
    <w:rsid w:val="00740CBD"/>
    <w:rsid w:val="007427BA"/>
    <w:rsid w:val="00754373"/>
    <w:rsid w:val="007572D3"/>
    <w:rsid w:val="00764813"/>
    <w:rsid w:val="007652E7"/>
    <w:rsid w:val="007653FB"/>
    <w:rsid w:val="00766FE6"/>
    <w:rsid w:val="00772F1D"/>
    <w:rsid w:val="00776F63"/>
    <w:rsid w:val="007775AD"/>
    <w:rsid w:val="0078624E"/>
    <w:rsid w:val="0079021D"/>
    <w:rsid w:val="00792B6D"/>
    <w:rsid w:val="007A3396"/>
    <w:rsid w:val="007A6532"/>
    <w:rsid w:val="007A6707"/>
    <w:rsid w:val="007A6A9E"/>
    <w:rsid w:val="007A7369"/>
    <w:rsid w:val="007B51B5"/>
    <w:rsid w:val="007B6EDD"/>
    <w:rsid w:val="007C27BC"/>
    <w:rsid w:val="007C3292"/>
    <w:rsid w:val="007C624E"/>
    <w:rsid w:val="007D221B"/>
    <w:rsid w:val="007D6E12"/>
    <w:rsid w:val="007E0DFB"/>
    <w:rsid w:val="007E1B87"/>
    <w:rsid w:val="007E2CDA"/>
    <w:rsid w:val="007E320A"/>
    <w:rsid w:val="007E32C0"/>
    <w:rsid w:val="007E39D6"/>
    <w:rsid w:val="007E4C17"/>
    <w:rsid w:val="007F23E1"/>
    <w:rsid w:val="007F78A0"/>
    <w:rsid w:val="008013B6"/>
    <w:rsid w:val="00804191"/>
    <w:rsid w:val="00804A73"/>
    <w:rsid w:val="00805DF4"/>
    <w:rsid w:val="00806EE8"/>
    <w:rsid w:val="00811B31"/>
    <w:rsid w:val="0081390B"/>
    <w:rsid w:val="00816908"/>
    <w:rsid w:val="00822858"/>
    <w:rsid w:val="00824F81"/>
    <w:rsid w:val="0082590B"/>
    <w:rsid w:val="0082651A"/>
    <w:rsid w:val="00826DB7"/>
    <w:rsid w:val="00830099"/>
    <w:rsid w:val="00836430"/>
    <w:rsid w:val="00840C24"/>
    <w:rsid w:val="00841B35"/>
    <w:rsid w:val="00850426"/>
    <w:rsid w:val="0085592B"/>
    <w:rsid w:val="00860537"/>
    <w:rsid w:val="008748D6"/>
    <w:rsid w:val="00875760"/>
    <w:rsid w:val="00880D70"/>
    <w:rsid w:val="008848D5"/>
    <w:rsid w:val="0089006F"/>
    <w:rsid w:val="00892EF7"/>
    <w:rsid w:val="00894B01"/>
    <w:rsid w:val="00895262"/>
    <w:rsid w:val="008A0F4F"/>
    <w:rsid w:val="008A1AC7"/>
    <w:rsid w:val="008A2626"/>
    <w:rsid w:val="008A29B0"/>
    <w:rsid w:val="008B5AE5"/>
    <w:rsid w:val="008C359E"/>
    <w:rsid w:val="008C70A1"/>
    <w:rsid w:val="008D31AB"/>
    <w:rsid w:val="008D5AC5"/>
    <w:rsid w:val="008D6147"/>
    <w:rsid w:val="008E7717"/>
    <w:rsid w:val="009008CA"/>
    <w:rsid w:val="009137BE"/>
    <w:rsid w:val="009137DE"/>
    <w:rsid w:val="00923B93"/>
    <w:rsid w:val="00923FE4"/>
    <w:rsid w:val="00930049"/>
    <w:rsid w:val="0093176D"/>
    <w:rsid w:val="00931F70"/>
    <w:rsid w:val="009332E3"/>
    <w:rsid w:val="00936F87"/>
    <w:rsid w:val="00940AB6"/>
    <w:rsid w:val="00940D82"/>
    <w:rsid w:val="00941209"/>
    <w:rsid w:val="0094356F"/>
    <w:rsid w:val="00943CBF"/>
    <w:rsid w:val="00944A5B"/>
    <w:rsid w:val="009508E0"/>
    <w:rsid w:val="009567B1"/>
    <w:rsid w:val="00957493"/>
    <w:rsid w:val="009639C8"/>
    <w:rsid w:val="0096561D"/>
    <w:rsid w:val="0096665D"/>
    <w:rsid w:val="009675B0"/>
    <w:rsid w:val="00970530"/>
    <w:rsid w:val="00975F89"/>
    <w:rsid w:val="00980EEE"/>
    <w:rsid w:val="00984D2E"/>
    <w:rsid w:val="00985F23"/>
    <w:rsid w:val="00990FC7"/>
    <w:rsid w:val="009A0193"/>
    <w:rsid w:val="009A0334"/>
    <w:rsid w:val="009A0E76"/>
    <w:rsid w:val="009A2451"/>
    <w:rsid w:val="009A4B6C"/>
    <w:rsid w:val="009A5D73"/>
    <w:rsid w:val="009A7A48"/>
    <w:rsid w:val="009B10BF"/>
    <w:rsid w:val="009B29D7"/>
    <w:rsid w:val="009B460B"/>
    <w:rsid w:val="009B5F10"/>
    <w:rsid w:val="009C12C3"/>
    <w:rsid w:val="009C48B3"/>
    <w:rsid w:val="009C6464"/>
    <w:rsid w:val="009D0CD7"/>
    <w:rsid w:val="009D18A2"/>
    <w:rsid w:val="009D3160"/>
    <w:rsid w:val="009D4050"/>
    <w:rsid w:val="009E02F0"/>
    <w:rsid w:val="009E195E"/>
    <w:rsid w:val="009E1E5D"/>
    <w:rsid w:val="009E26FE"/>
    <w:rsid w:val="009E6FBC"/>
    <w:rsid w:val="009E71D4"/>
    <w:rsid w:val="009F0B3A"/>
    <w:rsid w:val="009F24E2"/>
    <w:rsid w:val="009F7A21"/>
    <w:rsid w:val="00A031CE"/>
    <w:rsid w:val="00A045EE"/>
    <w:rsid w:val="00A06643"/>
    <w:rsid w:val="00A1032A"/>
    <w:rsid w:val="00A10DE8"/>
    <w:rsid w:val="00A169C4"/>
    <w:rsid w:val="00A1785F"/>
    <w:rsid w:val="00A1798C"/>
    <w:rsid w:val="00A17D82"/>
    <w:rsid w:val="00A200D7"/>
    <w:rsid w:val="00A214E5"/>
    <w:rsid w:val="00A248FE"/>
    <w:rsid w:val="00A326F8"/>
    <w:rsid w:val="00A32E3E"/>
    <w:rsid w:val="00A32EB8"/>
    <w:rsid w:val="00A375EC"/>
    <w:rsid w:val="00A42107"/>
    <w:rsid w:val="00A479CC"/>
    <w:rsid w:val="00A5494C"/>
    <w:rsid w:val="00A61978"/>
    <w:rsid w:val="00A67727"/>
    <w:rsid w:val="00A72F88"/>
    <w:rsid w:val="00A73227"/>
    <w:rsid w:val="00A82B47"/>
    <w:rsid w:val="00A91BDC"/>
    <w:rsid w:val="00A94379"/>
    <w:rsid w:val="00A956CA"/>
    <w:rsid w:val="00A96A8E"/>
    <w:rsid w:val="00AA08B5"/>
    <w:rsid w:val="00AA114D"/>
    <w:rsid w:val="00AA2980"/>
    <w:rsid w:val="00AA33C4"/>
    <w:rsid w:val="00AA69F9"/>
    <w:rsid w:val="00AA70CF"/>
    <w:rsid w:val="00AB1388"/>
    <w:rsid w:val="00AB3912"/>
    <w:rsid w:val="00AB799E"/>
    <w:rsid w:val="00AC074B"/>
    <w:rsid w:val="00AC0F50"/>
    <w:rsid w:val="00AC3CB8"/>
    <w:rsid w:val="00AC7AC2"/>
    <w:rsid w:val="00AD1244"/>
    <w:rsid w:val="00AD1823"/>
    <w:rsid w:val="00AD3593"/>
    <w:rsid w:val="00AD5F51"/>
    <w:rsid w:val="00AD6DFE"/>
    <w:rsid w:val="00AE29DC"/>
    <w:rsid w:val="00AE5E17"/>
    <w:rsid w:val="00AE77AB"/>
    <w:rsid w:val="00AF0327"/>
    <w:rsid w:val="00AF0931"/>
    <w:rsid w:val="00AF2BBB"/>
    <w:rsid w:val="00B010FB"/>
    <w:rsid w:val="00B07355"/>
    <w:rsid w:val="00B1564F"/>
    <w:rsid w:val="00B157B9"/>
    <w:rsid w:val="00B178D2"/>
    <w:rsid w:val="00B258FE"/>
    <w:rsid w:val="00B30462"/>
    <w:rsid w:val="00B31D42"/>
    <w:rsid w:val="00B34F70"/>
    <w:rsid w:val="00B355E5"/>
    <w:rsid w:val="00B36331"/>
    <w:rsid w:val="00B364C1"/>
    <w:rsid w:val="00B41412"/>
    <w:rsid w:val="00B45442"/>
    <w:rsid w:val="00B45D52"/>
    <w:rsid w:val="00B50570"/>
    <w:rsid w:val="00B52889"/>
    <w:rsid w:val="00B555F4"/>
    <w:rsid w:val="00B606F7"/>
    <w:rsid w:val="00B616A4"/>
    <w:rsid w:val="00B64F4C"/>
    <w:rsid w:val="00B66A6E"/>
    <w:rsid w:val="00B72E6D"/>
    <w:rsid w:val="00B72E80"/>
    <w:rsid w:val="00B7558E"/>
    <w:rsid w:val="00B7566D"/>
    <w:rsid w:val="00B75D83"/>
    <w:rsid w:val="00B77621"/>
    <w:rsid w:val="00B80FFB"/>
    <w:rsid w:val="00B81F9C"/>
    <w:rsid w:val="00B824EE"/>
    <w:rsid w:val="00B82F4D"/>
    <w:rsid w:val="00B8477F"/>
    <w:rsid w:val="00B91155"/>
    <w:rsid w:val="00B93784"/>
    <w:rsid w:val="00B93ACF"/>
    <w:rsid w:val="00B96296"/>
    <w:rsid w:val="00BA2E9F"/>
    <w:rsid w:val="00BA71B6"/>
    <w:rsid w:val="00BB0B8B"/>
    <w:rsid w:val="00BB3E1B"/>
    <w:rsid w:val="00BB4A4E"/>
    <w:rsid w:val="00BB798D"/>
    <w:rsid w:val="00BC0E0B"/>
    <w:rsid w:val="00BC5B47"/>
    <w:rsid w:val="00BD116F"/>
    <w:rsid w:val="00BD1E84"/>
    <w:rsid w:val="00BD48FE"/>
    <w:rsid w:val="00BD7D82"/>
    <w:rsid w:val="00BF3175"/>
    <w:rsid w:val="00BF441F"/>
    <w:rsid w:val="00BF70FA"/>
    <w:rsid w:val="00BF73BD"/>
    <w:rsid w:val="00C00C24"/>
    <w:rsid w:val="00C05A86"/>
    <w:rsid w:val="00C07E86"/>
    <w:rsid w:val="00C07F1F"/>
    <w:rsid w:val="00C13336"/>
    <w:rsid w:val="00C151B0"/>
    <w:rsid w:val="00C16FDE"/>
    <w:rsid w:val="00C176D5"/>
    <w:rsid w:val="00C22F08"/>
    <w:rsid w:val="00C23C78"/>
    <w:rsid w:val="00C322E9"/>
    <w:rsid w:val="00C3448C"/>
    <w:rsid w:val="00C34510"/>
    <w:rsid w:val="00C345EB"/>
    <w:rsid w:val="00C35459"/>
    <w:rsid w:val="00C357C0"/>
    <w:rsid w:val="00C35B69"/>
    <w:rsid w:val="00C35E59"/>
    <w:rsid w:val="00C36FEC"/>
    <w:rsid w:val="00C379A8"/>
    <w:rsid w:val="00C42648"/>
    <w:rsid w:val="00C4400D"/>
    <w:rsid w:val="00C4411F"/>
    <w:rsid w:val="00C44E1E"/>
    <w:rsid w:val="00C46819"/>
    <w:rsid w:val="00C5150A"/>
    <w:rsid w:val="00C5380D"/>
    <w:rsid w:val="00C5569F"/>
    <w:rsid w:val="00C6060F"/>
    <w:rsid w:val="00C649F1"/>
    <w:rsid w:val="00C70078"/>
    <w:rsid w:val="00C741CA"/>
    <w:rsid w:val="00C76667"/>
    <w:rsid w:val="00C77561"/>
    <w:rsid w:val="00C82283"/>
    <w:rsid w:val="00C901B0"/>
    <w:rsid w:val="00C944EE"/>
    <w:rsid w:val="00C96F2A"/>
    <w:rsid w:val="00CA268B"/>
    <w:rsid w:val="00CA4FA0"/>
    <w:rsid w:val="00CA5C54"/>
    <w:rsid w:val="00CB3F1B"/>
    <w:rsid w:val="00CB49EC"/>
    <w:rsid w:val="00CB5727"/>
    <w:rsid w:val="00CB777B"/>
    <w:rsid w:val="00CC3264"/>
    <w:rsid w:val="00CC65AC"/>
    <w:rsid w:val="00CC6F7E"/>
    <w:rsid w:val="00CC7165"/>
    <w:rsid w:val="00CD1F4D"/>
    <w:rsid w:val="00CD62F3"/>
    <w:rsid w:val="00CD7C51"/>
    <w:rsid w:val="00CE15EA"/>
    <w:rsid w:val="00CE1C59"/>
    <w:rsid w:val="00CE31AE"/>
    <w:rsid w:val="00CE31B3"/>
    <w:rsid w:val="00CE4415"/>
    <w:rsid w:val="00CE4F9F"/>
    <w:rsid w:val="00CE66EB"/>
    <w:rsid w:val="00CF0602"/>
    <w:rsid w:val="00CF090C"/>
    <w:rsid w:val="00CF2097"/>
    <w:rsid w:val="00CF27C4"/>
    <w:rsid w:val="00CF4BEE"/>
    <w:rsid w:val="00CF6EFF"/>
    <w:rsid w:val="00D00776"/>
    <w:rsid w:val="00D033D0"/>
    <w:rsid w:val="00D03513"/>
    <w:rsid w:val="00D04021"/>
    <w:rsid w:val="00D104D6"/>
    <w:rsid w:val="00D13BE2"/>
    <w:rsid w:val="00D16374"/>
    <w:rsid w:val="00D24538"/>
    <w:rsid w:val="00D30615"/>
    <w:rsid w:val="00D31902"/>
    <w:rsid w:val="00D31ACE"/>
    <w:rsid w:val="00D31EFC"/>
    <w:rsid w:val="00D32410"/>
    <w:rsid w:val="00D33626"/>
    <w:rsid w:val="00D40716"/>
    <w:rsid w:val="00D45511"/>
    <w:rsid w:val="00D45746"/>
    <w:rsid w:val="00D46543"/>
    <w:rsid w:val="00D46B10"/>
    <w:rsid w:val="00D641F9"/>
    <w:rsid w:val="00D71E73"/>
    <w:rsid w:val="00D7409D"/>
    <w:rsid w:val="00D750FB"/>
    <w:rsid w:val="00D75A9C"/>
    <w:rsid w:val="00D75E29"/>
    <w:rsid w:val="00D80301"/>
    <w:rsid w:val="00D8308D"/>
    <w:rsid w:val="00D8642C"/>
    <w:rsid w:val="00D864CD"/>
    <w:rsid w:val="00D87265"/>
    <w:rsid w:val="00D92D4E"/>
    <w:rsid w:val="00DA0ED2"/>
    <w:rsid w:val="00DA3164"/>
    <w:rsid w:val="00DA38BA"/>
    <w:rsid w:val="00DA5E15"/>
    <w:rsid w:val="00DB3474"/>
    <w:rsid w:val="00DB4121"/>
    <w:rsid w:val="00DB5FF2"/>
    <w:rsid w:val="00DC0894"/>
    <w:rsid w:val="00DC3A17"/>
    <w:rsid w:val="00DC51B6"/>
    <w:rsid w:val="00DC5B90"/>
    <w:rsid w:val="00DC6A63"/>
    <w:rsid w:val="00DD2477"/>
    <w:rsid w:val="00DD2E1F"/>
    <w:rsid w:val="00DD34BA"/>
    <w:rsid w:val="00DD7AF5"/>
    <w:rsid w:val="00DE03EA"/>
    <w:rsid w:val="00DE1899"/>
    <w:rsid w:val="00DE1DE0"/>
    <w:rsid w:val="00DE30D1"/>
    <w:rsid w:val="00DE35C6"/>
    <w:rsid w:val="00DE3934"/>
    <w:rsid w:val="00DE4C59"/>
    <w:rsid w:val="00DE4F98"/>
    <w:rsid w:val="00DE7E3C"/>
    <w:rsid w:val="00DF3800"/>
    <w:rsid w:val="00DF471D"/>
    <w:rsid w:val="00DF5DB2"/>
    <w:rsid w:val="00E007E1"/>
    <w:rsid w:val="00E069D3"/>
    <w:rsid w:val="00E10038"/>
    <w:rsid w:val="00E11E7E"/>
    <w:rsid w:val="00E13520"/>
    <w:rsid w:val="00E148F6"/>
    <w:rsid w:val="00E14C8B"/>
    <w:rsid w:val="00E16C5D"/>
    <w:rsid w:val="00E171DE"/>
    <w:rsid w:val="00E1741C"/>
    <w:rsid w:val="00E26A59"/>
    <w:rsid w:val="00E31CDA"/>
    <w:rsid w:val="00E33A94"/>
    <w:rsid w:val="00E37EB0"/>
    <w:rsid w:val="00E4446B"/>
    <w:rsid w:val="00E50CD4"/>
    <w:rsid w:val="00E51C9A"/>
    <w:rsid w:val="00E55FCD"/>
    <w:rsid w:val="00E573F9"/>
    <w:rsid w:val="00E611F2"/>
    <w:rsid w:val="00E61990"/>
    <w:rsid w:val="00E61EEC"/>
    <w:rsid w:val="00E62162"/>
    <w:rsid w:val="00E63A12"/>
    <w:rsid w:val="00E64A2F"/>
    <w:rsid w:val="00E65C44"/>
    <w:rsid w:val="00E66306"/>
    <w:rsid w:val="00E7160E"/>
    <w:rsid w:val="00E724D1"/>
    <w:rsid w:val="00E7398D"/>
    <w:rsid w:val="00E74213"/>
    <w:rsid w:val="00E7598D"/>
    <w:rsid w:val="00E75F10"/>
    <w:rsid w:val="00E8034E"/>
    <w:rsid w:val="00E818E1"/>
    <w:rsid w:val="00E823E3"/>
    <w:rsid w:val="00E851AE"/>
    <w:rsid w:val="00E85489"/>
    <w:rsid w:val="00E86112"/>
    <w:rsid w:val="00E9317D"/>
    <w:rsid w:val="00E9719E"/>
    <w:rsid w:val="00EA0E3C"/>
    <w:rsid w:val="00EA22AA"/>
    <w:rsid w:val="00EA5366"/>
    <w:rsid w:val="00EB0C65"/>
    <w:rsid w:val="00EB36F5"/>
    <w:rsid w:val="00EB3D26"/>
    <w:rsid w:val="00EB4487"/>
    <w:rsid w:val="00EB474C"/>
    <w:rsid w:val="00EB5A85"/>
    <w:rsid w:val="00EB704B"/>
    <w:rsid w:val="00EB75E8"/>
    <w:rsid w:val="00EC0CD8"/>
    <w:rsid w:val="00EC2E5D"/>
    <w:rsid w:val="00EC4DE8"/>
    <w:rsid w:val="00EC4E24"/>
    <w:rsid w:val="00EC5F4E"/>
    <w:rsid w:val="00ED02B1"/>
    <w:rsid w:val="00ED28FC"/>
    <w:rsid w:val="00ED695C"/>
    <w:rsid w:val="00EE0896"/>
    <w:rsid w:val="00EE1720"/>
    <w:rsid w:val="00EE196D"/>
    <w:rsid w:val="00EE3CE0"/>
    <w:rsid w:val="00EE4424"/>
    <w:rsid w:val="00EE6513"/>
    <w:rsid w:val="00EE6809"/>
    <w:rsid w:val="00EE6BF2"/>
    <w:rsid w:val="00EF0961"/>
    <w:rsid w:val="00EF1D8F"/>
    <w:rsid w:val="00EF2A4F"/>
    <w:rsid w:val="00EF5D58"/>
    <w:rsid w:val="00F01710"/>
    <w:rsid w:val="00F017EA"/>
    <w:rsid w:val="00F03042"/>
    <w:rsid w:val="00F04315"/>
    <w:rsid w:val="00F10D8A"/>
    <w:rsid w:val="00F12C0A"/>
    <w:rsid w:val="00F22526"/>
    <w:rsid w:val="00F22FEC"/>
    <w:rsid w:val="00F252EB"/>
    <w:rsid w:val="00F25954"/>
    <w:rsid w:val="00F26277"/>
    <w:rsid w:val="00F31D7E"/>
    <w:rsid w:val="00F43CC3"/>
    <w:rsid w:val="00F4444A"/>
    <w:rsid w:val="00F4495B"/>
    <w:rsid w:val="00F47DF2"/>
    <w:rsid w:val="00F51715"/>
    <w:rsid w:val="00F539C4"/>
    <w:rsid w:val="00F6115B"/>
    <w:rsid w:val="00F63A17"/>
    <w:rsid w:val="00F64BAD"/>
    <w:rsid w:val="00F64D2B"/>
    <w:rsid w:val="00F652A2"/>
    <w:rsid w:val="00F7274B"/>
    <w:rsid w:val="00F77AF1"/>
    <w:rsid w:val="00F77DB8"/>
    <w:rsid w:val="00F81134"/>
    <w:rsid w:val="00F83973"/>
    <w:rsid w:val="00F84EE0"/>
    <w:rsid w:val="00F86351"/>
    <w:rsid w:val="00F8739D"/>
    <w:rsid w:val="00F903B3"/>
    <w:rsid w:val="00F938F5"/>
    <w:rsid w:val="00F95A21"/>
    <w:rsid w:val="00F9771B"/>
    <w:rsid w:val="00F97FE0"/>
    <w:rsid w:val="00FA06C3"/>
    <w:rsid w:val="00FA6360"/>
    <w:rsid w:val="00FB0248"/>
    <w:rsid w:val="00FB0887"/>
    <w:rsid w:val="00FB0CD1"/>
    <w:rsid w:val="00FB37F1"/>
    <w:rsid w:val="00FB6778"/>
    <w:rsid w:val="00FB70BB"/>
    <w:rsid w:val="00FB7ABE"/>
    <w:rsid w:val="00FC1CD3"/>
    <w:rsid w:val="00FC55D9"/>
    <w:rsid w:val="00FC7254"/>
    <w:rsid w:val="00FD40FA"/>
    <w:rsid w:val="00FE1315"/>
    <w:rsid w:val="0FB510A6"/>
    <w:rsid w:val="149F7E90"/>
    <w:rsid w:val="1F841814"/>
    <w:rsid w:val="401F3902"/>
    <w:rsid w:val="554F2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name="Body Text Indent 2"/>
    <w:lsdException w:qFormat="1"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qFormat="1" w:unhideWhenUsed="0" w:uiPriority="0" w:semiHidden="0"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macro"/>
    <w:link w:val="29"/>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3">
    <w:name w:val="Normal Indent"/>
    <w:basedOn w:val="1"/>
    <w:link w:val="30"/>
    <w:qFormat/>
    <w:uiPriority w:val="0"/>
    <w:pPr>
      <w:ind w:firstLine="420" w:firstLineChars="200"/>
    </w:pPr>
    <w:rPr>
      <w:rFonts w:eastAsia="宋体"/>
    </w:rPr>
  </w:style>
  <w:style w:type="paragraph" w:styleId="4">
    <w:name w:val="Body Text"/>
    <w:basedOn w:val="1"/>
    <w:next w:val="1"/>
    <w:link w:val="24"/>
    <w:unhideWhenUsed/>
    <w:qFormat/>
    <w:uiPriority w:val="99"/>
    <w:pPr>
      <w:spacing w:after="120"/>
    </w:pPr>
  </w:style>
  <w:style w:type="paragraph" w:styleId="5">
    <w:name w:val="Body Text Indent"/>
    <w:basedOn w:val="1"/>
    <w:link w:val="22"/>
    <w:semiHidden/>
    <w:unhideWhenUsed/>
    <w:qFormat/>
    <w:uiPriority w:val="99"/>
    <w:pPr>
      <w:spacing w:after="120"/>
      <w:ind w:left="420" w:leftChars="200"/>
    </w:pPr>
  </w:style>
  <w:style w:type="paragraph" w:styleId="6">
    <w:name w:val="Plain Text"/>
    <w:basedOn w:val="1"/>
    <w:link w:val="40"/>
    <w:qFormat/>
    <w:uiPriority w:val="0"/>
    <w:rPr>
      <w:rFonts w:ascii="宋体" w:hAnsi="Courier New" w:eastAsia="宋体"/>
      <w:szCs w:val="21"/>
    </w:rPr>
  </w:style>
  <w:style w:type="paragraph" w:styleId="7">
    <w:name w:val="Body Text Indent 2"/>
    <w:basedOn w:val="1"/>
    <w:link w:val="43"/>
    <w:semiHidden/>
    <w:unhideWhenUsed/>
    <w:qFormat/>
    <w:uiPriority w:val="99"/>
    <w:pPr>
      <w:spacing w:after="120" w:line="480" w:lineRule="auto"/>
      <w:ind w:left="420" w:leftChars="200"/>
    </w:p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link w:val="42"/>
    <w:semiHidden/>
    <w:unhideWhenUsed/>
    <w:qFormat/>
    <w:uiPriority w:val="99"/>
    <w:pPr>
      <w:spacing w:after="120"/>
      <w:ind w:left="420" w:leftChars="200"/>
    </w:pPr>
    <w:rPr>
      <w:sz w:val="16"/>
      <w:szCs w:val="16"/>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Body Text First Indent"/>
    <w:basedOn w:val="4"/>
    <w:next w:val="1"/>
    <w:link w:val="25"/>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Body Text First Indent 2"/>
    <w:basedOn w:val="1"/>
    <w:link w:val="23"/>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5">
    <w:name w:val="Table Grid"/>
    <w:basedOn w:val="1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semiHidden/>
    <w:unhideWhenUsed/>
    <w:qFormat/>
    <w:uiPriority w:val="99"/>
    <w:rPr>
      <w:color w:val="800080" w:themeColor="followedHyperlink"/>
      <w:u w:val="single"/>
      <w14:textFill>
        <w14:solidFill>
          <w14:schemeClr w14:val="folHlink"/>
        </w14:solidFill>
      </w14:textFill>
    </w:rPr>
  </w:style>
  <w:style w:type="character" w:styleId="18">
    <w:name w:val="HTML Definition"/>
    <w:basedOn w:val="16"/>
    <w:qFormat/>
    <w:uiPriority w:val="0"/>
    <w:rPr>
      <w:rFonts w:eastAsia="宋体"/>
      <w:i/>
      <w:iCs/>
      <w:kern w:val="2"/>
      <w:sz w:val="18"/>
      <w:szCs w:val="18"/>
      <w:lang w:val="en-US" w:eastAsia="zh-CN" w:bidi="ar-SA"/>
    </w:rPr>
  </w:style>
  <w:style w:type="character" w:styleId="19">
    <w:name w:val="Hyperlink"/>
    <w:basedOn w:val="16"/>
    <w:semiHidden/>
    <w:unhideWhenUsed/>
    <w:qFormat/>
    <w:uiPriority w:val="99"/>
    <w:rPr>
      <w:color w:val="0000FF"/>
      <w:u w:val="single"/>
    </w:rPr>
  </w:style>
  <w:style w:type="character" w:customStyle="1" w:styleId="20">
    <w:name w:val="页眉 字符"/>
    <w:basedOn w:val="16"/>
    <w:link w:val="9"/>
    <w:qFormat/>
    <w:uiPriority w:val="99"/>
    <w:rPr>
      <w:sz w:val="18"/>
      <w:szCs w:val="18"/>
    </w:rPr>
  </w:style>
  <w:style w:type="character" w:customStyle="1" w:styleId="21">
    <w:name w:val="页脚 字符"/>
    <w:basedOn w:val="16"/>
    <w:link w:val="8"/>
    <w:qFormat/>
    <w:uiPriority w:val="99"/>
    <w:rPr>
      <w:sz w:val="18"/>
      <w:szCs w:val="18"/>
    </w:rPr>
  </w:style>
  <w:style w:type="character" w:customStyle="1" w:styleId="22">
    <w:name w:val="正文文本缩进 字符"/>
    <w:basedOn w:val="16"/>
    <w:link w:val="5"/>
    <w:semiHidden/>
    <w:qFormat/>
    <w:uiPriority w:val="99"/>
  </w:style>
  <w:style w:type="character" w:customStyle="1" w:styleId="23">
    <w:name w:val="正文首行缩进 2 字符"/>
    <w:basedOn w:val="22"/>
    <w:link w:val="13"/>
    <w:qFormat/>
    <w:uiPriority w:val="99"/>
    <w:rPr>
      <w:rFonts w:ascii="宋体" w:hAnsi="宋体" w:eastAsia="宋体" w:cs="宋体"/>
      <w:kern w:val="0"/>
      <w:sz w:val="24"/>
      <w:szCs w:val="24"/>
    </w:rPr>
  </w:style>
  <w:style w:type="character" w:customStyle="1" w:styleId="24">
    <w:name w:val="正文文本 字符"/>
    <w:basedOn w:val="16"/>
    <w:link w:val="4"/>
    <w:qFormat/>
    <w:uiPriority w:val="99"/>
  </w:style>
  <w:style w:type="character" w:customStyle="1" w:styleId="25">
    <w:name w:val="正文首行缩进 字符"/>
    <w:basedOn w:val="24"/>
    <w:link w:val="12"/>
    <w:semiHidden/>
    <w:qFormat/>
    <w:uiPriority w:val="99"/>
    <w:rPr>
      <w:rFonts w:ascii="宋体" w:hAnsi="宋体" w:eastAsia="宋体" w:cs="宋体"/>
      <w:kern w:val="0"/>
      <w:sz w:val="24"/>
      <w:szCs w:val="24"/>
    </w:rPr>
  </w:style>
  <w:style w:type="paragraph" w:styleId="26">
    <w:name w:val="List Paragraph"/>
    <w:basedOn w:val="1"/>
    <w:qFormat/>
    <w:uiPriority w:val="34"/>
    <w:pPr>
      <w:ind w:firstLine="420" w:firstLineChars="200"/>
    </w:pPr>
  </w:style>
  <w:style w:type="character" w:customStyle="1" w:styleId="27">
    <w:name w:val="Char Char Char Char Char Char Char"/>
    <w:link w:val="28"/>
    <w:qFormat/>
    <w:uiPriority w:val="0"/>
    <w:rPr>
      <w:rFonts w:eastAsia="宋体"/>
      <w:sz w:val="28"/>
      <w:szCs w:val="28"/>
    </w:rPr>
  </w:style>
  <w:style w:type="paragraph" w:customStyle="1" w:styleId="28">
    <w:name w:val="Char Char Char Char Char Char"/>
    <w:basedOn w:val="1"/>
    <w:next w:val="2"/>
    <w:link w:val="27"/>
    <w:qFormat/>
    <w:uiPriority w:val="0"/>
    <w:rPr>
      <w:rFonts w:eastAsia="宋体"/>
      <w:sz w:val="28"/>
      <w:szCs w:val="28"/>
    </w:rPr>
  </w:style>
  <w:style w:type="character" w:customStyle="1" w:styleId="29">
    <w:name w:val="宏文本 字符"/>
    <w:basedOn w:val="16"/>
    <w:link w:val="2"/>
    <w:semiHidden/>
    <w:qFormat/>
    <w:uiPriority w:val="99"/>
    <w:rPr>
      <w:rFonts w:ascii="Courier New" w:hAnsi="Courier New" w:eastAsia="宋体" w:cs="Courier New"/>
      <w:sz w:val="24"/>
      <w:szCs w:val="24"/>
    </w:rPr>
  </w:style>
  <w:style w:type="character" w:customStyle="1" w:styleId="30">
    <w:name w:val="正文缩进 字符"/>
    <w:link w:val="3"/>
    <w:qFormat/>
    <w:uiPriority w:val="0"/>
    <w:rPr>
      <w:rFonts w:eastAsia="宋体"/>
    </w:rPr>
  </w:style>
  <w:style w:type="character" w:customStyle="1" w:styleId="31">
    <w:name w:val="1、正文文本 Char"/>
    <w:link w:val="32"/>
    <w:qFormat/>
    <w:uiPriority w:val="0"/>
    <w:rPr>
      <w:rFonts w:cs="宋体"/>
      <w:sz w:val="24"/>
    </w:rPr>
  </w:style>
  <w:style w:type="paragraph" w:customStyle="1" w:styleId="32">
    <w:name w:val="1、正文文本"/>
    <w:next w:val="1"/>
    <w:link w:val="31"/>
    <w:qFormat/>
    <w:uiPriority w:val="0"/>
    <w:pPr>
      <w:wordWrap w:val="0"/>
      <w:adjustRightInd w:val="0"/>
      <w:snapToGrid w:val="0"/>
      <w:spacing w:line="360" w:lineRule="auto"/>
      <w:ind w:firstLine="200" w:firstLineChars="200"/>
    </w:pPr>
    <w:rPr>
      <w:rFonts w:cs="宋体" w:asciiTheme="minorHAnsi" w:hAnsiTheme="minorHAnsi" w:eastAsiaTheme="minorEastAsia"/>
      <w:kern w:val="2"/>
      <w:sz w:val="24"/>
      <w:szCs w:val="22"/>
      <w:lang w:val="en-US" w:eastAsia="zh-CN" w:bidi="ar-SA"/>
    </w:rPr>
  </w:style>
  <w:style w:type="paragraph" w:customStyle="1" w:styleId="33">
    <w:name w:val="Char Char Char3 Char Char Char Char Char Char Char Char Char Char Char Char Char Char Char"/>
    <w:basedOn w:val="1"/>
    <w:qFormat/>
    <w:uiPriority w:val="0"/>
    <w:rPr>
      <w:rFonts w:ascii="Times New Roman" w:hAnsi="Times New Roman" w:eastAsia="宋体" w:cs="Times New Roman"/>
      <w:szCs w:val="24"/>
    </w:rPr>
  </w:style>
  <w:style w:type="paragraph" w:customStyle="1" w:styleId="34">
    <w:name w:val="表格文字"/>
    <w:basedOn w:val="1"/>
    <w:next w:val="1"/>
    <w:qFormat/>
    <w:uiPriority w:val="0"/>
    <w:pPr>
      <w:jc w:val="center"/>
    </w:pPr>
    <w:rPr>
      <w:rFonts w:ascii="Times New Roman" w:hAnsi="Times New Roman" w:eastAsia="宋体" w:cs="Times New Roman"/>
      <w:szCs w:val="20"/>
    </w:rPr>
  </w:style>
  <w:style w:type="table" w:customStyle="1" w:styleId="35">
    <w:name w:val="1"/>
    <w:basedOn w:val="14"/>
    <w:qFormat/>
    <w:uiPriority w:val="99"/>
    <w:pPr>
      <w:jc w:val="center"/>
    </w:pPr>
    <w:rPr>
      <w:rFonts w:ascii="Times New Roman" w:hAnsi="Times New Roman" w:eastAsia="Times New Roman" w:cs="Times New Roman"/>
      <w:szCs w:val="28"/>
    </w:rPr>
    <w:tblPr>
      <w:jc w:val="center"/>
      <w:tblBorders>
        <w:top w:val="single" w:color="auto" w:sz="12" w:space="0"/>
        <w:bottom w:val="single" w:color="auto" w:sz="12" w:space="0"/>
        <w:insideH w:val="single" w:color="auto" w:sz="4" w:space="0"/>
        <w:insideV w:val="single" w:color="auto" w:sz="4" w:space="0"/>
      </w:tblBorders>
    </w:tblPr>
    <w:trPr>
      <w:jc w:val="center"/>
    </w:trPr>
    <w:tcPr>
      <w:vAlign w:val="center"/>
    </w:tcPr>
    <w:tblStylePr w:type="firstRow">
      <w:rPr>
        <w:rFonts w:ascii="Times New Roman" w:hAnsi="Times New Roman" w:cs="Times New Roman"/>
        <w:b/>
        <w:sz w:val="21"/>
        <w:szCs w:val="21"/>
      </w:rPr>
    </w:tblStylePr>
    <w:tblStylePr w:type="lastRow">
      <w:rPr>
        <w:rFonts w:eastAsia="Times New Roman"/>
        <w:sz w:val="21"/>
      </w:rPr>
    </w:tblStylePr>
  </w:style>
  <w:style w:type="paragraph" w:customStyle="1" w:styleId="36">
    <w:name w:val="正文001"/>
    <w:basedOn w:val="1"/>
    <w:qFormat/>
    <w:uiPriority w:val="0"/>
    <w:pPr>
      <w:spacing w:before="60" w:line="460" w:lineRule="exact"/>
      <w:ind w:firstLine="200" w:firstLineChars="200"/>
    </w:pPr>
    <w:rPr>
      <w:rFonts w:ascii="Arial" w:hAnsi="Arial" w:eastAsia="宋体" w:cs="Times New Roman"/>
      <w:sz w:val="24"/>
      <w:szCs w:val="20"/>
    </w:rPr>
  </w:style>
  <w:style w:type="character" w:customStyle="1" w:styleId="37">
    <w:name w:val="ypy正文 Char"/>
    <w:basedOn w:val="16"/>
    <w:link w:val="38"/>
    <w:qFormat/>
    <w:uiPriority w:val="0"/>
    <w:rPr>
      <w:rFonts w:eastAsia="宋体"/>
      <w:sz w:val="24"/>
      <w:szCs w:val="24"/>
    </w:rPr>
  </w:style>
  <w:style w:type="paragraph" w:customStyle="1" w:styleId="38">
    <w:name w:val="ypy正文"/>
    <w:basedOn w:val="1"/>
    <w:link w:val="37"/>
    <w:qFormat/>
    <w:uiPriority w:val="0"/>
    <w:pPr>
      <w:spacing w:line="360" w:lineRule="auto"/>
      <w:ind w:firstLine="200" w:firstLineChars="200"/>
    </w:pPr>
    <w:rPr>
      <w:rFonts w:eastAsia="宋体"/>
      <w:sz w:val="24"/>
      <w:szCs w:val="24"/>
    </w:rPr>
  </w:style>
  <w:style w:type="paragraph" w:customStyle="1" w:styleId="39">
    <w:name w:val="表格1"/>
    <w:basedOn w:val="1"/>
    <w:next w:val="1"/>
    <w:qFormat/>
    <w:uiPriority w:val="0"/>
    <w:pPr>
      <w:snapToGrid w:val="0"/>
      <w:spacing w:line="440" w:lineRule="atLeast"/>
      <w:jc w:val="center"/>
    </w:pPr>
    <w:rPr>
      <w:rFonts w:ascii="Times New Roman" w:hAnsi="Times New Roman" w:eastAsia="宋体" w:cs="Times New Roman"/>
      <w:snapToGrid w:val="0"/>
      <w:color w:val="000000"/>
      <w:kern w:val="0"/>
      <w:sz w:val="24"/>
      <w:szCs w:val="24"/>
    </w:rPr>
  </w:style>
  <w:style w:type="character" w:customStyle="1" w:styleId="40">
    <w:name w:val="纯文本 字符"/>
    <w:link w:val="6"/>
    <w:qFormat/>
    <w:uiPriority w:val="0"/>
    <w:rPr>
      <w:rFonts w:ascii="宋体" w:hAnsi="Courier New" w:eastAsia="宋体"/>
      <w:szCs w:val="21"/>
    </w:rPr>
  </w:style>
  <w:style w:type="character" w:customStyle="1" w:styleId="41">
    <w:name w:val="纯文本 Char1"/>
    <w:basedOn w:val="16"/>
    <w:semiHidden/>
    <w:qFormat/>
    <w:uiPriority w:val="99"/>
    <w:rPr>
      <w:rFonts w:ascii="宋体" w:hAnsi="Courier New" w:eastAsia="宋体" w:cs="Courier New"/>
      <w:szCs w:val="21"/>
    </w:rPr>
  </w:style>
  <w:style w:type="character" w:customStyle="1" w:styleId="42">
    <w:name w:val="正文文本缩进 3 字符"/>
    <w:basedOn w:val="16"/>
    <w:link w:val="10"/>
    <w:semiHidden/>
    <w:qFormat/>
    <w:uiPriority w:val="99"/>
    <w:rPr>
      <w:sz w:val="16"/>
      <w:szCs w:val="16"/>
    </w:rPr>
  </w:style>
  <w:style w:type="character" w:customStyle="1" w:styleId="43">
    <w:name w:val="正文文本缩进 2 字符"/>
    <w:basedOn w:val="16"/>
    <w:link w:val="7"/>
    <w:semiHidden/>
    <w:qFormat/>
    <w:uiPriority w:val="99"/>
  </w:style>
  <w:style w:type="paragraph" w:customStyle="1" w:styleId="44">
    <w:name w:val="翔一正文"/>
    <w:basedOn w:val="1"/>
    <w:next w:val="1"/>
    <w:semiHidden/>
    <w:qFormat/>
    <w:uiPriority w:val="0"/>
    <w:pPr>
      <w:spacing w:line="360" w:lineRule="auto"/>
      <w:ind w:firstLine="1446" w:firstLineChars="200"/>
    </w:pPr>
    <w:rPr>
      <w:rFonts w:ascii="Times New Roman" w:hAnsi="Times New Roman" w:eastAsia="宋体" w:cs="Times New Roman"/>
      <w:sz w:val="24"/>
    </w:rPr>
  </w:style>
  <w:style w:type="paragraph" w:customStyle="1" w:styleId="45">
    <w:name w:val="S报告正文"/>
    <w:basedOn w:val="1"/>
    <w:qFormat/>
    <w:uiPriority w:val="0"/>
    <w:pPr>
      <w:adjustRightInd w:val="0"/>
      <w:snapToGrid w:val="0"/>
      <w:spacing w:line="480" w:lineRule="exact"/>
      <w:ind w:firstLine="510"/>
      <w:jc w:val="left"/>
    </w:pPr>
    <w:rPr>
      <w:sz w:val="24"/>
    </w:rPr>
  </w:style>
  <w:style w:type="paragraph" w:customStyle="1" w:styleId="46">
    <w:name w:val="文本正文"/>
    <w:qFormat/>
    <w:uiPriority w:val="0"/>
    <w:pPr>
      <w:adjustRightInd w:val="0"/>
      <w:snapToGrid w:val="0"/>
      <w:spacing w:line="360" w:lineRule="auto"/>
      <w:ind w:firstLine="200" w:firstLineChars="200"/>
    </w:pPr>
    <w:rPr>
      <w:rFonts w:ascii="Times New Roman" w:hAnsi="Times New Roman" w:eastAsia="宋体" w:cs="Times New Roman"/>
      <w:sz w:val="28"/>
      <w:szCs w:val="22"/>
      <w:lang w:val="en-US" w:eastAsia="zh-CN" w:bidi="ar-SA"/>
    </w:rPr>
  </w:style>
  <w:style w:type="paragraph" w:customStyle="1" w:styleId="47">
    <w:name w:val="报告表正文"/>
    <w:basedOn w:val="1"/>
    <w:qFormat/>
    <w:uiPriority w:val="0"/>
    <w:pPr>
      <w:adjustRightInd w:val="0"/>
      <w:spacing w:line="312" w:lineRule="auto"/>
      <w:ind w:left="113" w:right="113" w:firstLine="482"/>
      <w:jc w:val="left"/>
      <w:textAlignment w:val="baseline"/>
    </w:pPr>
    <w:rPr>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7</Pages>
  <Words>5562</Words>
  <Characters>5770</Characters>
  <Lines>41</Lines>
  <Paragraphs>11</Paragraphs>
  <TotalTime>0</TotalTime>
  <ScaleCrop>false</ScaleCrop>
  <LinksUpToDate>false</LinksUpToDate>
  <CharactersWithSpaces>5803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2024-10-22T05:46:00Z</dcterms:created>
  <dc:creator>微软用户</dc:creator>
  <cp:lastModifiedBy>NTKO</cp:lastModifiedBy>
  <dcterms:modified xsi:type="dcterms:W3CDTF">2025-01-14T06:43:08Z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09E7BF2F9D514F90A44F5002E782839A</vt:lpwstr>
  </property>
  <property fmtid="{D5CDD505-2E9C-101B-9397-08002B2CF9AE}" pid="4" name="KSOTemplateDocerSaveRecord">
    <vt:lpwstr>eyJoZGlkIjoiM2MzNTFmYmQ4NWE2OWNmZDIxODVlOTNmMTlhNGFmNWYifQ==</vt:lpwstr>
  </property>
</Properties>
</file>