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111BD">
      <w:pPr>
        <w:rPr>
          <w:rFonts w:ascii="仿宋_GB2312" w:hAnsi="仿宋_GB2312" w:eastAsia="仿宋_GB2312" w:cs="仿宋_GB2312"/>
          <w:sz w:val="36"/>
          <w:szCs w:val="36"/>
          <w:u w:val="none"/>
        </w:rPr>
      </w:pPr>
    </w:p>
    <w:p w14:paraId="1AC720D7">
      <w:pPr>
        <w:rPr>
          <w:rFonts w:ascii="仿宋_GB2312" w:hAnsi="仿宋_GB2312" w:eastAsia="仿宋_GB2312" w:cs="仿宋_GB2312"/>
          <w:sz w:val="36"/>
          <w:szCs w:val="36"/>
          <w:u w:val="none"/>
        </w:rPr>
      </w:pPr>
    </w:p>
    <w:p w14:paraId="11B0ED6A">
      <w:pPr>
        <w:rPr>
          <w:rFonts w:ascii="仿宋_GB2312" w:hAnsi="仿宋_GB2312" w:eastAsia="仿宋_GB2312" w:cs="仿宋_GB2312"/>
          <w:sz w:val="36"/>
          <w:szCs w:val="36"/>
          <w:u w:val="none"/>
        </w:rPr>
      </w:pPr>
    </w:p>
    <w:p w14:paraId="15949886">
      <w:pPr>
        <w:rPr>
          <w:rFonts w:ascii="仿宋_GB2312" w:hAnsi="仿宋_GB2312" w:eastAsia="仿宋_GB2312" w:cs="仿宋_GB2312"/>
          <w:sz w:val="36"/>
          <w:szCs w:val="36"/>
          <w:u w:val="none"/>
        </w:rPr>
      </w:pPr>
    </w:p>
    <w:p w14:paraId="5A637C78">
      <w:pPr>
        <w:rPr>
          <w:rFonts w:ascii="仿宋_GB2312" w:hAnsi="仿宋_GB2312" w:eastAsia="仿宋_GB2312" w:cs="仿宋_GB2312"/>
          <w:sz w:val="36"/>
          <w:szCs w:val="36"/>
          <w:u w:val="none"/>
        </w:rPr>
      </w:pPr>
    </w:p>
    <w:p w14:paraId="2B45C124">
      <w:pPr>
        <w:adjustRightInd w:val="0"/>
        <w:snapToGrid w:val="0"/>
        <w:jc w:val="center"/>
        <w:rPr>
          <w:rFonts w:ascii="方正小标宋_GBK" w:eastAsia="方正小标宋_GBK"/>
          <w:bCs/>
          <w:sz w:val="72"/>
          <w:szCs w:val="72"/>
          <w:u w:val="none"/>
        </w:rPr>
      </w:pPr>
      <w:r>
        <w:rPr>
          <w:rFonts w:hint="eastAsia" w:ascii="方正小标宋_GBK" w:eastAsia="方正小标宋_GBK"/>
          <w:bCs/>
          <w:sz w:val="72"/>
          <w:szCs w:val="72"/>
          <w:u w:val="none"/>
        </w:rPr>
        <w:t>建设项目环境影响报告表</w:t>
      </w:r>
    </w:p>
    <w:p w14:paraId="59E3275E">
      <w:pPr>
        <w:adjustRightInd w:val="0"/>
        <w:snapToGrid w:val="0"/>
        <w:spacing w:before="192" w:beforeLines="80"/>
        <w:jc w:val="center"/>
        <w:rPr>
          <w:rFonts w:ascii="楷体_GB2312" w:eastAsia="楷体_GB2312"/>
          <w:bCs/>
          <w:sz w:val="48"/>
          <w:szCs w:val="48"/>
          <w:u w:val="none"/>
        </w:rPr>
      </w:pPr>
      <w:r>
        <w:rPr>
          <w:rFonts w:hint="eastAsia" w:ascii="楷体_GB2312" w:eastAsia="楷体_GB2312"/>
          <w:bCs/>
          <w:sz w:val="48"/>
          <w:szCs w:val="48"/>
          <w:u w:val="none"/>
        </w:rPr>
        <w:t>（污染影响类-报批稿）</w:t>
      </w:r>
    </w:p>
    <w:p w14:paraId="4E8B1A3E">
      <w:pPr>
        <w:adjustRightInd w:val="0"/>
        <w:snapToGrid w:val="0"/>
        <w:spacing w:line="288" w:lineRule="auto"/>
        <w:jc w:val="center"/>
        <w:rPr>
          <w:rFonts w:ascii="华文仿宋" w:hAnsi="华文仿宋" w:eastAsia="华文仿宋" w:cs="华文仿宋"/>
          <w:kern w:val="44"/>
          <w:sz w:val="44"/>
          <w:szCs w:val="44"/>
          <w:u w:val="none"/>
        </w:rPr>
      </w:pPr>
    </w:p>
    <w:p w14:paraId="57CAA1BB">
      <w:pPr>
        <w:jc w:val="center"/>
        <w:rPr>
          <w:rFonts w:eastAsia="仿宋"/>
          <w:sz w:val="52"/>
          <w:szCs w:val="52"/>
          <w:u w:val="none"/>
        </w:rPr>
      </w:pPr>
    </w:p>
    <w:p w14:paraId="156A3A07">
      <w:pPr>
        <w:ind w:firstLine="1040"/>
        <w:rPr>
          <w:rFonts w:eastAsia="仿宋"/>
          <w:sz w:val="44"/>
          <w:szCs w:val="44"/>
          <w:u w:val="none"/>
        </w:rPr>
      </w:pPr>
    </w:p>
    <w:p w14:paraId="21ABDAFF">
      <w:pPr>
        <w:ind w:firstLine="1040"/>
        <w:rPr>
          <w:rFonts w:eastAsia="仿宋"/>
          <w:sz w:val="44"/>
          <w:szCs w:val="44"/>
          <w:u w:val="none"/>
        </w:rPr>
      </w:pPr>
    </w:p>
    <w:p w14:paraId="74EB8768">
      <w:pPr>
        <w:ind w:firstLine="1040"/>
        <w:rPr>
          <w:rFonts w:eastAsia="仿宋"/>
          <w:sz w:val="44"/>
          <w:szCs w:val="44"/>
          <w:u w:val="none"/>
        </w:rPr>
      </w:pPr>
    </w:p>
    <w:p w14:paraId="4F9C9E70">
      <w:pPr>
        <w:ind w:firstLine="1040"/>
        <w:rPr>
          <w:rFonts w:eastAsia="仿宋"/>
          <w:sz w:val="28"/>
          <w:szCs w:val="28"/>
          <w:u w:val="none"/>
        </w:rPr>
      </w:pPr>
    </w:p>
    <w:p w14:paraId="519A7650">
      <w:pPr>
        <w:adjustRightInd w:val="0"/>
        <w:spacing w:line="360" w:lineRule="auto"/>
        <w:ind w:left="1807" w:hanging="1807" w:hangingChars="500"/>
        <w:rPr>
          <w:rFonts w:eastAsia="仿宋_GB2312"/>
          <w:b/>
          <w:bCs/>
          <w:sz w:val="36"/>
          <w:szCs w:val="36"/>
          <w:u w:val="none"/>
        </w:rPr>
      </w:pPr>
      <w:r>
        <w:rPr>
          <w:rFonts w:eastAsia="仿宋_GB2312"/>
          <w:b/>
          <w:bCs/>
          <w:sz w:val="36"/>
          <w:szCs w:val="36"/>
          <w:u w:val="none"/>
        </w:rPr>
        <w:t>项目名称：</w:t>
      </w:r>
      <w:r>
        <w:rPr>
          <w:rFonts w:hint="eastAsia" w:eastAsia="仿宋_GB2312"/>
          <w:b/>
          <w:bCs/>
          <w:sz w:val="36"/>
          <w:szCs w:val="36"/>
          <w:u w:val="none"/>
        </w:rPr>
        <w:t xml:space="preserve">羊场产业园矿产品仓储物流基地二期工程                                 </w:t>
      </w:r>
    </w:p>
    <w:p w14:paraId="5574D33D">
      <w:pPr>
        <w:adjustRightInd w:val="0"/>
        <w:spacing w:line="360" w:lineRule="auto"/>
        <w:ind w:left="3253" w:hanging="3253" w:hangingChars="900"/>
        <w:rPr>
          <w:rFonts w:eastAsia="仿宋_GB2312"/>
          <w:b/>
          <w:bCs/>
          <w:sz w:val="36"/>
          <w:szCs w:val="36"/>
          <w:u w:val="none"/>
        </w:rPr>
      </w:pPr>
      <w:r>
        <w:rPr>
          <w:rFonts w:eastAsia="仿宋_GB2312"/>
          <w:b/>
          <w:bCs/>
          <w:sz w:val="36"/>
          <w:szCs w:val="36"/>
          <w:u w:val="none"/>
        </w:rPr>
        <w:t>建设单位（盖章）：</w:t>
      </w:r>
      <w:r>
        <w:rPr>
          <w:rFonts w:hint="eastAsia" w:eastAsia="仿宋_GB2312"/>
          <w:b/>
          <w:bCs/>
          <w:sz w:val="36"/>
          <w:szCs w:val="36"/>
          <w:u w:val="none"/>
        </w:rPr>
        <w:t>曲靖市宣威市喧宇商贸有限责任公</w:t>
      </w:r>
      <w:r>
        <w:rPr>
          <w:rFonts w:hint="eastAsia" w:eastAsia="仿宋_GB2312"/>
          <w:b/>
          <w:bCs/>
          <w:sz w:val="36"/>
          <w:szCs w:val="36"/>
          <w:u w:val="none"/>
        </w:rPr>
        <w:t xml:space="preserve">司                               </w:t>
      </w:r>
    </w:p>
    <w:p w14:paraId="47551A0F">
      <w:pPr>
        <w:adjustRightInd w:val="0"/>
        <w:spacing w:line="360" w:lineRule="auto"/>
        <w:ind w:left="3253" w:hanging="3253" w:hangingChars="900"/>
        <w:rPr>
          <w:rFonts w:ascii="仿宋_GB2312" w:eastAsia="仿宋_GB2312"/>
          <w:b/>
          <w:bCs/>
          <w:sz w:val="36"/>
          <w:szCs w:val="36"/>
          <w:u w:val="none"/>
        </w:rPr>
      </w:pPr>
      <w:r>
        <w:rPr>
          <w:rFonts w:eastAsia="仿宋_GB2312"/>
          <w:b/>
          <w:bCs/>
          <w:sz w:val="36"/>
          <w:szCs w:val="36"/>
          <w:u w:val="none"/>
        </w:rPr>
        <w:t>编制日期：</w:t>
      </w:r>
      <w:r>
        <w:rPr>
          <w:rFonts w:hint="eastAsia" w:eastAsia="仿宋_GB2312"/>
          <w:b/>
          <w:bCs/>
          <w:sz w:val="36"/>
          <w:szCs w:val="36"/>
          <w:u w:val="none"/>
        </w:rPr>
        <w:t xml:space="preserve">             </w:t>
      </w:r>
      <w:r>
        <w:rPr>
          <w:rFonts w:eastAsia="仿宋_GB2312"/>
          <w:b/>
          <w:bCs/>
          <w:sz w:val="36"/>
          <w:szCs w:val="36"/>
          <w:u w:val="none"/>
        </w:rPr>
        <w:t>202</w:t>
      </w:r>
      <w:r>
        <w:rPr>
          <w:rFonts w:hint="eastAsia" w:eastAsia="仿宋_GB2312"/>
          <w:b/>
          <w:bCs/>
          <w:sz w:val="36"/>
          <w:szCs w:val="36"/>
          <w:u w:val="none"/>
        </w:rPr>
        <w:t>4</w:t>
      </w:r>
      <w:r>
        <w:rPr>
          <w:rFonts w:eastAsia="仿宋_GB2312"/>
          <w:b/>
          <w:bCs/>
          <w:sz w:val="36"/>
          <w:szCs w:val="36"/>
          <w:u w:val="none"/>
        </w:rPr>
        <w:t>年</w:t>
      </w:r>
      <w:r>
        <w:rPr>
          <w:rFonts w:hint="eastAsia" w:eastAsia="仿宋_GB2312"/>
          <w:b/>
          <w:bCs/>
          <w:sz w:val="36"/>
          <w:szCs w:val="36"/>
          <w:u w:val="none"/>
        </w:rPr>
        <w:t>12</w:t>
      </w:r>
      <w:r>
        <w:rPr>
          <w:rFonts w:eastAsia="仿宋_GB2312"/>
          <w:b/>
          <w:bCs/>
          <w:sz w:val="36"/>
          <w:szCs w:val="36"/>
          <w:u w:val="none"/>
        </w:rPr>
        <w:t>月</w:t>
      </w:r>
      <w:r>
        <w:rPr>
          <w:rFonts w:hint="eastAsia" w:eastAsia="仿宋_GB2312"/>
          <w:b/>
          <w:bCs/>
          <w:sz w:val="36"/>
          <w:szCs w:val="36"/>
          <w:u w:val="none"/>
        </w:rPr>
        <w:t xml:space="preserve">            </w:t>
      </w:r>
    </w:p>
    <w:p w14:paraId="096E13E9">
      <w:pPr>
        <w:adjustRightInd w:val="0"/>
        <w:snapToGrid w:val="0"/>
        <w:spacing w:line="288" w:lineRule="auto"/>
        <w:ind w:firstLine="1040"/>
        <w:rPr>
          <w:rFonts w:ascii="仿宋_GB2312" w:eastAsia="仿宋_GB2312"/>
          <w:sz w:val="36"/>
          <w:szCs w:val="36"/>
          <w:u w:val="none"/>
        </w:rPr>
      </w:pPr>
      <w:bookmarkStart w:id="0" w:name="_Hlk57884087"/>
    </w:p>
    <w:p w14:paraId="7E092EBF">
      <w:pPr>
        <w:adjustRightInd w:val="0"/>
        <w:snapToGrid w:val="0"/>
        <w:spacing w:line="288" w:lineRule="auto"/>
        <w:ind w:firstLine="1040"/>
        <w:rPr>
          <w:rFonts w:ascii="仿宋_GB2312" w:eastAsia="仿宋_GB2312"/>
          <w:sz w:val="36"/>
          <w:szCs w:val="36"/>
          <w:u w:val="none"/>
        </w:rPr>
      </w:pPr>
    </w:p>
    <w:p w14:paraId="39F52170">
      <w:pPr>
        <w:adjustRightInd w:val="0"/>
        <w:snapToGrid w:val="0"/>
        <w:spacing w:line="288" w:lineRule="auto"/>
        <w:ind w:firstLine="1040"/>
        <w:rPr>
          <w:rFonts w:ascii="仿宋_GB2312" w:eastAsia="仿宋_GB2312"/>
          <w:sz w:val="36"/>
          <w:szCs w:val="36"/>
          <w:u w:val="none"/>
        </w:rPr>
      </w:pPr>
    </w:p>
    <w:p w14:paraId="195B8DF3">
      <w:pPr>
        <w:adjustRightInd w:val="0"/>
        <w:snapToGrid w:val="0"/>
        <w:spacing w:line="288" w:lineRule="auto"/>
        <w:ind w:firstLine="1040"/>
        <w:rPr>
          <w:rFonts w:ascii="仿宋_GB2312" w:eastAsia="仿宋_GB2312"/>
          <w:sz w:val="36"/>
          <w:szCs w:val="36"/>
          <w:u w:val="none"/>
        </w:rPr>
      </w:pPr>
    </w:p>
    <w:bookmarkEnd w:id="0"/>
    <w:p w14:paraId="54DD96C2">
      <w:pPr>
        <w:adjustRightInd w:val="0"/>
        <w:snapToGrid w:val="0"/>
        <w:spacing w:line="288" w:lineRule="auto"/>
        <w:jc w:val="center"/>
        <w:rPr>
          <w:rFonts w:ascii="楷体_GB2312" w:eastAsia="楷体_GB2312"/>
          <w:b/>
          <w:bCs/>
          <w:sz w:val="36"/>
          <w:szCs w:val="36"/>
          <w:u w:val="none"/>
        </w:rPr>
      </w:pPr>
      <w:r>
        <w:rPr>
          <w:rFonts w:hint="eastAsia" w:ascii="楷体_GB2312" w:eastAsia="楷体_GB2312"/>
          <w:b/>
          <w:bCs/>
          <w:sz w:val="36"/>
          <w:szCs w:val="36"/>
          <w:u w:val="none"/>
        </w:rPr>
        <w:t>中华人民共和国</w:t>
      </w:r>
      <w:bookmarkStart w:id="50" w:name="_GoBack"/>
      <w:bookmarkEnd w:id="50"/>
      <w:r>
        <w:rPr>
          <w:rFonts w:hint="eastAsia" w:ascii="楷体_GB2312" w:eastAsia="楷体_GB2312"/>
          <w:b/>
          <w:bCs/>
          <w:sz w:val="36"/>
          <w:szCs w:val="36"/>
          <w:u w:val="none"/>
        </w:rPr>
        <w:t>生态环境部</w:t>
      </w:r>
      <w:r>
        <w:rPr>
          <w:rFonts w:hint="eastAsia" w:ascii="楷体_GB2312" w:eastAsia="楷体_GB2312"/>
          <w:b/>
          <w:bCs/>
          <w:sz w:val="36"/>
          <w:szCs w:val="36"/>
          <w:u w:val="thick" w:color="FFB03A"/>
          <w:shd w:val="clear" w:fill="FFEFD7"/>
        </w:rPr>
        <w:t>制</w:t>
      </w:r>
    </w:p>
    <w:p w14:paraId="25F3A1E9">
      <w:pPr>
        <w:pStyle w:val="152"/>
        <w:jc w:val="center"/>
        <w:rPr>
          <w:rFonts w:ascii="Times New Roman" w:hAnsi="Times New Roman"/>
          <w:color w:val="auto"/>
          <w:u w:val="none"/>
          <w:lang w:val="zh-CN"/>
        </w:rPr>
        <w:sectPr>
          <w:footerReference r:id="rId3" w:type="default"/>
          <w:pgSz w:w="11906" w:h="16838"/>
          <w:pgMar w:top="1701" w:right="1531" w:bottom="1701" w:left="1531" w:header="851" w:footer="1077" w:gutter="0"/>
          <w:pgNumType w:fmt="upperRoman" w:start="1"/>
          <w:cols w:space="720" w:num="1"/>
          <w:docGrid w:linePitch="312" w:charSpace="0"/>
        </w:sectPr>
      </w:pPr>
    </w:p>
    <w:p w14:paraId="6C5E719E">
      <w:pPr>
        <w:pStyle w:val="152"/>
        <w:jc w:val="center"/>
        <w:rPr>
          <w:rFonts w:ascii="Times New Roman" w:hAnsi="Times New Roman"/>
          <w:color w:val="auto"/>
          <w:u w:val="none"/>
        </w:rPr>
      </w:pPr>
      <w:r>
        <w:rPr>
          <w:rFonts w:ascii="Times New Roman" w:hAnsi="Times New Roman"/>
          <w:color w:val="auto"/>
          <w:u w:val="none"/>
          <w:lang w:val="zh-CN"/>
        </w:rPr>
        <w:t>目  录</w:t>
      </w:r>
    </w:p>
    <w:p w14:paraId="37B411ED">
      <w:pPr>
        <w:pStyle w:val="24"/>
        <w:tabs>
          <w:tab w:val="right" w:leader="dot" w:pos="8844"/>
        </w:tabs>
        <w:rPr>
          <w:rFonts w:ascii="Times New Roman" w:hAnsi="Times New Roman"/>
          <w:sz w:val="24"/>
          <w:szCs w:val="24"/>
          <w:u w:val="none"/>
        </w:rPr>
      </w:pPr>
      <w:r>
        <w:rPr>
          <w:rFonts w:ascii="Times New Roman" w:hAnsi="Times New Roman"/>
          <w:u w:val="none"/>
        </w:rPr>
        <w:fldChar w:fldCharType="begin"/>
      </w:r>
      <w:r>
        <w:rPr>
          <w:rFonts w:ascii="Times New Roman" w:hAnsi="Times New Roman"/>
          <w:u w:val="none"/>
        </w:rPr>
        <w:instrText xml:space="preserve"> TOC \o "1-3" \h \z \u </w:instrText>
      </w:r>
      <w:r>
        <w:rPr>
          <w:rFonts w:ascii="Times New Roman" w:hAnsi="Times New Roman"/>
          <w:u w:val="none"/>
        </w:rPr>
        <w:fldChar w:fldCharType="separate"/>
      </w:r>
      <w:r>
        <w:rPr>
          <w:u w:val="none"/>
        </w:rPr>
        <w:fldChar w:fldCharType="begin"/>
      </w:r>
      <w:r>
        <w:rPr>
          <w:u w:val="none"/>
        </w:rPr>
        <w:instrText xml:space="preserve"> HYPERLINK \l "_Toc7306" </w:instrText>
      </w:r>
      <w:r>
        <w:rPr>
          <w:u w:val="none"/>
        </w:rPr>
        <w:fldChar w:fldCharType="separate"/>
      </w:r>
      <w:r>
        <w:rPr>
          <w:rFonts w:ascii="Times New Roman" w:hAnsi="Times New Roman"/>
          <w:bCs/>
          <w:snapToGrid w:val="0"/>
          <w:sz w:val="24"/>
          <w:szCs w:val="24"/>
          <w:u w:val="none"/>
        </w:rPr>
        <w:t>一、建设项目基本情况</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_Toc7306 \h </w:instrText>
      </w:r>
      <w:r>
        <w:rPr>
          <w:rFonts w:ascii="Times New Roman" w:hAnsi="Times New Roman"/>
          <w:sz w:val="24"/>
          <w:szCs w:val="24"/>
          <w:u w:val="none"/>
        </w:rPr>
        <w:fldChar w:fldCharType="separate"/>
      </w:r>
      <w:r>
        <w:rPr>
          <w:rFonts w:ascii="Times New Roman" w:hAnsi="Times New Roman"/>
          <w:sz w:val="24"/>
          <w:szCs w:val="24"/>
          <w:u w:val="none"/>
        </w:rPr>
        <w:t>1</w:t>
      </w:r>
      <w:r>
        <w:rPr>
          <w:rFonts w:ascii="Times New Roman" w:hAnsi="Times New Roman"/>
          <w:sz w:val="24"/>
          <w:szCs w:val="24"/>
          <w:u w:val="none"/>
        </w:rPr>
        <w:fldChar w:fldCharType="end"/>
      </w:r>
      <w:r>
        <w:rPr>
          <w:rFonts w:ascii="Times New Roman" w:hAnsi="Times New Roman"/>
          <w:sz w:val="24"/>
          <w:szCs w:val="24"/>
          <w:u w:val="none"/>
        </w:rPr>
        <w:fldChar w:fldCharType="end"/>
      </w:r>
    </w:p>
    <w:p w14:paraId="3E3DB183">
      <w:pPr>
        <w:pStyle w:val="24"/>
        <w:tabs>
          <w:tab w:val="right" w:leader="dot" w:pos="8844"/>
        </w:tabs>
        <w:rPr>
          <w:rFonts w:ascii="Times New Roman" w:hAnsi="Times New Roman"/>
          <w:sz w:val="24"/>
          <w:szCs w:val="24"/>
          <w:u w:val="none"/>
        </w:rPr>
      </w:pPr>
      <w:r>
        <w:rPr>
          <w:u w:val="none"/>
        </w:rPr>
        <w:fldChar w:fldCharType="begin"/>
      </w:r>
      <w:r>
        <w:rPr>
          <w:u w:val="none"/>
        </w:rPr>
        <w:instrText xml:space="preserve"> HYPERLINK \l "_Toc30209" </w:instrText>
      </w:r>
      <w:r>
        <w:rPr>
          <w:u w:val="none"/>
        </w:rPr>
        <w:fldChar w:fldCharType="separate"/>
      </w:r>
      <w:r>
        <w:rPr>
          <w:rFonts w:ascii="Times New Roman" w:hAnsi="Times New Roman"/>
          <w:bCs/>
          <w:snapToGrid w:val="0"/>
          <w:sz w:val="24"/>
          <w:szCs w:val="24"/>
          <w:u w:val="none"/>
        </w:rPr>
        <w:t>二、建设项目工程分析</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_Toc30209 \h </w:instrText>
      </w:r>
      <w:r>
        <w:rPr>
          <w:rFonts w:ascii="Times New Roman" w:hAnsi="Times New Roman"/>
          <w:sz w:val="24"/>
          <w:szCs w:val="24"/>
          <w:u w:val="none"/>
        </w:rPr>
        <w:fldChar w:fldCharType="separate"/>
      </w:r>
      <w:r>
        <w:rPr>
          <w:rFonts w:ascii="Times New Roman" w:hAnsi="Times New Roman"/>
          <w:sz w:val="24"/>
          <w:szCs w:val="24"/>
          <w:u w:val="none"/>
        </w:rPr>
        <w:t>27</w:t>
      </w:r>
      <w:r>
        <w:rPr>
          <w:rFonts w:ascii="Times New Roman" w:hAnsi="Times New Roman"/>
          <w:sz w:val="24"/>
          <w:szCs w:val="24"/>
          <w:u w:val="none"/>
        </w:rPr>
        <w:fldChar w:fldCharType="end"/>
      </w:r>
      <w:r>
        <w:rPr>
          <w:rFonts w:ascii="Times New Roman" w:hAnsi="Times New Roman"/>
          <w:sz w:val="24"/>
          <w:szCs w:val="24"/>
          <w:u w:val="none"/>
        </w:rPr>
        <w:fldChar w:fldCharType="end"/>
      </w:r>
    </w:p>
    <w:p w14:paraId="54667D55">
      <w:pPr>
        <w:pStyle w:val="24"/>
        <w:tabs>
          <w:tab w:val="right" w:leader="dot" w:pos="8844"/>
        </w:tabs>
        <w:rPr>
          <w:rFonts w:ascii="Times New Roman" w:hAnsi="Times New Roman"/>
          <w:sz w:val="24"/>
          <w:szCs w:val="24"/>
          <w:u w:val="none"/>
        </w:rPr>
      </w:pPr>
      <w:r>
        <w:rPr>
          <w:u w:val="none"/>
        </w:rPr>
        <w:fldChar w:fldCharType="begin"/>
      </w:r>
      <w:r>
        <w:rPr>
          <w:u w:val="none"/>
        </w:rPr>
        <w:instrText xml:space="preserve"> HYPERLINK \l "_Toc2258" </w:instrText>
      </w:r>
      <w:r>
        <w:rPr>
          <w:u w:val="none"/>
        </w:rPr>
        <w:fldChar w:fldCharType="separate"/>
      </w:r>
      <w:r>
        <w:rPr>
          <w:rFonts w:ascii="Times New Roman" w:hAnsi="Times New Roman"/>
          <w:bCs/>
          <w:snapToGrid w:val="0"/>
          <w:sz w:val="24"/>
          <w:szCs w:val="24"/>
          <w:u w:val="none"/>
        </w:rPr>
        <w:t>三、区域环境质量现状、环境保护目标及评价标准</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_Toc2258 \h </w:instrText>
      </w:r>
      <w:r>
        <w:rPr>
          <w:rFonts w:ascii="Times New Roman" w:hAnsi="Times New Roman"/>
          <w:sz w:val="24"/>
          <w:szCs w:val="24"/>
          <w:u w:val="none"/>
        </w:rPr>
        <w:fldChar w:fldCharType="separate"/>
      </w:r>
      <w:r>
        <w:rPr>
          <w:rFonts w:ascii="Times New Roman" w:hAnsi="Times New Roman"/>
          <w:sz w:val="24"/>
          <w:szCs w:val="24"/>
          <w:u w:val="none"/>
        </w:rPr>
        <w:t>38</w:t>
      </w:r>
      <w:r>
        <w:rPr>
          <w:rFonts w:ascii="Times New Roman" w:hAnsi="Times New Roman"/>
          <w:sz w:val="24"/>
          <w:szCs w:val="24"/>
          <w:u w:val="none"/>
        </w:rPr>
        <w:fldChar w:fldCharType="end"/>
      </w:r>
      <w:r>
        <w:rPr>
          <w:rFonts w:ascii="Times New Roman" w:hAnsi="Times New Roman"/>
          <w:sz w:val="24"/>
          <w:szCs w:val="24"/>
          <w:u w:val="none"/>
        </w:rPr>
        <w:fldChar w:fldCharType="end"/>
      </w:r>
    </w:p>
    <w:p w14:paraId="74AA1D9E">
      <w:pPr>
        <w:pStyle w:val="24"/>
        <w:tabs>
          <w:tab w:val="right" w:leader="dot" w:pos="8844"/>
        </w:tabs>
        <w:rPr>
          <w:rFonts w:ascii="Times New Roman" w:hAnsi="Times New Roman"/>
          <w:sz w:val="24"/>
          <w:szCs w:val="24"/>
          <w:u w:val="none"/>
        </w:rPr>
      </w:pPr>
      <w:r>
        <w:rPr>
          <w:u w:val="none"/>
        </w:rPr>
        <w:fldChar w:fldCharType="begin"/>
      </w:r>
      <w:r>
        <w:rPr>
          <w:u w:val="none"/>
        </w:rPr>
        <w:instrText xml:space="preserve"> HYPERLINK \l "_Toc25136" </w:instrText>
      </w:r>
      <w:r>
        <w:rPr>
          <w:u w:val="none"/>
        </w:rPr>
        <w:fldChar w:fldCharType="separate"/>
      </w:r>
      <w:r>
        <w:rPr>
          <w:rFonts w:ascii="Times New Roman" w:hAnsi="Times New Roman"/>
          <w:bCs/>
          <w:snapToGrid w:val="0"/>
          <w:sz w:val="24"/>
          <w:szCs w:val="24"/>
          <w:u w:val="none"/>
        </w:rPr>
        <w:t>四、主要环境影响和保护措施</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_Toc25136 \h </w:instrText>
      </w:r>
      <w:r>
        <w:rPr>
          <w:rFonts w:ascii="Times New Roman" w:hAnsi="Times New Roman"/>
          <w:sz w:val="24"/>
          <w:szCs w:val="24"/>
          <w:u w:val="none"/>
        </w:rPr>
        <w:fldChar w:fldCharType="separate"/>
      </w:r>
      <w:r>
        <w:rPr>
          <w:rFonts w:ascii="Times New Roman" w:hAnsi="Times New Roman"/>
          <w:sz w:val="24"/>
          <w:szCs w:val="24"/>
          <w:u w:val="none"/>
        </w:rPr>
        <w:t>44</w:t>
      </w:r>
      <w:r>
        <w:rPr>
          <w:rFonts w:ascii="Times New Roman" w:hAnsi="Times New Roman"/>
          <w:sz w:val="24"/>
          <w:szCs w:val="24"/>
          <w:u w:val="none"/>
        </w:rPr>
        <w:fldChar w:fldCharType="end"/>
      </w:r>
      <w:r>
        <w:rPr>
          <w:rFonts w:ascii="Times New Roman" w:hAnsi="Times New Roman"/>
          <w:sz w:val="24"/>
          <w:szCs w:val="24"/>
          <w:u w:val="none"/>
        </w:rPr>
        <w:fldChar w:fldCharType="end"/>
      </w:r>
    </w:p>
    <w:p w14:paraId="49AD63FD">
      <w:pPr>
        <w:pStyle w:val="24"/>
        <w:tabs>
          <w:tab w:val="right" w:leader="dot" w:pos="8844"/>
        </w:tabs>
        <w:rPr>
          <w:rFonts w:ascii="Times New Roman" w:hAnsi="Times New Roman"/>
          <w:sz w:val="24"/>
          <w:szCs w:val="24"/>
          <w:u w:val="none"/>
        </w:rPr>
      </w:pPr>
      <w:r>
        <w:rPr>
          <w:u w:val="none"/>
        </w:rPr>
        <w:fldChar w:fldCharType="begin"/>
      </w:r>
      <w:r>
        <w:rPr>
          <w:u w:val="none"/>
        </w:rPr>
        <w:instrText xml:space="preserve"> HYPERLINK \l "_Toc4693" </w:instrText>
      </w:r>
      <w:r>
        <w:rPr>
          <w:u w:val="none"/>
        </w:rPr>
        <w:fldChar w:fldCharType="separate"/>
      </w:r>
      <w:r>
        <w:rPr>
          <w:rFonts w:ascii="Times New Roman" w:hAnsi="Times New Roman"/>
          <w:bCs/>
          <w:snapToGrid w:val="0"/>
          <w:sz w:val="24"/>
          <w:szCs w:val="24"/>
          <w:u w:val="none"/>
        </w:rPr>
        <w:t>五、环境保护措施监督检查清单</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_Toc4693 \h </w:instrText>
      </w:r>
      <w:r>
        <w:rPr>
          <w:rFonts w:ascii="Times New Roman" w:hAnsi="Times New Roman"/>
          <w:sz w:val="24"/>
          <w:szCs w:val="24"/>
          <w:u w:val="none"/>
        </w:rPr>
        <w:fldChar w:fldCharType="separate"/>
      </w:r>
      <w:r>
        <w:rPr>
          <w:rFonts w:ascii="Times New Roman" w:hAnsi="Times New Roman"/>
          <w:sz w:val="24"/>
          <w:szCs w:val="24"/>
          <w:u w:val="none"/>
        </w:rPr>
        <w:t>63</w:t>
      </w:r>
      <w:r>
        <w:rPr>
          <w:rFonts w:ascii="Times New Roman" w:hAnsi="Times New Roman"/>
          <w:sz w:val="24"/>
          <w:szCs w:val="24"/>
          <w:u w:val="none"/>
        </w:rPr>
        <w:fldChar w:fldCharType="end"/>
      </w:r>
      <w:r>
        <w:rPr>
          <w:rFonts w:ascii="Times New Roman" w:hAnsi="Times New Roman"/>
          <w:sz w:val="24"/>
          <w:szCs w:val="24"/>
          <w:u w:val="none"/>
        </w:rPr>
        <w:fldChar w:fldCharType="end"/>
      </w:r>
    </w:p>
    <w:p w14:paraId="22E14158">
      <w:pPr>
        <w:pStyle w:val="24"/>
        <w:tabs>
          <w:tab w:val="right" w:leader="dot" w:pos="8844"/>
        </w:tabs>
        <w:rPr>
          <w:rFonts w:ascii="Times New Roman" w:hAnsi="Times New Roman"/>
          <w:u w:val="none"/>
        </w:rPr>
      </w:pPr>
      <w:r>
        <w:rPr>
          <w:u w:val="none"/>
        </w:rPr>
        <w:fldChar w:fldCharType="begin"/>
      </w:r>
      <w:r>
        <w:rPr>
          <w:u w:val="none"/>
        </w:rPr>
        <w:instrText xml:space="preserve"> HYPERLINK \l "_Toc14364" </w:instrText>
      </w:r>
      <w:r>
        <w:rPr>
          <w:u w:val="none"/>
        </w:rPr>
        <w:fldChar w:fldCharType="separate"/>
      </w:r>
      <w:r>
        <w:rPr>
          <w:rFonts w:ascii="Times New Roman" w:hAnsi="Times New Roman"/>
          <w:bCs/>
          <w:snapToGrid w:val="0"/>
          <w:sz w:val="24"/>
          <w:szCs w:val="24"/>
          <w:u w:val="none"/>
        </w:rPr>
        <w:t>六、结论</w:t>
      </w:r>
      <w:r>
        <w:rPr>
          <w:rFonts w:ascii="Times New Roman" w:hAnsi="Times New Roman"/>
          <w:sz w:val="24"/>
          <w:szCs w:val="24"/>
          <w:u w:val="none"/>
        </w:rPr>
        <w:tab/>
      </w:r>
      <w:r>
        <w:rPr>
          <w:rFonts w:ascii="Times New Roman" w:hAnsi="Times New Roman"/>
          <w:sz w:val="24"/>
          <w:szCs w:val="24"/>
          <w:u w:val="none"/>
        </w:rPr>
        <w:fldChar w:fldCharType="begin"/>
      </w:r>
      <w:r>
        <w:rPr>
          <w:rFonts w:ascii="Times New Roman" w:hAnsi="Times New Roman"/>
          <w:sz w:val="24"/>
          <w:szCs w:val="24"/>
          <w:u w:val="none"/>
        </w:rPr>
        <w:instrText xml:space="preserve"> PAGEREF _Toc14364 \h </w:instrText>
      </w:r>
      <w:r>
        <w:rPr>
          <w:rFonts w:ascii="Times New Roman" w:hAnsi="Times New Roman"/>
          <w:sz w:val="24"/>
          <w:szCs w:val="24"/>
          <w:u w:val="none"/>
        </w:rPr>
        <w:fldChar w:fldCharType="separate"/>
      </w:r>
      <w:r>
        <w:rPr>
          <w:rFonts w:ascii="Times New Roman" w:hAnsi="Times New Roman"/>
          <w:sz w:val="24"/>
          <w:szCs w:val="24"/>
          <w:u w:val="none"/>
        </w:rPr>
        <w:t>65</w:t>
      </w:r>
      <w:r>
        <w:rPr>
          <w:rFonts w:ascii="Times New Roman" w:hAnsi="Times New Roman"/>
          <w:sz w:val="24"/>
          <w:szCs w:val="24"/>
          <w:u w:val="none"/>
        </w:rPr>
        <w:fldChar w:fldCharType="end"/>
      </w:r>
      <w:r>
        <w:rPr>
          <w:rFonts w:ascii="Times New Roman" w:hAnsi="Times New Roman"/>
          <w:sz w:val="24"/>
          <w:szCs w:val="24"/>
          <w:u w:val="none"/>
        </w:rPr>
        <w:fldChar w:fldCharType="end"/>
      </w:r>
    </w:p>
    <w:p w14:paraId="38E30D07">
      <w:pPr>
        <w:widowControl/>
        <w:spacing w:line="360" w:lineRule="auto"/>
        <w:rPr>
          <w:sz w:val="24"/>
          <w:u w:val="none"/>
        </w:rPr>
      </w:pPr>
      <w:r>
        <w:rPr>
          <w:bCs/>
          <w:u w:val="none"/>
          <w:lang w:val="zh-CN"/>
        </w:rPr>
        <w:fldChar w:fldCharType="end"/>
      </w:r>
    </w:p>
    <w:p w14:paraId="1D74D682">
      <w:pPr>
        <w:spacing w:line="360" w:lineRule="auto"/>
        <w:rPr>
          <w:b/>
          <w:sz w:val="24"/>
          <w:u w:val="none"/>
        </w:rPr>
      </w:pPr>
      <w:r>
        <w:rPr>
          <w:b/>
          <w:sz w:val="24"/>
          <w:u w:val="none"/>
        </w:rPr>
        <w:t>附件</w:t>
      </w:r>
    </w:p>
    <w:p w14:paraId="66D3C449">
      <w:pPr>
        <w:spacing w:line="360" w:lineRule="auto"/>
        <w:rPr>
          <w:sz w:val="24"/>
          <w:u w:val="none"/>
        </w:rPr>
      </w:pPr>
      <w:r>
        <w:rPr>
          <w:sz w:val="24"/>
          <w:u w:val="none"/>
        </w:rPr>
        <w:t>附件1    委托书</w:t>
      </w:r>
    </w:p>
    <w:p w14:paraId="057EC8C6">
      <w:pPr>
        <w:spacing w:line="360" w:lineRule="auto"/>
        <w:rPr>
          <w:sz w:val="24"/>
          <w:u w:val="none"/>
        </w:rPr>
      </w:pPr>
      <w:r>
        <w:rPr>
          <w:sz w:val="24"/>
          <w:u w:val="none"/>
        </w:rPr>
        <w:t>附件</w:t>
      </w:r>
      <w:r>
        <w:rPr>
          <w:rFonts w:hint="eastAsia"/>
          <w:sz w:val="24"/>
          <w:u w:val="none"/>
        </w:rPr>
        <w:t>2</w:t>
      </w:r>
      <w:r>
        <w:rPr>
          <w:sz w:val="24"/>
          <w:u w:val="none"/>
        </w:rPr>
        <w:t xml:space="preserve">    </w:t>
      </w:r>
      <w:r>
        <w:rPr>
          <w:rFonts w:hint="eastAsia"/>
          <w:sz w:val="24"/>
          <w:u w:val="none"/>
        </w:rPr>
        <w:t>营业执照</w:t>
      </w:r>
    </w:p>
    <w:p w14:paraId="15A79356">
      <w:pPr>
        <w:spacing w:line="360" w:lineRule="auto"/>
        <w:rPr>
          <w:sz w:val="24"/>
          <w:u w:val="none"/>
        </w:rPr>
      </w:pPr>
      <w:r>
        <w:rPr>
          <w:sz w:val="24"/>
          <w:u w:val="none"/>
        </w:rPr>
        <w:t>附件</w:t>
      </w:r>
      <w:r>
        <w:rPr>
          <w:rFonts w:hint="eastAsia"/>
          <w:sz w:val="24"/>
          <w:u w:val="none"/>
        </w:rPr>
        <w:t>3</w:t>
      </w:r>
      <w:r>
        <w:rPr>
          <w:sz w:val="24"/>
          <w:u w:val="none"/>
        </w:rPr>
        <w:t xml:space="preserve">    </w:t>
      </w:r>
      <w:r>
        <w:rPr>
          <w:rFonts w:hint="eastAsia"/>
          <w:sz w:val="24"/>
          <w:u w:val="none"/>
        </w:rPr>
        <w:t>投资备案证</w:t>
      </w:r>
    </w:p>
    <w:p w14:paraId="7D5EF1D0">
      <w:pPr>
        <w:spacing w:line="360" w:lineRule="auto"/>
        <w:rPr>
          <w:sz w:val="24"/>
          <w:u w:val="none"/>
        </w:rPr>
      </w:pPr>
      <w:r>
        <w:rPr>
          <w:rFonts w:hint="eastAsia"/>
          <w:sz w:val="24"/>
          <w:u w:val="none"/>
        </w:rPr>
        <w:t>附件4    土地转让协议</w:t>
      </w:r>
    </w:p>
    <w:p w14:paraId="7B1AA467">
      <w:pPr>
        <w:spacing w:line="360" w:lineRule="auto"/>
        <w:rPr>
          <w:rFonts w:hAnsi="宋体" w:cs="Courier New"/>
          <w:sz w:val="24"/>
          <w:u w:val="none"/>
        </w:rPr>
      </w:pPr>
      <w:r>
        <w:rPr>
          <w:rFonts w:hint="eastAsia"/>
          <w:sz w:val="24"/>
          <w:u w:val="none"/>
        </w:rPr>
        <w:t xml:space="preserve">附件5    </w:t>
      </w:r>
      <w:r>
        <w:rPr>
          <w:rFonts w:hint="eastAsia" w:hAnsi="宋体" w:cs="Courier New"/>
          <w:sz w:val="24"/>
          <w:u w:val="none"/>
        </w:rPr>
        <w:t>宣威市榕城废渣综合利用有限公司2022年12月自行监测报告</w:t>
      </w:r>
    </w:p>
    <w:p w14:paraId="06B45C19">
      <w:pPr>
        <w:spacing w:line="360" w:lineRule="auto"/>
        <w:rPr>
          <w:rFonts w:hAnsi="宋体" w:cs="Courier New"/>
          <w:sz w:val="24"/>
          <w:u w:val="none"/>
        </w:rPr>
      </w:pPr>
      <w:r>
        <w:rPr>
          <w:sz w:val="24"/>
          <w:u w:val="none"/>
        </w:rPr>
        <w:t>附件</w:t>
      </w:r>
      <w:r>
        <w:rPr>
          <w:rFonts w:hint="eastAsia"/>
          <w:sz w:val="24"/>
          <w:u w:val="none"/>
        </w:rPr>
        <w:t>6</w:t>
      </w:r>
      <w:r>
        <w:rPr>
          <w:sz w:val="24"/>
          <w:u w:val="none"/>
        </w:rPr>
        <w:t xml:space="preserve">    </w:t>
      </w:r>
      <w:r>
        <w:rPr>
          <w:rFonts w:hint="eastAsia" w:hAnsi="宋体" w:cs="Courier New"/>
          <w:sz w:val="24"/>
          <w:u w:val="none"/>
        </w:rPr>
        <w:t>磷矿</w:t>
      </w:r>
      <w:r>
        <w:rPr>
          <w:sz w:val="24"/>
          <w:u w:val="none"/>
        </w:rPr>
        <w:t>检验报告单</w:t>
      </w:r>
    </w:p>
    <w:p w14:paraId="35493029">
      <w:pPr>
        <w:pStyle w:val="15"/>
        <w:snapToGrid/>
        <w:spacing w:before="0" w:after="0" w:line="360" w:lineRule="auto"/>
        <w:rPr>
          <w:u w:val="none"/>
        </w:rPr>
      </w:pPr>
      <w:r>
        <w:rPr>
          <w:rFonts w:hint="eastAsia" w:hAnsi="宋体" w:cs="Courier New"/>
          <w:kern w:val="2"/>
          <w:sz w:val="24"/>
          <w:szCs w:val="24"/>
          <w:u w:val="none"/>
        </w:rPr>
        <w:t>附件7    入园协议</w:t>
      </w:r>
    </w:p>
    <w:p w14:paraId="4FE92682">
      <w:pPr>
        <w:spacing w:line="360" w:lineRule="auto"/>
        <w:rPr>
          <w:sz w:val="24"/>
          <w:u w:val="none"/>
        </w:rPr>
      </w:pPr>
      <w:r>
        <w:rPr>
          <w:rFonts w:hint="eastAsia"/>
          <w:sz w:val="24"/>
          <w:u w:val="none"/>
        </w:rPr>
        <w:t>附件8    水土保持行政许可承诺书</w:t>
      </w:r>
    </w:p>
    <w:p w14:paraId="4652177D">
      <w:pPr>
        <w:spacing w:line="360" w:lineRule="auto"/>
        <w:rPr>
          <w:sz w:val="24"/>
          <w:u w:val="none"/>
        </w:rPr>
      </w:pPr>
      <w:r>
        <w:rPr>
          <w:rFonts w:hint="eastAsia"/>
          <w:sz w:val="24"/>
          <w:u w:val="none"/>
        </w:rPr>
        <w:t>附件9    关于“羊场产业园矿产品仓储物流基地二期工程”生活污水使用的证明</w:t>
      </w:r>
    </w:p>
    <w:p w14:paraId="51F87269">
      <w:pPr>
        <w:spacing w:line="360" w:lineRule="auto"/>
        <w:rPr>
          <w:sz w:val="24"/>
          <w:u w:val="none"/>
        </w:rPr>
      </w:pPr>
      <w:r>
        <w:rPr>
          <w:rFonts w:hint="eastAsia"/>
          <w:sz w:val="24"/>
          <w:u w:val="none"/>
        </w:rPr>
        <w:t>附件10   环评委托合同</w:t>
      </w:r>
    </w:p>
    <w:p w14:paraId="75B04A5E">
      <w:pPr>
        <w:pStyle w:val="15"/>
        <w:snapToGrid/>
        <w:spacing w:before="0" w:after="0" w:line="360" w:lineRule="auto"/>
        <w:rPr>
          <w:u w:val="none"/>
        </w:rPr>
      </w:pPr>
      <w:r>
        <w:rPr>
          <w:rFonts w:hint="eastAsia" w:hAnsi="宋体" w:cs="Courier New"/>
          <w:kern w:val="2"/>
          <w:sz w:val="24"/>
          <w:szCs w:val="24"/>
          <w:u w:val="none"/>
        </w:rPr>
        <w:t xml:space="preserve">附件11   </w:t>
      </w:r>
      <w:r>
        <w:rPr>
          <w:rFonts w:hint="eastAsia"/>
          <w:sz w:val="24"/>
          <w:u w:val="none"/>
        </w:rPr>
        <w:t>环评工作进度管理表</w:t>
      </w:r>
    </w:p>
    <w:p w14:paraId="0661CDF1">
      <w:pPr>
        <w:spacing w:line="360" w:lineRule="auto"/>
        <w:rPr>
          <w:sz w:val="24"/>
          <w:u w:val="none"/>
        </w:rPr>
      </w:pPr>
      <w:r>
        <w:rPr>
          <w:rFonts w:hint="eastAsia"/>
          <w:sz w:val="24"/>
          <w:u w:val="none"/>
        </w:rPr>
        <w:t>附件12   内部审核记录表</w:t>
      </w:r>
    </w:p>
    <w:p w14:paraId="3A67024E">
      <w:pPr>
        <w:spacing w:line="360" w:lineRule="auto"/>
        <w:rPr>
          <w:sz w:val="24"/>
          <w:u w:val="none"/>
        </w:rPr>
      </w:pPr>
      <w:r>
        <w:rPr>
          <w:rFonts w:hint="eastAsia"/>
          <w:sz w:val="24"/>
          <w:u w:val="none"/>
        </w:rPr>
        <w:t>附件13   评审会议记录</w:t>
      </w:r>
    </w:p>
    <w:p w14:paraId="2094B39B">
      <w:pPr>
        <w:spacing w:line="360" w:lineRule="auto"/>
        <w:rPr>
          <w:sz w:val="24"/>
          <w:u w:val="none"/>
        </w:rPr>
      </w:pPr>
      <w:r>
        <w:rPr>
          <w:rFonts w:hint="eastAsia"/>
          <w:sz w:val="24"/>
          <w:u w:val="none"/>
        </w:rPr>
        <w:t>附件14   评审意见修改对照表</w:t>
      </w:r>
    </w:p>
    <w:p w14:paraId="253A47C3">
      <w:pPr>
        <w:spacing w:line="360" w:lineRule="auto"/>
        <w:rPr>
          <w:sz w:val="24"/>
          <w:u w:val="none"/>
        </w:rPr>
      </w:pPr>
    </w:p>
    <w:p w14:paraId="1B9AB9E9">
      <w:pPr>
        <w:rPr>
          <w:u w:val="none"/>
        </w:rPr>
      </w:pPr>
    </w:p>
    <w:p w14:paraId="54FBF41C">
      <w:pPr>
        <w:spacing w:line="360" w:lineRule="auto"/>
        <w:rPr>
          <w:b/>
          <w:bCs/>
          <w:sz w:val="24"/>
          <w:u w:val="none"/>
          <w:lang w:val="zh-CN"/>
        </w:rPr>
      </w:pPr>
      <w:r>
        <w:rPr>
          <w:b/>
          <w:bCs/>
          <w:sz w:val="24"/>
          <w:u w:val="none"/>
          <w:lang w:val="zh-CN"/>
        </w:rPr>
        <w:t>附图</w:t>
      </w:r>
    </w:p>
    <w:p w14:paraId="293A7D04">
      <w:pPr>
        <w:widowControl/>
        <w:spacing w:line="360" w:lineRule="auto"/>
        <w:rPr>
          <w:sz w:val="24"/>
          <w:u w:val="none"/>
        </w:rPr>
      </w:pPr>
      <w:r>
        <w:rPr>
          <w:sz w:val="24"/>
          <w:u w:val="none"/>
        </w:rPr>
        <w:t>附图</w:t>
      </w:r>
      <w:r>
        <w:rPr>
          <w:rFonts w:hint="eastAsia"/>
          <w:sz w:val="24"/>
          <w:u w:val="none"/>
        </w:rPr>
        <w:t xml:space="preserve">1    </w:t>
      </w:r>
      <w:r>
        <w:rPr>
          <w:sz w:val="24"/>
          <w:u w:val="none"/>
        </w:rPr>
        <w:t>项目地理位置图</w:t>
      </w:r>
    </w:p>
    <w:p w14:paraId="0847B11B">
      <w:pPr>
        <w:spacing w:line="360" w:lineRule="auto"/>
        <w:rPr>
          <w:sz w:val="24"/>
          <w:u w:val="none"/>
        </w:rPr>
      </w:pPr>
      <w:r>
        <w:rPr>
          <w:sz w:val="24"/>
          <w:u w:val="none"/>
        </w:rPr>
        <w:t>附图</w:t>
      </w:r>
      <w:r>
        <w:rPr>
          <w:rFonts w:hint="eastAsia"/>
          <w:sz w:val="24"/>
          <w:u w:val="none"/>
        </w:rPr>
        <w:t>2</w:t>
      </w:r>
      <w:r>
        <w:rPr>
          <w:sz w:val="24"/>
          <w:u w:val="none"/>
        </w:rPr>
        <w:t xml:space="preserve">    </w:t>
      </w:r>
      <w:r>
        <w:rPr>
          <w:rFonts w:hint="eastAsia"/>
          <w:sz w:val="24"/>
          <w:u w:val="none"/>
        </w:rPr>
        <w:t>水系图</w:t>
      </w:r>
    </w:p>
    <w:p w14:paraId="35638446">
      <w:pPr>
        <w:spacing w:line="360" w:lineRule="auto"/>
        <w:rPr>
          <w:sz w:val="24"/>
          <w:u w:val="none"/>
        </w:rPr>
      </w:pPr>
      <w:r>
        <w:rPr>
          <w:sz w:val="24"/>
          <w:u w:val="none"/>
        </w:rPr>
        <w:t>附图</w:t>
      </w:r>
      <w:r>
        <w:rPr>
          <w:rFonts w:hint="eastAsia"/>
          <w:sz w:val="24"/>
          <w:u w:val="none"/>
        </w:rPr>
        <w:t>3</w:t>
      </w:r>
      <w:r>
        <w:rPr>
          <w:sz w:val="24"/>
          <w:u w:val="none"/>
        </w:rPr>
        <w:t xml:space="preserve">    </w:t>
      </w:r>
      <w:r>
        <w:rPr>
          <w:rFonts w:hint="eastAsia"/>
          <w:sz w:val="24"/>
          <w:u w:val="none"/>
        </w:rPr>
        <w:t>项目平面布置</w:t>
      </w:r>
      <w:r>
        <w:rPr>
          <w:sz w:val="24"/>
          <w:u w:val="none"/>
        </w:rPr>
        <w:t>图</w:t>
      </w:r>
    </w:p>
    <w:p w14:paraId="741A7792">
      <w:pPr>
        <w:widowControl/>
        <w:spacing w:line="360" w:lineRule="auto"/>
        <w:rPr>
          <w:sz w:val="24"/>
          <w:u w:val="none"/>
        </w:rPr>
      </w:pPr>
      <w:r>
        <w:rPr>
          <w:rFonts w:hint="eastAsia"/>
          <w:sz w:val="24"/>
          <w:u w:val="none"/>
        </w:rPr>
        <w:t>附图4    周边关系</w:t>
      </w:r>
      <w:r>
        <w:rPr>
          <w:sz w:val="24"/>
          <w:u w:val="none"/>
        </w:rPr>
        <w:t>图</w:t>
      </w:r>
    </w:p>
    <w:p w14:paraId="42E31317">
      <w:pPr>
        <w:widowControl/>
        <w:spacing w:line="360" w:lineRule="auto"/>
        <w:rPr>
          <w:sz w:val="24"/>
          <w:u w:val="none"/>
        </w:rPr>
      </w:pPr>
      <w:r>
        <w:rPr>
          <w:rFonts w:hint="eastAsia"/>
          <w:sz w:val="24"/>
          <w:u w:val="none"/>
        </w:rPr>
        <w:t xml:space="preserve">附图5    </w:t>
      </w:r>
      <w:r>
        <w:rPr>
          <w:sz w:val="24"/>
          <w:u w:val="none"/>
        </w:rPr>
        <w:t>项目在园区</w:t>
      </w:r>
      <w:r>
        <w:rPr>
          <w:rFonts w:hint="eastAsia"/>
          <w:sz w:val="24"/>
          <w:u w:val="none"/>
        </w:rPr>
        <w:t>规划分区</w:t>
      </w:r>
      <w:r>
        <w:rPr>
          <w:sz w:val="24"/>
          <w:u w:val="none"/>
        </w:rPr>
        <w:t>图中</w:t>
      </w:r>
      <w:r>
        <w:rPr>
          <w:rFonts w:hint="eastAsia"/>
          <w:sz w:val="24"/>
          <w:u w:val="none"/>
        </w:rPr>
        <w:t>的</w:t>
      </w:r>
      <w:r>
        <w:rPr>
          <w:sz w:val="24"/>
          <w:u w:val="none"/>
        </w:rPr>
        <w:t>位置</w:t>
      </w:r>
      <w:r>
        <w:rPr>
          <w:rFonts w:hint="eastAsia"/>
          <w:sz w:val="24"/>
          <w:u w:val="none"/>
        </w:rPr>
        <w:t>图</w:t>
      </w:r>
    </w:p>
    <w:p w14:paraId="724EE663">
      <w:pPr>
        <w:widowControl/>
        <w:spacing w:line="360" w:lineRule="auto"/>
        <w:rPr>
          <w:sz w:val="24"/>
          <w:u w:val="none"/>
        </w:rPr>
      </w:pPr>
      <w:r>
        <w:rPr>
          <w:rFonts w:hint="eastAsia"/>
          <w:sz w:val="24"/>
          <w:u w:val="none"/>
        </w:rPr>
        <w:t>附图6    项目在园区土地利用现状图中的位置图</w:t>
      </w:r>
    </w:p>
    <w:p w14:paraId="67D206A4">
      <w:pPr>
        <w:widowControl/>
        <w:spacing w:line="360" w:lineRule="auto"/>
        <w:rPr>
          <w:sz w:val="24"/>
          <w:u w:val="none"/>
        </w:rPr>
      </w:pPr>
      <w:r>
        <w:rPr>
          <w:rFonts w:hint="eastAsia"/>
          <w:sz w:val="24"/>
          <w:u w:val="none"/>
        </w:rPr>
        <w:t xml:space="preserve">附图7    </w:t>
      </w:r>
      <w:r>
        <w:rPr>
          <w:sz w:val="24"/>
          <w:u w:val="none"/>
        </w:rPr>
        <w:t>项目与曲靖市生态保护红线</w:t>
      </w:r>
      <w:r>
        <w:rPr>
          <w:rFonts w:hint="eastAsia"/>
          <w:sz w:val="24"/>
          <w:u w:val="none"/>
        </w:rPr>
        <w:t>的</w:t>
      </w:r>
      <w:r>
        <w:rPr>
          <w:sz w:val="24"/>
          <w:u w:val="none"/>
        </w:rPr>
        <w:t>位置关系图</w:t>
      </w:r>
    </w:p>
    <w:p w14:paraId="67CFC16C">
      <w:pPr>
        <w:widowControl/>
        <w:spacing w:line="360" w:lineRule="auto"/>
        <w:rPr>
          <w:sz w:val="24"/>
          <w:u w:val="none"/>
        </w:rPr>
      </w:pPr>
      <w:r>
        <w:rPr>
          <w:rFonts w:hint="eastAsia"/>
          <w:sz w:val="24"/>
          <w:u w:val="none"/>
        </w:rPr>
        <w:t xml:space="preserve">附图8    </w:t>
      </w:r>
      <w:r>
        <w:rPr>
          <w:sz w:val="24"/>
          <w:u w:val="none"/>
        </w:rPr>
        <w:t>项目与公益林</w:t>
      </w:r>
      <w:r>
        <w:rPr>
          <w:rFonts w:hint="eastAsia"/>
          <w:sz w:val="24"/>
          <w:u w:val="none"/>
        </w:rPr>
        <w:t>保护的</w:t>
      </w:r>
      <w:r>
        <w:rPr>
          <w:sz w:val="24"/>
          <w:u w:val="none"/>
        </w:rPr>
        <w:t>位置关系图</w:t>
      </w:r>
    </w:p>
    <w:p w14:paraId="10539D44">
      <w:pPr>
        <w:widowControl/>
        <w:spacing w:line="360" w:lineRule="auto"/>
        <w:rPr>
          <w:sz w:val="24"/>
          <w:u w:val="none"/>
        </w:rPr>
      </w:pPr>
      <w:r>
        <w:rPr>
          <w:rFonts w:hint="eastAsia"/>
          <w:sz w:val="24"/>
          <w:u w:val="none"/>
        </w:rPr>
        <w:t xml:space="preserve">附图9    </w:t>
      </w:r>
      <w:r>
        <w:rPr>
          <w:sz w:val="24"/>
          <w:u w:val="none"/>
        </w:rPr>
        <w:t>项目与周边饮用水水源保护区</w:t>
      </w:r>
      <w:r>
        <w:rPr>
          <w:rFonts w:hint="eastAsia"/>
          <w:sz w:val="24"/>
          <w:u w:val="none"/>
        </w:rPr>
        <w:t>的</w:t>
      </w:r>
      <w:r>
        <w:rPr>
          <w:sz w:val="24"/>
          <w:u w:val="none"/>
        </w:rPr>
        <w:t>位置关系图</w:t>
      </w:r>
    </w:p>
    <w:p w14:paraId="791301CF">
      <w:pPr>
        <w:widowControl/>
        <w:spacing w:line="360" w:lineRule="auto"/>
        <w:rPr>
          <w:sz w:val="24"/>
          <w:u w:val="none"/>
        </w:rPr>
      </w:pPr>
      <w:r>
        <w:rPr>
          <w:rFonts w:hint="eastAsia"/>
          <w:sz w:val="24"/>
          <w:u w:val="none"/>
        </w:rPr>
        <w:t xml:space="preserve">附图10   </w:t>
      </w:r>
      <w:r>
        <w:rPr>
          <w:sz w:val="24"/>
          <w:u w:val="none"/>
        </w:rPr>
        <w:t>项目与曲靖市基本农田</w:t>
      </w:r>
      <w:r>
        <w:rPr>
          <w:rFonts w:hint="eastAsia"/>
          <w:sz w:val="24"/>
          <w:u w:val="none"/>
        </w:rPr>
        <w:t>的</w:t>
      </w:r>
      <w:r>
        <w:rPr>
          <w:sz w:val="24"/>
          <w:u w:val="none"/>
        </w:rPr>
        <w:t>位置关系图</w:t>
      </w:r>
    </w:p>
    <w:p w14:paraId="1D594B94">
      <w:pPr>
        <w:pStyle w:val="15"/>
        <w:rPr>
          <w:u w:val="none"/>
        </w:rPr>
      </w:pPr>
      <w:r>
        <w:rPr>
          <w:rFonts w:hint="eastAsia"/>
          <w:sz w:val="24"/>
          <w:u w:val="none"/>
        </w:rPr>
        <w:t>附图11   厂区分区防渗图</w:t>
      </w:r>
    </w:p>
    <w:p w14:paraId="7C4600EE">
      <w:pPr>
        <w:widowControl/>
        <w:spacing w:line="360" w:lineRule="auto"/>
        <w:rPr>
          <w:sz w:val="24"/>
          <w:u w:val="none"/>
        </w:rPr>
      </w:pPr>
      <w:r>
        <w:rPr>
          <w:sz w:val="24"/>
          <w:u w:val="none"/>
        </w:rPr>
        <w:t>附图</w:t>
      </w:r>
      <w:r>
        <w:rPr>
          <w:rFonts w:hint="eastAsia"/>
          <w:sz w:val="24"/>
          <w:u w:val="none"/>
        </w:rPr>
        <w:t>12</w:t>
      </w:r>
      <w:r>
        <w:rPr>
          <w:sz w:val="24"/>
          <w:u w:val="none"/>
        </w:rPr>
        <w:t xml:space="preserve">  </w:t>
      </w:r>
      <w:r>
        <w:rPr>
          <w:rFonts w:hint="eastAsia"/>
          <w:sz w:val="24"/>
          <w:u w:val="none"/>
        </w:rPr>
        <w:t xml:space="preserve"> </w:t>
      </w:r>
      <w:r>
        <w:rPr>
          <w:sz w:val="24"/>
          <w:u w:val="none"/>
        </w:rPr>
        <w:t>本项目在云南省主体功能区规划</w:t>
      </w:r>
      <w:r>
        <w:rPr>
          <w:rFonts w:hint="eastAsia"/>
          <w:sz w:val="24"/>
          <w:u w:val="none"/>
        </w:rPr>
        <w:t>中</w:t>
      </w:r>
      <w:r>
        <w:rPr>
          <w:sz w:val="24"/>
          <w:u w:val="none"/>
        </w:rPr>
        <w:t>的位置关系图</w:t>
      </w:r>
    </w:p>
    <w:p w14:paraId="21B6787D">
      <w:pPr>
        <w:widowControl/>
        <w:spacing w:line="360" w:lineRule="auto"/>
        <w:rPr>
          <w:sz w:val="24"/>
          <w:u w:val="none"/>
        </w:rPr>
      </w:pPr>
      <w:r>
        <w:rPr>
          <w:sz w:val="24"/>
          <w:u w:val="none"/>
        </w:rPr>
        <w:t>附图</w:t>
      </w:r>
      <w:r>
        <w:rPr>
          <w:rFonts w:hint="eastAsia"/>
          <w:sz w:val="24"/>
          <w:u w:val="none"/>
        </w:rPr>
        <w:t>13</w:t>
      </w:r>
      <w:r>
        <w:rPr>
          <w:sz w:val="24"/>
          <w:u w:val="none"/>
        </w:rPr>
        <w:t xml:space="preserve">  </w:t>
      </w:r>
      <w:r>
        <w:rPr>
          <w:rFonts w:hint="eastAsia"/>
          <w:sz w:val="24"/>
          <w:u w:val="none"/>
        </w:rPr>
        <w:t xml:space="preserve"> </w:t>
      </w:r>
      <w:r>
        <w:rPr>
          <w:sz w:val="24"/>
          <w:u w:val="none"/>
        </w:rPr>
        <w:t>本项目在云南省生态功能区划</w:t>
      </w:r>
      <w:r>
        <w:rPr>
          <w:rFonts w:hint="eastAsia"/>
          <w:sz w:val="24"/>
          <w:u w:val="none"/>
        </w:rPr>
        <w:t>中</w:t>
      </w:r>
      <w:r>
        <w:rPr>
          <w:sz w:val="24"/>
          <w:u w:val="none"/>
        </w:rPr>
        <w:t>的位置关系图</w:t>
      </w:r>
    </w:p>
    <w:p w14:paraId="2EE56D63">
      <w:pPr>
        <w:spacing w:line="360" w:lineRule="auto"/>
        <w:rPr>
          <w:sz w:val="24"/>
          <w:u w:val="none"/>
        </w:rPr>
      </w:pPr>
      <w:r>
        <w:rPr>
          <w:sz w:val="24"/>
          <w:u w:val="none"/>
        </w:rPr>
        <w:t>附图</w:t>
      </w:r>
      <w:r>
        <w:rPr>
          <w:rFonts w:hint="eastAsia"/>
          <w:sz w:val="24"/>
          <w:u w:val="none"/>
        </w:rPr>
        <w:t>14</w:t>
      </w:r>
      <w:r>
        <w:rPr>
          <w:sz w:val="24"/>
          <w:u w:val="none"/>
        </w:rPr>
        <w:t xml:space="preserve">  </w:t>
      </w:r>
      <w:r>
        <w:rPr>
          <w:rFonts w:hint="eastAsia"/>
          <w:sz w:val="24"/>
          <w:u w:val="none"/>
        </w:rPr>
        <w:t xml:space="preserve"> </w:t>
      </w:r>
      <w:r>
        <w:rPr>
          <w:sz w:val="24"/>
          <w:u w:val="none"/>
        </w:rPr>
        <w:t>本项目与云南珠江源自然保护区</w:t>
      </w:r>
      <w:r>
        <w:rPr>
          <w:rFonts w:hint="eastAsia"/>
          <w:sz w:val="24"/>
          <w:u w:val="none"/>
        </w:rPr>
        <w:t>的</w:t>
      </w:r>
      <w:r>
        <w:rPr>
          <w:sz w:val="24"/>
          <w:u w:val="none"/>
        </w:rPr>
        <w:t>位置关系示意图</w:t>
      </w:r>
    </w:p>
    <w:p w14:paraId="3FB60B8E">
      <w:pPr>
        <w:pStyle w:val="2"/>
        <w:rPr>
          <w:u w:val="none"/>
        </w:rPr>
      </w:pPr>
    </w:p>
    <w:p w14:paraId="45117BB1">
      <w:pPr>
        <w:pStyle w:val="15"/>
        <w:rPr>
          <w:sz w:val="36"/>
          <w:szCs w:val="36"/>
          <w:u w:val="none"/>
        </w:rPr>
      </w:pPr>
    </w:p>
    <w:p w14:paraId="3B84BD9A">
      <w:pPr>
        <w:rPr>
          <w:u w:val="none"/>
        </w:rPr>
      </w:pPr>
    </w:p>
    <w:p w14:paraId="44B9386D">
      <w:pPr>
        <w:adjustRightInd w:val="0"/>
        <w:snapToGrid w:val="0"/>
        <w:spacing w:line="288" w:lineRule="auto"/>
        <w:ind w:firstLine="1040"/>
        <w:rPr>
          <w:sz w:val="36"/>
          <w:szCs w:val="36"/>
          <w:u w:val="none"/>
        </w:rPr>
        <w:sectPr>
          <w:footerReference r:id="rId4" w:type="default"/>
          <w:pgSz w:w="11906" w:h="16838"/>
          <w:pgMar w:top="1701" w:right="1531" w:bottom="1701" w:left="1531" w:header="851" w:footer="1077" w:gutter="0"/>
          <w:pgNumType w:fmt="upperRoman" w:start="1"/>
          <w:cols w:space="720" w:num="1"/>
          <w:docGrid w:linePitch="312" w:charSpace="0"/>
        </w:sectPr>
      </w:pPr>
    </w:p>
    <w:p w14:paraId="1300E04D">
      <w:pPr>
        <w:pStyle w:val="32"/>
        <w:jc w:val="center"/>
        <w:outlineLvl w:val="0"/>
        <w:rPr>
          <w:rFonts w:ascii="Times New Roman" w:hAnsi="Times New Roman"/>
          <w:b/>
          <w:bCs/>
          <w:snapToGrid w:val="0"/>
          <w:sz w:val="30"/>
          <w:szCs w:val="30"/>
          <w:u w:val="none"/>
        </w:rPr>
      </w:pPr>
      <w:bookmarkStart w:id="1" w:name="_Toc7306"/>
      <w:r>
        <w:rPr>
          <w:rFonts w:ascii="Times New Roman" w:hAnsi="Times New Roman"/>
          <w:b/>
          <w:bCs/>
          <w:snapToGrid w:val="0"/>
          <w:sz w:val="30"/>
          <w:szCs w:val="30"/>
          <w:u w:val="none"/>
        </w:rPr>
        <w:t>一、建设项目基本情况</w:t>
      </w:r>
      <w:bookmarkEnd w:id="1"/>
    </w:p>
    <w:tbl>
      <w:tblPr>
        <w:tblStyle w:val="37"/>
        <w:tblW w:w="89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56"/>
        <w:gridCol w:w="2163"/>
        <w:gridCol w:w="2014"/>
        <w:gridCol w:w="2955"/>
      </w:tblGrid>
      <w:tr w14:paraId="072C9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1AE6C79B">
            <w:pPr>
              <w:adjustRightInd w:val="0"/>
              <w:snapToGrid w:val="0"/>
              <w:jc w:val="center"/>
              <w:rPr>
                <w:sz w:val="24"/>
                <w:u w:val="none"/>
              </w:rPr>
            </w:pPr>
            <w:r>
              <w:rPr>
                <w:sz w:val="24"/>
                <w:u w:val="none"/>
              </w:rPr>
              <w:t>建设项目名称</w:t>
            </w:r>
          </w:p>
        </w:tc>
        <w:tc>
          <w:tcPr>
            <w:tcW w:w="7132" w:type="dxa"/>
            <w:gridSpan w:val="3"/>
            <w:vAlign w:val="center"/>
          </w:tcPr>
          <w:p w14:paraId="055129EE">
            <w:pPr>
              <w:adjustRightInd w:val="0"/>
              <w:snapToGrid w:val="0"/>
              <w:jc w:val="center"/>
              <w:rPr>
                <w:sz w:val="24"/>
                <w:u w:val="none"/>
              </w:rPr>
            </w:pPr>
            <w:r>
              <w:rPr>
                <w:rFonts w:hint="eastAsia"/>
                <w:sz w:val="24"/>
                <w:u w:val="none"/>
              </w:rPr>
              <w:t>羊场产业园矿产品仓储物流基地二期工程</w:t>
            </w:r>
          </w:p>
        </w:tc>
      </w:tr>
      <w:tr w14:paraId="12294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595403DD">
            <w:pPr>
              <w:adjustRightInd w:val="0"/>
              <w:snapToGrid w:val="0"/>
              <w:jc w:val="center"/>
              <w:rPr>
                <w:sz w:val="24"/>
                <w:u w:val="none"/>
              </w:rPr>
            </w:pPr>
            <w:r>
              <w:rPr>
                <w:sz w:val="24"/>
                <w:u w:val="none"/>
              </w:rPr>
              <w:t>项目代码</w:t>
            </w:r>
          </w:p>
        </w:tc>
        <w:tc>
          <w:tcPr>
            <w:tcW w:w="7132" w:type="dxa"/>
            <w:gridSpan w:val="3"/>
            <w:vAlign w:val="center"/>
          </w:tcPr>
          <w:p w14:paraId="770FF44E">
            <w:pPr>
              <w:adjustRightInd w:val="0"/>
              <w:snapToGrid w:val="0"/>
              <w:jc w:val="center"/>
              <w:rPr>
                <w:sz w:val="24"/>
                <w:u w:val="none"/>
              </w:rPr>
            </w:pPr>
            <w:r>
              <w:rPr>
                <w:rFonts w:hint="eastAsia"/>
                <w:sz w:val="24"/>
                <w:u w:val="none"/>
              </w:rPr>
              <w:t>2404</w:t>
            </w:r>
            <w:r>
              <w:rPr>
                <w:sz w:val="24"/>
                <w:u w:val="none"/>
              </w:rPr>
              <w:t>-530381-04-0</w:t>
            </w:r>
            <w:r>
              <w:rPr>
                <w:rFonts w:hint="eastAsia"/>
                <w:sz w:val="24"/>
                <w:u w:val="none"/>
              </w:rPr>
              <w:t>5</w:t>
            </w:r>
            <w:r>
              <w:rPr>
                <w:sz w:val="24"/>
                <w:u w:val="none"/>
              </w:rPr>
              <w:t>-</w:t>
            </w:r>
            <w:r>
              <w:rPr>
                <w:rFonts w:hint="eastAsia"/>
                <w:sz w:val="24"/>
                <w:u w:val="none"/>
              </w:rPr>
              <w:t>583559</w:t>
            </w:r>
          </w:p>
        </w:tc>
      </w:tr>
      <w:tr w14:paraId="7683D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373D4C8D">
            <w:pPr>
              <w:adjustRightInd w:val="0"/>
              <w:snapToGrid w:val="0"/>
              <w:jc w:val="center"/>
              <w:rPr>
                <w:sz w:val="24"/>
                <w:u w:val="none"/>
              </w:rPr>
            </w:pPr>
            <w:r>
              <w:rPr>
                <w:sz w:val="24"/>
                <w:u w:val="none"/>
              </w:rPr>
              <w:t>建设单位联系人</w:t>
            </w:r>
          </w:p>
        </w:tc>
        <w:tc>
          <w:tcPr>
            <w:tcW w:w="2163" w:type="dxa"/>
            <w:vAlign w:val="center"/>
          </w:tcPr>
          <w:p w14:paraId="3C77745F">
            <w:pPr>
              <w:adjustRightInd w:val="0"/>
              <w:snapToGrid w:val="0"/>
              <w:jc w:val="center"/>
              <w:rPr>
                <w:sz w:val="24"/>
                <w:u w:val="none"/>
              </w:rPr>
            </w:pPr>
            <w:r>
              <w:rPr>
                <w:rFonts w:hint="eastAsia"/>
                <w:sz w:val="24"/>
                <w:u w:val="none"/>
              </w:rPr>
              <w:t>缪*</w:t>
            </w:r>
            <w:r>
              <w:rPr>
                <w:sz w:val="24"/>
                <w:u w:val="none"/>
              </w:rPr>
              <w:t>*</w:t>
            </w:r>
          </w:p>
        </w:tc>
        <w:tc>
          <w:tcPr>
            <w:tcW w:w="2014" w:type="dxa"/>
            <w:vAlign w:val="center"/>
          </w:tcPr>
          <w:p w14:paraId="4CE1D34E">
            <w:pPr>
              <w:adjustRightInd w:val="0"/>
              <w:snapToGrid w:val="0"/>
              <w:jc w:val="center"/>
              <w:rPr>
                <w:sz w:val="24"/>
                <w:u w:val="none"/>
              </w:rPr>
            </w:pPr>
            <w:r>
              <w:rPr>
                <w:sz w:val="24"/>
                <w:u w:val="none"/>
              </w:rPr>
              <w:t>联系方式</w:t>
            </w:r>
          </w:p>
        </w:tc>
        <w:tc>
          <w:tcPr>
            <w:tcW w:w="2955" w:type="dxa"/>
            <w:vAlign w:val="center"/>
          </w:tcPr>
          <w:p w14:paraId="20E8D492">
            <w:pPr>
              <w:adjustRightInd w:val="0"/>
              <w:snapToGrid w:val="0"/>
              <w:jc w:val="center"/>
              <w:rPr>
                <w:sz w:val="24"/>
                <w:u w:val="none"/>
              </w:rPr>
            </w:pPr>
            <w:r>
              <w:rPr>
                <w:sz w:val="24"/>
                <w:u w:val="none"/>
              </w:rPr>
              <w:t>1*********</w:t>
            </w:r>
            <w:r>
              <w:rPr>
                <w:rFonts w:hint="eastAsia"/>
                <w:sz w:val="24"/>
                <w:u w:val="none"/>
              </w:rPr>
              <w:t>8</w:t>
            </w:r>
          </w:p>
        </w:tc>
      </w:tr>
      <w:tr w14:paraId="7C262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43CB5F69">
            <w:pPr>
              <w:adjustRightInd w:val="0"/>
              <w:snapToGrid w:val="0"/>
              <w:jc w:val="center"/>
              <w:rPr>
                <w:sz w:val="24"/>
                <w:u w:val="none"/>
              </w:rPr>
            </w:pPr>
            <w:r>
              <w:rPr>
                <w:sz w:val="24"/>
                <w:u w:val="none"/>
              </w:rPr>
              <w:t>建设地点</w:t>
            </w:r>
          </w:p>
        </w:tc>
        <w:tc>
          <w:tcPr>
            <w:tcW w:w="7132" w:type="dxa"/>
            <w:gridSpan w:val="3"/>
            <w:vAlign w:val="center"/>
          </w:tcPr>
          <w:p w14:paraId="57DB0961">
            <w:pPr>
              <w:adjustRightInd w:val="0"/>
              <w:snapToGrid w:val="0"/>
              <w:jc w:val="center"/>
              <w:rPr>
                <w:sz w:val="24"/>
                <w:u w:val="none"/>
              </w:rPr>
            </w:pPr>
            <w:r>
              <w:rPr>
                <w:rFonts w:hint="eastAsia"/>
                <w:sz w:val="24"/>
                <w:u w:val="none"/>
              </w:rPr>
              <w:t>宣威市羊场产业园区水泥厂大桥头起</w:t>
            </w:r>
          </w:p>
        </w:tc>
      </w:tr>
      <w:tr w14:paraId="2C1D1F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5DAF20CC">
            <w:pPr>
              <w:adjustRightInd w:val="0"/>
              <w:snapToGrid w:val="0"/>
              <w:jc w:val="center"/>
              <w:rPr>
                <w:sz w:val="24"/>
                <w:u w:val="none"/>
              </w:rPr>
            </w:pPr>
            <w:r>
              <w:rPr>
                <w:sz w:val="24"/>
                <w:u w:val="none"/>
              </w:rPr>
              <w:t>地理坐标</w:t>
            </w:r>
          </w:p>
        </w:tc>
        <w:tc>
          <w:tcPr>
            <w:tcW w:w="7132" w:type="dxa"/>
            <w:gridSpan w:val="3"/>
            <w:vAlign w:val="center"/>
          </w:tcPr>
          <w:p w14:paraId="49CBC914">
            <w:pPr>
              <w:jc w:val="center"/>
              <w:rPr>
                <w:sz w:val="24"/>
                <w:u w:val="none"/>
              </w:rPr>
            </w:pPr>
            <w:r>
              <w:rPr>
                <w:rFonts w:hint="eastAsia"/>
                <w:sz w:val="24"/>
                <w:u w:val="none"/>
              </w:rPr>
              <w:t>（东经104度16分34.051秒，北纬25度59分55.736秒）</w:t>
            </w:r>
          </w:p>
        </w:tc>
      </w:tr>
      <w:tr w14:paraId="70FE6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334EEB1F">
            <w:pPr>
              <w:adjustRightInd w:val="0"/>
              <w:snapToGrid w:val="0"/>
              <w:jc w:val="center"/>
              <w:rPr>
                <w:sz w:val="24"/>
                <w:u w:val="none"/>
              </w:rPr>
            </w:pPr>
            <w:r>
              <w:rPr>
                <w:sz w:val="24"/>
                <w:u w:val="none"/>
              </w:rPr>
              <w:t>国民经济</w:t>
            </w:r>
          </w:p>
          <w:p w14:paraId="2A611384">
            <w:pPr>
              <w:adjustRightInd w:val="0"/>
              <w:snapToGrid w:val="0"/>
              <w:jc w:val="center"/>
              <w:rPr>
                <w:sz w:val="24"/>
                <w:u w:val="none"/>
              </w:rPr>
            </w:pPr>
            <w:r>
              <w:rPr>
                <w:sz w:val="24"/>
                <w:u w:val="none"/>
              </w:rPr>
              <w:t>行业类别</w:t>
            </w:r>
          </w:p>
        </w:tc>
        <w:tc>
          <w:tcPr>
            <w:tcW w:w="2163" w:type="dxa"/>
            <w:vAlign w:val="center"/>
          </w:tcPr>
          <w:p w14:paraId="22DC0652">
            <w:pPr>
              <w:adjustRightInd w:val="0"/>
              <w:snapToGrid w:val="0"/>
              <w:jc w:val="center"/>
              <w:rPr>
                <w:sz w:val="24"/>
                <w:u w:val="none"/>
              </w:rPr>
            </w:pPr>
            <w:r>
              <w:rPr>
                <w:rFonts w:hint="eastAsia"/>
                <w:sz w:val="24"/>
                <w:u w:val="none"/>
              </w:rPr>
              <w:t>B1020化学矿开采</w:t>
            </w:r>
          </w:p>
        </w:tc>
        <w:tc>
          <w:tcPr>
            <w:tcW w:w="2014" w:type="dxa"/>
            <w:vAlign w:val="center"/>
          </w:tcPr>
          <w:p w14:paraId="665972B4">
            <w:pPr>
              <w:adjustRightInd w:val="0"/>
              <w:snapToGrid w:val="0"/>
              <w:jc w:val="center"/>
              <w:rPr>
                <w:sz w:val="24"/>
                <w:u w:val="none"/>
              </w:rPr>
            </w:pPr>
            <w:bookmarkStart w:id="2" w:name="_Hlk49843745"/>
            <w:r>
              <w:rPr>
                <w:sz w:val="24"/>
                <w:u w:val="none"/>
              </w:rPr>
              <w:t>建设项目</w:t>
            </w:r>
          </w:p>
          <w:p w14:paraId="3FEBD28C">
            <w:pPr>
              <w:adjustRightInd w:val="0"/>
              <w:snapToGrid w:val="0"/>
              <w:jc w:val="center"/>
              <w:rPr>
                <w:sz w:val="24"/>
                <w:u w:val="none"/>
              </w:rPr>
            </w:pPr>
            <w:r>
              <w:rPr>
                <w:sz w:val="24"/>
                <w:u w:val="none"/>
              </w:rPr>
              <w:t>行业类别</w:t>
            </w:r>
            <w:bookmarkEnd w:id="2"/>
          </w:p>
        </w:tc>
        <w:tc>
          <w:tcPr>
            <w:tcW w:w="2955" w:type="dxa"/>
            <w:vAlign w:val="center"/>
          </w:tcPr>
          <w:p w14:paraId="23C4A3B3">
            <w:pPr>
              <w:adjustRightInd w:val="0"/>
              <w:snapToGrid w:val="0"/>
              <w:rPr>
                <w:sz w:val="24"/>
                <w:u w:val="none"/>
              </w:rPr>
            </w:pPr>
            <w:r>
              <w:rPr>
                <w:rFonts w:hint="eastAsia" w:ascii="宋体" w:hAnsi="宋体" w:cs="宋体"/>
                <w:sz w:val="24"/>
                <w:u w:val="none"/>
              </w:rPr>
              <w:t>“八、非金属矿采选业”中“</w:t>
            </w:r>
            <w:r>
              <w:rPr>
                <w:rFonts w:hint="eastAsia"/>
                <w:sz w:val="24"/>
                <w:u w:val="none"/>
              </w:rPr>
              <w:t>12</w:t>
            </w:r>
            <w:r>
              <w:rPr>
                <w:sz w:val="24"/>
                <w:u w:val="none"/>
              </w:rPr>
              <w:t>、</w:t>
            </w:r>
            <w:r>
              <w:rPr>
                <w:rFonts w:hint="eastAsia"/>
                <w:sz w:val="24"/>
                <w:u w:val="none"/>
              </w:rPr>
              <w:t>化学矿开</w:t>
            </w:r>
            <w:r>
              <w:rPr>
                <w:rFonts w:hint="eastAsia" w:ascii="宋体" w:hAnsi="宋体" w:cs="宋体"/>
                <w:sz w:val="24"/>
                <w:u w:val="none"/>
              </w:rPr>
              <w:t>采”“单独的矿石破碎、集运”</w:t>
            </w:r>
          </w:p>
        </w:tc>
      </w:tr>
      <w:tr w14:paraId="659C2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05EA4CB3">
            <w:pPr>
              <w:adjustRightInd w:val="0"/>
              <w:snapToGrid w:val="0"/>
              <w:jc w:val="center"/>
              <w:rPr>
                <w:sz w:val="24"/>
                <w:u w:val="none"/>
              </w:rPr>
            </w:pPr>
            <w:r>
              <w:rPr>
                <w:sz w:val="24"/>
                <w:u w:val="none"/>
              </w:rPr>
              <w:t>建设性质</w:t>
            </w:r>
          </w:p>
        </w:tc>
        <w:tc>
          <w:tcPr>
            <w:tcW w:w="2163" w:type="dxa"/>
            <w:vAlign w:val="center"/>
          </w:tcPr>
          <w:p w14:paraId="05F3D9FA">
            <w:pPr>
              <w:jc w:val="left"/>
              <w:rPr>
                <w:sz w:val="24"/>
                <w:u w:val="none"/>
              </w:rPr>
            </w:pPr>
            <w:r>
              <w:rPr>
                <w:sz w:val="24"/>
                <w:u w:val="none"/>
              </w:rPr>
              <w:sym w:font="Wingdings 2" w:char="0052"/>
            </w:r>
            <w:r>
              <w:rPr>
                <w:sz w:val="24"/>
                <w:u w:val="none"/>
              </w:rPr>
              <w:t>新建（迁建）</w:t>
            </w:r>
          </w:p>
          <w:p w14:paraId="45E7B904">
            <w:pPr>
              <w:jc w:val="left"/>
              <w:rPr>
                <w:sz w:val="24"/>
                <w:u w:val="none"/>
              </w:rPr>
            </w:pPr>
            <w:r>
              <w:rPr>
                <w:sz w:val="24"/>
                <w:u w:val="none"/>
              </w:rPr>
              <w:sym w:font="Wingdings 2" w:char="00A3"/>
            </w:r>
            <w:r>
              <w:rPr>
                <w:sz w:val="24"/>
                <w:u w:val="none"/>
              </w:rPr>
              <w:t>改建</w:t>
            </w:r>
          </w:p>
          <w:p w14:paraId="069C2584">
            <w:pPr>
              <w:jc w:val="left"/>
              <w:rPr>
                <w:sz w:val="24"/>
                <w:u w:val="none"/>
              </w:rPr>
            </w:pPr>
            <w:r>
              <w:rPr>
                <w:sz w:val="24"/>
                <w:u w:val="none"/>
              </w:rPr>
              <w:sym w:font="Wingdings 2" w:char="00A3"/>
            </w:r>
            <w:r>
              <w:rPr>
                <w:sz w:val="24"/>
                <w:u w:val="none"/>
              </w:rPr>
              <w:t>扩建</w:t>
            </w:r>
          </w:p>
          <w:p w14:paraId="42EB2495">
            <w:pPr>
              <w:jc w:val="left"/>
              <w:rPr>
                <w:sz w:val="24"/>
                <w:u w:val="none"/>
              </w:rPr>
            </w:pPr>
            <w:r>
              <w:rPr>
                <w:sz w:val="24"/>
                <w:u w:val="none"/>
              </w:rPr>
              <w:sym w:font="Wingdings 2" w:char="00A3"/>
            </w:r>
            <w:r>
              <w:rPr>
                <w:sz w:val="24"/>
                <w:u w:val="none"/>
              </w:rPr>
              <w:t>技术改造</w:t>
            </w:r>
          </w:p>
        </w:tc>
        <w:tc>
          <w:tcPr>
            <w:tcW w:w="2014" w:type="dxa"/>
            <w:vAlign w:val="center"/>
          </w:tcPr>
          <w:p w14:paraId="0179C64E">
            <w:pPr>
              <w:adjustRightInd w:val="0"/>
              <w:snapToGrid w:val="0"/>
              <w:jc w:val="center"/>
              <w:rPr>
                <w:sz w:val="24"/>
                <w:u w:val="none"/>
              </w:rPr>
            </w:pPr>
            <w:r>
              <w:rPr>
                <w:sz w:val="24"/>
                <w:u w:val="none"/>
              </w:rPr>
              <w:t>建设项目</w:t>
            </w:r>
          </w:p>
          <w:p w14:paraId="0AEB19B9">
            <w:pPr>
              <w:adjustRightInd w:val="0"/>
              <w:snapToGrid w:val="0"/>
              <w:jc w:val="center"/>
              <w:rPr>
                <w:sz w:val="24"/>
                <w:u w:val="none"/>
              </w:rPr>
            </w:pPr>
            <w:r>
              <w:rPr>
                <w:sz w:val="24"/>
                <w:u w:val="none"/>
              </w:rPr>
              <w:t>申报情形</w:t>
            </w:r>
          </w:p>
        </w:tc>
        <w:tc>
          <w:tcPr>
            <w:tcW w:w="2955" w:type="dxa"/>
            <w:vAlign w:val="center"/>
          </w:tcPr>
          <w:p w14:paraId="18BEE766">
            <w:pPr>
              <w:jc w:val="left"/>
              <w:rPr>
                <w:sz w:val="24"/>
                <w:u w:val="none"/>
              </w:rPr>
            </w:pPr>
            <w:r>
              <w:rPr>
                <w:sz w:val="24"/>
                <w:u w:val="none"/>
              </w:rPr>
              <w:sym w:font="Wingdings 2" w:char="0052"/>
            </w:r>
            <w:r>
              <w:rPr>
                <w:sz w:val="24"/>
                <w:u w:val="none"/>
              </w:rPr>
              <w:t xml:space="preserve">首次申报项目             </w:t>
            </w:r>
          </w:p>
          <w:p w14:paraId="3DE1B191">
            <w:pPr>
              <w:jc w:val="left"/>
              <w:rPr>
                <w:sz w:val="24"/>
                <w:u w:val="none"/>
              </w:rPr>
            </w:pPr>
            <w:r>
              <w:rPr>
                <w:sz w:val="24"/>
                <w:u w:val="none"/>
              </w:rPr>
              <w:sym w:font="Wingdings 2" w:char="00A3"/>
            </w:r>
            <w:r>
              <w:rPr>
                <w:sz w:val="24"/>
                <w:u w:val="none"/>
              </w:rPr>
              <w:t>不予批准后再次申报项目</w:t>
            </w:r>
          </w:p>
          <w:p w14:paraId="4CE9E567">
            <w:pPr>
              <w:jc w:val="left"/>
              <w:rPr>
                <w:sz w:val="24"/>
                <w:u w:val="none"/>
              </w:rPr>
            </w:pPr>
            <w:r>
              <w:rPr>
                <w:sz w:val="24"/>
                <w:u w:val="none"/>
              </w:rPr>
              <w:sym w:font="Wingdings 2" w:char="00A3"/>
            </w:r>
            <w:r>
              <w:rPr>
                <w:sz w:val="24"/>
                <w:u w:val="none"/>
              </w:rPr>
              <w:t xml:space="preserve">超五年重新审核项目     </w:t>
            </w:r>
          </w:p>
          <w:p w14:paraId="45406F5A">
            <w:pPr>
              <w:jc w:val="left"/>
              <w:rPr>
                <w:sz w:val="24"/>
                <w:u w:val="none"/>
              </w:rPr>
            </w:pPr>
            <w:r>
              <w:rPr>
                <w:sz w:val="24"/>
                <w:u w:val="none"/>
              </w:rPr>
              <w:sym w:font="Wingdings 2" w:char="00A3"/>
            </w:r>
            <w:r>
              <w:rPr>
                <w:sz w:val="24"/>
                <w:u w:val="none"/>
              </w:rPr>
              <w:t>重大变动重新报批项目</w:t>
            </w:r>
          </w:p>
        </w:tc>
      </w:tr>
      <w:tr w14:paraId="1EA5A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18AE9A45">
            <w:pPr>
              <w:adjustRightInd w:val="0"/>
              <w:snapToGrid w:val="0"/>
              <w:jc w:val="center"/>
              <w:rPr>
                <w:sz w:val="24"/>
                <w:u w:val="none"/>
              </w:rPr>
            </w:pPr>
            <w:r>
              <w:rPr>
                <w:sz w:val="24"/>
                <w:u w:val="none"/>
              </w:rPr>
              <w:t>项目审批（核准/</w:t>
            </w:r>
          </w:p>
          <w:p w14:paraId="441C2D58">
            <w:pPr>
              <w:adjustRightInd w:val="0"/>
              <w:snapToGrid w:val="0"/>
              <w:jc w:val="center"/>
              <w:rPr>
                <w:sz w:val="24"/>
                <w:u w:val="none"/>
              </w:rPr>
            </w:pPr>
            <w:r>
              <w:rPr>
                <w:sz w:val="24"/>
                <w:u w:val="none"/>
              </w:rPr>
              <w:t>备案）部门（选填）</w:t>
            </w:r>
          </w:p>
        </w:tc>
        <w:tc>
          <w:tcPr>
            <w:tcW w:w="2163" w:type="dxa"/>
            <w:vAlign w:val="center"/>
          </w:tcPr>
          <w:p w14:paraId="46D719BA">
            <w:pPr>
              <w:adjustRightInd w:val="0"/>
              <w:snapToGrid w:val="0"/>
              <w:jc w:val="center"/>
              <w:rPr>
                <w:sz w:val="24"/>
                <w:u w:val="none"/>
              </w:rPr>
            </w:pPr>
            <w:r>
              <w:rPr>
                <w:rFonts w:hint="eastAsia"/>
                <w:sz w:val="24"/>
                <w:u w:val="none"/>
              </w:rPr>
              <w:t>宣威</w:t>
            </w:r>
            <w:r>
              <w:rPr>
                <w:sz w:val="24"/>
                <w:u w:val="none"/>
              </w:rPr>
              <w:t>市发展和改革局</w:t>
            </w:r>
          </w:p>
        </w:tc>
        <w:tc>
          <w:tcPr>
            <w:tcW w:w="2014" w:type="dxa"/>
            <w:vAlign w:val="center"/>
          </w:tcPr>
          <w:p w14:paraId="6DAFE8E4">
            <w:pPr>
              <w:adjustRightInd w:val="0"/>
              <w:snapToGrid w:val="0"/>
              <w:jc w:val="center"/>
              <w:rPr>
                <w:sz w:val="24"/>
                <w:u w:val="none"/>
              </w:rPr>
            </w:pPr>
            <w:r>
              <w:rPr>
                <w:sz w:val="24"/>
                <w:u w:val="none"/>
              </w:rPr>
              <w:t>项目审批（核准/</w:t>
            </w:r>
          </w:p>
          <w:p w14:paraId="4F08708C">
            <w:pPr>
              <w:adjustRightInd w:val="0"/>
              <w:snapToGrid w:val="0"/>
              <w:jc w:val="center"/>
              <w:rPr>
                <w:sz w:val="24"/>
                <w:u w:val="none"/>
              </w:rPr>
            </w:pPr>
            <w:r>
              <w:rPr>
                <w:sz w:val="24"/>
                <w:u w:val="none"/>
              </w:rPr>
              <w:t>备案）文号（选填）</w:t>
            </w:r>
          </w:p>
        </w:tc>
        <w:tc>
          <w:tcPr>
            <w:tcW w:w="2955" w:type="dxa"/>
            <w:vAlign w:val="center"/>
          </w:tcPr>
          <w:p w14:paraId="6CF1DA88">
            <w:pPr>
              <w:adjustRightInd w:val="0"/>
              <w:snapToGrid w:val="0"/>
              <w:jc w:val="center"/>
              <w:rPr>
                <w:sz w:val="24"/>
                <w:u w:val="none"/>
              </w:rPr>
            </w:pPr>
            <w:r>
              <w:rPr>
                <w:rFonts w:hint="eastAsia"/>
                <w:sz w:val="24"/>
                <w:u w:val="none"/>
              </w:rPr>
              <w:t>2404</w:t>
            </w:r>
            <w:r>
              <w:rPr>
                <w:sz w:val="24"/>
                <w:u w:val="none"/>
              </w:rPr>
              <w:t>-530381-04-0</w:t>
            </w:r>
            <w:r>
              <w:rPr>
                <w:rFonts w:hint="eastAsia"/>
                <w:sz w:val="24"/>
                <w:u w:val="none"/>
              </w:rPr>
              <w:t>5</w:t>
            </w:r>
            <w:r>
              <w:rPr>
                <w:sz w:val="24"/>
                <w:u w:val="none"/>
              </w:rPr>
              <w:t>-</w:t>
            </w:r>
            <w:r>
              <w:rPr>
                <w:rFonts w:hint="eastAsia"/>
                <w:sz w:val="24"/>
                <w:u w:val="none"/>
              </w:rPr>
              <w:t>583559</w:t>
            </w:r>
          </w:p>
        </w:tc>
      </w:tr>
      <w:tr w14:paraId="6F357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7315013E">
            <w:pPr>
              <w:adjustRightInd w:val="0"/>
              <w:snapToGrid w:val="0"/>
              <w:jc w:val="center"/>
              <w:rPr>
                <w:sz w:val="24"/>
                <w:u w:val="none"/>
              </w:rPr>
            </w:pPr>
            <w:r>
              <w:rPr>
                <w:sz w:val="24"/>
                <w:u w:val="none"/>
              </w:rPr>
              <w:t>总投资（万元）</w:t>
            </w:r>
          </w:p>
        </w:tc>
        <w:tc>
          <w:tcPr>
            <w:tcW w:w="2163" w:type="dxa"/>
            <w:vAlign w:val="center"/>
          </w:tcPr>
          <w:p w14:paraId="03B17C70">
            <w:pPr>
              <w:adjustRightInd w:val="0"/>
              <w:snapToGrid w:val="0"/>
              <w:jc w:val="center"/>
              <w:rPr>
                <w:sz w:val="24"/>
                <w:u w:val="none"/>
              </w:rPr>
            </w:pPr>
            <w:r>
              <w:rPr>
                <w:rFonts w:hint="eastAsia"/>
                <w:sz w:val="24"/>
                <w:u w:val="none"/>
              </w:rPr>
              <w:t>2000</w:t>
            </w:r>
          </w:p>
        </w:tc>
        <w:tc>
          <w:tcPr>
            <w:tcW w:w="2014" w:type="dxa"/>
            <w:tcMar>
              <w:top w:w="16" w:type="dxa"/>
              <w:left w:w="16" w:type="dxa"/>
              <w:right w:w="16" w:type="dxa"/>
            </w:tcMar>
            <w:vAlign w:val="center"/>
          </w:tcPr>
          <w:p w14:paraId="7A8C9C45">
            <w:pPr>
              <w:adjustRightInd w:val="0"/>
              <w:snapToGrid w:val="0"/>
              <w:jc w:val="center"/>
              <w:rPr>
                <w:sz w:val="24"/>
                <w:u w:val="none"/>
              </w:rPr>
            </w:pPr>
            <w:r>
              <w:rPr>
                <w:sz w:val="24"/>
                <w:u w:val="none"/>
              </w:rPr>
              <w:t>环保投资（万元）</w:t>
            </w:r>
          </w:p>
        </w:tc>
        <w:tc>
          <w:tcPr>
            <w:tcW w:w="2955" w:type="dxa"/>
            <w:vAlign w:val="center"/>
          </w:tcPr>
          <w:p w14:paraId="6A405978">
            <w:pPr>
              <w:adjustRightInd w:val="0"/>
              <w:snapToGrid w:val="0"/>
              <w:jc w:val="center"/>
              <w:rPr>
                <w:sz w:val="24"/>
                <w:u w:val="none"/>
              </w:rPr>
            </w:pPr>
            <w:r>
              <w:rPr>
                <w:rFonts w:hint="eastAsia"/>
                <w:sz w:val="24"/>
                <w:u w:val="none"/>
              </w:rPr>
              <w:t>951</w:t>
            </w:r>
          </w:p>
        </w:tc>
      </w:tr>
      <w:tr w14:paraId="4BEDF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04B3FE40">
            <w:pPr>
              <w:adjustRightInd w:val="0"/>
              <w:snapToGrid w:val="0"/>
              <w:jc w:val="center"/>
              <w:rPr>
                <w:sz w:val="24"/>
                <w:u w:val="none"/>
              </w:rPr>
            </w:pPr>
            <w:r>
              <w:rPr>
                <w:sz w:val="24"/>
                <w:u w:val="none"/>
              </w:rPr>
              <w:t>环保投资占比（%）</w:t>
            </w:r>
          </w:p>
        </w:tc>
        <w:tc>
          <w:tcPr>
            <w:tcW w:w="2163" w:type="dxa"/>
            <w:vAlign w:val="center"/>
          </w:tcPr>
          <w:p w14:paraId="01AEB265">
            <w:pPr>
              <w:adjustRightInd w:val="0"/>
              <w:snapToGrid w:val="0"/>
              <w:jc w:val="center"/>
              <w:rPr>
                <w:sz w:val="24"/>
                <w:u w:val="none"/>
              </w:rPr>
            </w:pPr>
            <w:r>
              <w:rPr>
                <w:rFonts w:hint="eastAsia"/>
                <w:sz w:val="24"/>
                <w:u w:val="none"/>
              </w:rPr>
              <w:t>47.55</w:t>
            </w:r>
          </w:p>
        </w:tc>
        <w:tc>
          <w:tcPr>
            <w:tcW w:w="2014" w:type="dxa"/>
            <w:tcMar>
              <w:top w:w="16" w:type="dxa"/>
              <w:left w:w="16" w:type="dxa"/>
              <w:right w:w="16" w:type="dxa"/>
            </w:tcMar>
            <w:vAlign w:val="center"/>
          </w:tcPr>
          <w:p w14:paraId="08BB20E1">
            <w:pPr>
              <w:adjustRightInd w:val="0"/>
              <w:snapToGrid w:val="0"/>
              <w:jc w:val="center"/>
              <w:rPr>
                <w:sz w:val="24"/>
                <w:u w:val="none"/>
              </w:rPr>
            </w:pPr>
            <w:r>
              <w:rPr>
                <w:sz w:val="24"/>
                <w:u w:val="none"/>
              </w:rPr>
              <w:t>施工工期</w:t>
            </w:r>
          </w:p>
        </w:tc>
        <w:tc>
          <w:tcPr>
            <w:tcW w:w="2955" w:type="dxa"/>
            <w:vAlign w:val="center"/>
          </w:tcPr>
          <w:p w14:paraId="6DA247B0">
            <w:pPr>
              <w:adjustRightInd w:val="0"/>
              <w:snapToGrid w:val="0"/>
              <w:jc w:val="center"/>
              <w:rPr>
                <w:sz w:val="24"/>
                <w:u w:val="none"/>
              </w:rPr>
            </w:pPr>
            <w:r>
              <w:rPr>
                <w:rFonts w:hint="eastAsia"/>
                <w:sz w:val="24"/>
                <w:u w:val="none"/>
              </w:rPr>
              <w:t>3个月</w:t>
            </w:r>
          </w:p>
        </w:tc>
      </w:tr>
      <w:tr w14:paraId="66B0B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856" w:type="dxa"/>
            <w:tcMar>
              <w:top w:w="16" w:type="dxa"/>
              <w:left w:w="16" w:type="dxa"/>
              <w:right w:w="16" w:type="dxa"/>
            </w:tcMar>
            <w:vAlign w:val="center"/>
          </w:tcPr>
          <w:p w14:paraId="19018D67">
            <w:pPr>
              <w:adjustRightInd w:val="0"/>
              <w:snapToGrid w:val="0"/>
              <w:jc w:val="center"/>
              <w:rPr>
                <w:sz w:val="24"/>
                <w:u w:val="none"/>
              </w:rPr>
            </w:pPr>
            <w:r>
              <w:rPr>
                <w:sz w:val="24"/>
                <w:u w:val="none"/>
              </w:rPr>
              <w:t>是否开工建设</w:t>
            </w:r>
          </w:p>
        </w:tc>
        <w:tc>
          <w:tcPr>
            <w:tcW w:w="2163" w:type="dxa"/>
            <w:vAlign w:val="center"/>
          </w:tcPr>
          <w:p w14:paraId="7913A793">
            <w:pPr>
              <w:adjustRightInd w:val="0"/>
              <w:snapToGrid w:val="0"/>
              <w:jc w:val="left"/>
              <w:rPr>
                <w:sz w:val="24"/>
                <w:u w:val="none"/>
              </w:rPr>
            </w:pPr>
            <w:r>
              <w:rPr>
                <w:sz w:val="24"/>
                <w:u w:val="none"/>
              </w:rPr>
              <w:sym w:font="Wingdings 2" w:char="0052"/>
            </w:r>
            <w:r>
              <w:rPr>
                <w:sz w:val="24"/>
                <w:u w:val="none"/>
              </w:rPr>
              <w:t>否</w:t>
            </w:r>
          </w:p>
          <w:p w14:paraId="71D0BF4E">
            <w:pPr>
              <w:adjustRightInd w:val="0"/>
              <w:snapToGrid w:val="0"/>
              <w:rPr>
                <w:sz w:val="24"/>
                <w:u w:val="none"/>
              </w:rPr>
            </w:pPr>
            <w:r>
              <w:rPr>
                <w:sz w:val="24"/>
                <w:u w:val="none"/>
              </w:rPr>
              <w:sym w:font="Wingdings 2" w:char="00A3"/>
            </w:r>
            <w:r>
              <w:rPr>
                <w:sz w:val="24"/>
                <w:u w:val="none" w:color="auto"/>
                <w:shd w:val="clear" w:fill="auto"/>
              </w:rPr>
              <w:t>是</w:t>
            </w:r>
            <w:r>
              <w:rPr>
                <w:sz w:val="24"/>
                <w:u w:val="none"/>
              </w:rPr>
              <w:t>：</w:t>
            </w:r>
          </w:p>
        </w:tc>
        <w:tc>
          <w:tcPr>
            <w:tcW w:w="2014" w:type="dxa"/>
            <w:tcMar>
              <w:top w:w="16" w:type="dxa"/>
              <w:left w:w="16" w:type="dxa"/>
              <w:right w:w="16" w:type="dxa"/>
            </w:tcMar>
            <w:vAlign w:val="center"/>
          </w:tcPr>
          <w:p w14:paraId="25664647">
            <w:pPr>
              <w:adjustRightInd w:val="0"/>
              <w:snapToGrid w:val="0"/>
              <w:jc w:val="center"/>
              <w:rPr>
                <w:spacing w:val="-6"/>
                <w:sz w:val="24"/>
                <w:u w:val="none"/>
              </w:rPr>
            </w:pPr>
            <w:r>
              <w:rPr>
                <w:spacing w:val="-6"/>
                <w:sz w:val="24"/>
                <w:u w:val="none"/>
              </w:rPr>
              <w:t>用地（用海）</w:t>
            </w:r>
          </w:p>
          <w:p w14:paraId="2991DADC">
            <w:pPr>
              <w:adjustRightInd w:val="0"/>
              <w:snapToGrid w:val="0"/>
              <w:jc w:val="center"/>
              <w:rPr>
                <w:sz w:val="24"/>
                <w:u w:val="none"/>
              </w:rPr>
            </w:pPr>
            <w:r>
              <w:rPr>
                <w:spacing w:val="-6"/>
                <w:sz w:val="24"/>
                <w:u w:val="none"/>
              </w:rPr>
              <w:t>面积（</w:t>
            </w:r>
            <w:r>
              <w:rPr>
                <w:rFonts w:hint="eastAsia"/>
                <w:spacing w:val="-6"/>
                <w:sz w:val="24"/>
                <w:u w:val="none"/>
              </w:rPr>
              <w:t>m</w:t>
            </w:r>
            <w:r>
              <w:rPr>
                <w:rFonts w:hint="eastAsia"/>
                <w:spacing w:val="-6"/>
                <w:sz w:val="24"/>
                <w:u w:val="none"/>
                <w:vertAlign w:val="superscript"/>
              </w:rPr>
              <w:t>2</w:t>
            </w:r>
            <w:r>
              <w:rPr>
                <w:spacing w:val="-6"/>
                <w:sz w:val="24"/>
                <w:u w:val="none"/>
              </w:rPr>
              <w:t>）</w:t>
            </w:r>
          </w:p>
        </w:tc>
        <w:tc>
          <w:tcPr>
            <w:tcW w:w="2955" w:type="dxa"/>
            <w:vAlign w:val="center"/>
          </w:tcPr>
          <w:p w14:paraId="4F98F24E">
            <w:pPr>
              <w:adjustRightInd w:val="0"/>
              <w:snapToGrid w:val="0"/>
              <w:jc w:val="center"/>
              <w:rPr>
                <w:sz w:val="24"/>
                <w:u w:val="none"/>
              </w:rPr>
            </w:pPr>
            <w:r>
              <w:rPr>
                <w:rFonts w:hint="eastAsia"/>
                <w:sz w:val="24"/>
                <w:u w:val="none"/>
              </w:rPr>
              <w:t>7800</w:t>
            </w:r>
          </w:p>
        </w:tc>
      </w:tr>
      <w:tr w14:paraId="33F7F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6" w:type="dxa"/>
            <w:vAlign w:val="center"/>
          </w:tcPr>
          <w:p w14:paraId="0A4889C8">
            <w:pPr>
              <w:autoSpaceDE w:val="0"/>
              <w:autoSpaceDN w:val="0"/>
              <w:adjustRightInd w:val="0"/>
              <w:snapToGrid w:val="0"/>
              <w:jc w:val="center"/>
              <w:rPr>
                <w:kern w:val="0"/>
                <w:sz w:val="24"/>
                <w:u w:val="none"/>
              </w:rPr>
            </w:pPr>
            <w:r>
              <w:rPr>
                <w:kern w:val="0"/>
                <w:sz w:val="24"/>
                <w:u w:val="none"/>
              </w:rPr>
              <w:t>专项评价设置情况</w:t>
            </w:r>
          </w:p>
        </w:tc>
        <w:tc>
          <w:tcPr>
            <w:tcW w:w="7132" w:type="dxa"/>
            <w:gridSpan w:val="3"/>
            <w:vAlign w:val="center"/>
          </w:tcPr>
          <w:p w14:paraId="2AD13BE4">
            <w:pPr>
              <w:pStyle w:val="49"/>
              <w:adjustRightInd/>
              <w:snapToGrid/>
              <w:spacing w:line="360" w:lineRule="auto"/>
              <w:ind w:firstLine="480" w:firstLineChars="200"/>
              <w:jc w:val="both"/>
              <w:rPr>
                <w:u w:val="none"/>
              </w:rPr>
            </w:pPr>
            <w:r>
              <w:rPr>
                <w:rFonts w:hint="eastAsia"/>
                <w:u w:val="none"/>
              </w:rPr>
              <w:t>根据建设项目排污情况及所涉及环境敏感程度，本项目与专项评价设置原则对照情况如下：</w:t>
            </w:r>
          </w:p>
          <w:p w14:paraId="4841A611">
            <w:pPr>
              <w:pStyle w:val="48"/>
              <w:adjustRightInd/>
              <w:snapToGrid/>
              <w:spacing w:line="360" w:lineRule="auto"/>
              <w:rPr>
                <w:sz w:val="21"/>
                <w:szCs w:val="21"/>
                <w:u w:val="none"/>
              </w:rPr>
            </w:pPr>
            <w:r>
              <w:rPr>
                <w:rFonts w:hint="eastAsia"/>
                <w:sz w:val="21"/>
                <w:szCs w:val="21"/>
                <w:u w:val="none"/>
              </w:rPr>
              <w:t>表1-1 本项目与专项评价设置原则对照表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2007"/>
              <w:gridCol w:w="3510"/>
            </w:tblGrid>
            <w:tr w14:paraId="2956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2AB297EB">
                  <w:pPr>
                    <w:jc w:val="center"/>
                    <w:rPr>
                      <w:b/>
                      <w:bCs/>
                      <w:u w:val="none"/>
                    </w:rPr>
                  </w:pPr>
                  <w:r>
                    <w:rPr>
                      <w:rFonts w:hint="eastAsia"/>
                      <w:b/>
                      <w:bCs/>
                      <w:u w:val="none"/>
                    </w:rPr>
                    <w:t>专项评价的类别</w:t>
                  </w:r>
                </w:p>
              </w:tc>
              <w:tc>
                <w:tcPr>
                  <w:tcW w:w="2007" w:type="dxa"/>
                  <w:vAlign w:val="center"/>
                </w:tcPr>
                <w:p w14:paraId="32970E63">
                  <w:pPr>
                    <w:jc w:val="center"/>
                    <w:rPr>
                      <w:b/>
                      <w:bCs/>
                      <w:u w:val="none"/>
                    </w:rPr>
                  </w:pPr>
                  <w:r>
                    <w:rPr>
                      <w:rFonts w:hint="eastAsia"/>
                      <w:b/>
                      <w:bCs/>
                      <w:u w:val="none"/>
                    </w:rPr>
                    <w:t>设置原则</w:t>
                  </w:r>
                </w:p>
              </w:tc>
              <w:tc>
                <w:tcPr>
                  <w:tcW w:w="3510" w:type="dxa"/>
                  <w:vAlign w:val="center"/>
                </w:tcPr>
                <w:p w14:paraId="0ECAA821">
                  <w:pPr>
                    <w:ind w:firstLine="1054" w:firstLineChars="500"/>
                    <w:jc w:val="center"/>
                    <w:rPr>
                      <w:b/>
                      <w:bCs/>
                      <w:u w:val="none"/>
                    </w:rPr>
                  </w:pPr>
                  <w:r>
                    <w:rPr>
                      <w:rFonts w:hint="eastAsia"/>
                      <w:b/>
                      <w:bCs/>
                      <w:u w:val="none"/>
                    </w:rPr>
                    <w:t>设置情况</w:t>
                  </w:r>
                </w:p>
              </w:tc>
            </w:tr>
            <w:tr w14:paraId="7116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79CB2667">
                  <w:pPr>
                    <w:jc w:val="center"/>
                    <w:rPr>
                      <w:u w:val="none"/>
                    </w:rPr>
                  </w:pPr>
                  <w:r>
                    <w:rPr>
                      <w:rFonts w:hint="eastAsia"/>
                      <w:u w:val="none"/>
                    </w:rPr>
                    <w:t>大气</w:t>
                  </w:r>
                </w:p>
              </w:tc>
              <w:tc>
                <w:tcPr>
                  <w:tcW w:w="2007" w:type="dxa"/>
                  <w:vAlign w:val="center"/>
                </w:tcPr>
                <w:p w14:paraId="3BE06C26">
                  <w:pPr>
                    <w:rPr>
                      <w:u w:val="none"/>
                    </w:rPr>
                  </w:pPr>
                  <w:r>
                    <w:rPr>
                      <w:u w:val="none"/>
                    </w:rPr>
                    <w:t>排放废气含有毒有害污染物</w:t>
                  </w:r>
                  <w:r>
                    <w:rPr>
                      <w:rFonts w:hint="eastAsia"/>
                      <w:u w:val="none"/>
                    </w:rPr>
                    <w:t>、</w:t>
                  </w:r>
                  <w:r>
                    <w:rPr>
                      <w:u w:val="none"/>
                    </w:rPr>
                    <w:t>二噁英、苯并[a]芘、氰化物、氯气且厂界外500米范围内有环境空气保护目标的建设项目</w:t>
                  </w:r>
                </w:p>
              </w:tc>
              <w:tc>
                <w:tcPr>
                  <w:tcW w:w="3510" w:type="dxa"/>
                </w:tcPr>
                <w:p w14:paraId="60279860">
                  <w:pPr>
                    <w:rPr>
                      <w:u w:val="none"/>
                    </w:rPr>
                  </w:pPr>
                  <w:r>
                    <w:rPr>
                      <w:rFonts w:hint="eastAsia"/>
                      <w:b/>
                      <w:bCs/>
                      <w:u w:val="none"/>
                    </w:rPr>
                    <w:t>不设置。</w:t>
                  </w:r>
                  <w:r>
                    <w:rPr>
                      <w:rFonts w:hint="eastAsia"/>
                      <w:u w:val="none"/>
                    </w:rPr>
                    <w:t>本项目不排放《有毒有害大气污染物名录》的污染物、二噁英、苯并[a]芘、氰化物、氯气，不需设置大气专项评价。</w:t>
                  </w:r>
                </w:p>
              </w:tc>
            </w:tr>
            <w:tr w14:paraId="0494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7477B306">
                  <w:pPr>
                    <w:jc w:val="center"/>
                    <w:rPr>
                      <w:u w:val="none"/>
                    </w:rPr>
                  </w:pPr>
                  <w:r>
                    <w:rPr>
                      <w:rFonts w:hint="eastAsia"/>
                      <w:u w:val="none"/>
                    </w:rPr>
                    <w:t>地表水</w:t>
                  </w:r>
                </w:p>
              </w:tc>
              <w:tc>
                <w:tcPr>
                  <w:tcW w:w="2007" w:type="dxa"/>
                  <w:vAlign w:val="center"/>
                </w:tcPr>
                <w:p w14:paraId="2AF2DAF4">
                  <w:pPr>
                    <w:rPr>
                      <w:u w:val="none"/>
                    </w:rPr>
                  </w:pPr>
                  <w:r>
                    <w:rPr>
                      <w:u w:val="none"/>
                    </w:rPr>
                    <w:t>新增工业废水直排建设项目（槽罐车外送污水处理厂的除外）；新增废水直排的污水集中处理厂</w:t>
                  </w:r>
                </w:p>
              </w:tc>
              <w:tc>
                <w:tcPr>
                  <w:tcW w:w="3510" w:type="dxa"/>
                </w:tcPr>
                <w:p w14:paraId="0FE5484F">
                  <w:pPr>
                    <w:rPr>
                      <w:u w:val="none"/>
                    </w:rPr>
                  </w:pPr>
                  <w:r>
                    <w:rPr>
                      <w:rFonts w:hint="eastAsia"/>
                      <w:b/>
                      <w:bCs/>
                      <w:u w:val="none"/>
                    </w:rPr>
                    <w:t>不设置。</w:t>
                  </w:r>
                  <w:r>
                    <w:rPr>
                      <w:rFonts w:hint="eastAsia"/>
                      <w:u w:val="none"/>
                    </w:rPr>
                    <w:t>运营期</w:t>
                  </w:r>
                  <w:r>
                    <w:rPr>
                      <w:rFonts w:hint="eastAsia"/>
                      <w:bCs/>
                      <w:szCs w:val="21"/>
                      <w:u w:val="none"/>
                    </w:rPr>
                    <w:t>车辆清洗废水经沉淀处理后循环利用，不外排</w:t>
                  </w:r>
                  <w:r>
                    <w:rPr>
                      <w:rFonts w:hint="eastAsia"/>
                      <w:u w:val="none"/>
                    </w:rPr>
                    <w:t>；场地雨污水经沉淀处理后回用，不外排。生活污水经化粪池收集处理后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rFonts w:hint="eastAsia"/>
                      <w:u w:val="none"/>
                    </w:rPr>
                    <w:t>。项目无新建污水排放口，废水不外排。因此不设地表水专项评价。</w:t>
                  </w:r>
                </w:p>
              </w:tc>
            </w:tr>
            <w:tr w14:paraId="029C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51D4D923">
                  <w:pPr>
                    <w:jc w:val="center"/>
                    <w:rPr>
                      <w:u w:val="none"/>
                    </w:rPr>
                  </w:pPr>
                  <w:r>
                    <w:rPr>
                      <w:rFonts w:hint="eastAsia"/>
                      <w:u w:val="none"/>
                    </w:rPr>
                    <w:t>环境风险</w:t>
                  </w:r>
                </w:p>
              </w:tc>
              <w:tc>
                <w:tcPr>
                  <w:tcW w:w="2007" w:type="dxa"/>
                  <w:vAlign w:val="center"/>
                </w:tcPr>
                <w:p w14:paraId="1E77D15D">
                  <w:pPr>
                    <w:rPr>
                      <w:u w:val="none"/>
                    </w:rPr>
                  </w:pPr>
                  <w:r>
                    <w:rPr>
                      <w:u w:val="none"/>
                    </w:rPr>
                    <w:t>有毒有害和易燃易爆危险物质存储量超过临界量的建设项目</w:t>
                  </w:r>
                </w:p>
              </w:tc>
              <w:tc>
                <w:tcPr>
                  <w:tcW w:w="3510" w:type="dxa"/>
                </w:tcPr>
                <w:p w14:paraId="75838745">
                  <w:pPr>
                    <w:rPr>
                      <w:u w:val="none"/>
                    </w:rPr>
                  </w:pPr>
                  <w:r>
                    <w:rPr>
                      <w:rFonts w:hint="eastAsia"/>
                      <w:b/>
                      <w:bCs/>
                      <w:u w:val="none"/>
                    </w:rPr>
                    <w:t>不设置。</w:t>
                  </w:r>
                  <w:r>
                    <w:rPr>
                      <w:rFonts w:hint="eastAsia"/>
                      <w:u w:val="none"/>
                    </w:rPr>
                    <w:t>厂内不涉及</w:t>
                  </w:r>
                  <w:r>
                    <w:rPr>
                      <w:u w:val="none"/>
                    </w:rPr>
                    <w:t>有毒有害和易燃易爆危险物质</w:t>
                  </w:r>
                  <w:r>
                    <w:rPr>
                      <w:rFonts w:hint="eastAsia"/>
                      <w:u w:val="none"/>
                    </w:rPr>
                    <w:t>，不存在环境风险源。因此不设环境风险专项评价。</w:t>
                  </w:r>
                </w:p>
              </w:tc>
            </w:tr>
            <w:tr w14:paraId="6137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dxa"/>
                  <w:vAlign w:val="center"/>
                </w:tcPr>
                <w:p w14:paraId="573DA01D">
                  <w:pPr>
                    <w:jc w:val="center"/>
                    <w:rPr>
                      <w:u w:val="none"/>
                    </w:rPr>
                  </w:pPr>
                  <w:r>
                    <w:rPr>
                      <w:rFonts w:hint="eastAsia"/>
                      <w:u w:val="none"/>
                    </w:rPr>
                    <w:t>生态</w:t>
                  </w:r>
                </w:p>
              </w:tc>
              <w:tc>
                <w:tcPr>
                  <w:tcW w:w="2007" w:type="dxa"/>
                </w:tcPr>
                <w:p w14:paraId="1622E9F3">
                  <w:pPr>
                    <w:rPr>
                      <w:u w:val="none"/>
                    </w:rPr>
                  </w:pPr>
                  <w:r>
                    <w:rPr>
                      <w:u w:val="none"/>
                    </w:rPr>
                    <w:t>取水口下游 500 米范围内有重要水生生物的自然产卵场、索饵场、越冬场和洄游通道的新增河道取水的污染类建设项目</w:t>
                  </w:r>
                </w:p>
              </w:tc>
              <w:tc>
                <w:tcPr>
                  <w:tcW w:w="3510" w:type="dxa"/>
                  <w:vAlign w:val="center"/>
                </w:tcPr>
                <w:p w14:paraId="1A4BAED6">
                  <w:pPr>
                    <w:rPr>
                      <w:u w:val="none"/>
                    </w:rPr>
                  </w:pPr>
                  <w:r>
                    <w:rPr>
                      <w:rFonts w:hint="eastAsia"/>
                      <w:b/>
                      <w:bCs/>
                      <w:u w:val="none"/>
                    </w:rPr>
                    <w:t>不设置。</w:t>
                  </w:r>
                  <w:r>
                    <w:rPr>
                      <w:rFonts w:hint="eastAsia"/>
                      <w:u w:val="none"/>
                    </w:rPr>
                    <w:t>本项目用水主要来源于市政供水，不涉及新建取水口，同时项目未压占宣威市生态保护红线，因此不设生态专项评价。</w:t>
                  </w:r>
                </w:p>
              </w:tc>
            </w:tr>
            <w:tr w14:paraId="5333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8" w:type="dxa"/>
                  <w:vAlign w:val="center"/>
                </w:tcPr>
                <w:p w14:paraId="157C9E88">
                  <w:pPr>
                    <w:jc w:val="center"/>
                    <w:rPr>
                      <w:u w:val="none"/>
                    </w:rPr>
                  </w:pPr>
                  <w:r>
                    <w:rPr>
                      <w:rFonts w:hint="eastAsia"/>
                      <w:u w:val="none"/>
                    </w:rPr>
                    <w:t>海洋</w:t>
                  </w:r>
                </w:p>
              </w:tc>
              <w:tc>
                <w:tcPr>
                  <w:tcW w:w="2007" w:type="dxa"/>
                </w:tcPr>
                <w:p w14:paraId="4711DCBA">
                  <w:pPr>
                    <w:rPr>
                      <w:u w:val="none"/>
                    </w:rPr>
                  </w:pPr>
                  <w:r>
                    <w:rPr>
                      <w:u w:val="none"/>
                    </w:rPr>
                    <w:t>直接向海排放污染物的海洋工程建设项目</w:t>
                  </w:r>
                </w:p>
              </w:tc>
              <w:tc>
                <w:tcPr>
                  <w:tcW w:w="3510" w:type="dxa"/>
                  <w:vAlign w:val="center"/>
                </w:tcPr>
                <w:p w14:paraId="17C6B765">
                  <w:pPr>
                    <w:rPr>
                      <w:u w:val="none"/>
                    </w:rPr>
                  </w:pPr>
                  <w:r>
                    <w:rPr>
                      <w:rFonts w:hint="eastAsia"/>
                      <w:b/>
                      <w:bCs/>
                      <w:u w:val="none"/>
                    </w:rPr>
                    <w:t>不设置。</w:t>
                  </w:r>
                  <w:r>
                    <w:rPr>
                      <w:rFonts w:hint="eastAsia"/>
                      <w:u w:val="none"/>
                    </w:rPr>
                    <w:t>本项目不涉及。</w:t>
                  </w:r>
                </w:p>
              </w:tc>
            </w:tr>
            <w:tr w14:paraId="7419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8" w:type="dxa"/>
                  <w:vAlign w:val="center"/>
                </w:tcPr>
                <w:p w14:paraId="444FA759">
                  <w:pPr>
                    <w:jc w:val="center"/>
                    <w:rPr>
                      <w:u w:val="none"/>
                    </w:rPr>
                  </w:pPr>
                  <w:r>
                    <w:rPr>
                      <w:rFonts w:hint="eastAsia"/>
                      <w:u w:val="none"/>
                    </w:rPr>
                    <w:t>地下水</w:t>
                  </w:r>
                </w:p>
              </w:tc>
              <w:tc>
                <w:tcPr>
                  <w:tcW w:w="2007" w:type="dxa"/>
                </w:tcPr>
                <w:p w14:paraId="4D723DB7">
                  <w:pPr>
                    <w:rPr>
                      <w:u w:val="none"/>
                    </w:rPr>
                  </w:pPr>
                  <w:r>
                    <w:rPr>
                      <w:u w:val="none"/>
                    </w:rPr>
                    <w:t>涉及集中式饮用水水源和热水、矿泉水、温泉等特殊地下水资源保护区</w:t>
                  </w:r>
                </w:p>
              </w:tc>
              <w:tc>
                <w:tcPr>
                  <w:tcW w:w="3510" w:type="dxa"/>
                  <w:vAlign w:val="center"/>
                </w:tcPr>
                <w:p w14:paraId="23340F12">
                  <w:pPr>
                    <w:rPr>
                      <w:b/>
                      <w:bCs/>
                      <w:u w:val="none"/>
                    </w:rPr>
                  </w:pPr>
                  <w:r>
                    <w:rPr>
                      <w:rFonts w:hint="eastAsia"/>
                      <w:b/>
                      <w:bCs/>
                      <w:u w:val="none"/>
                    </w:rPr>
                    <w:t>不设置。</w:t>
                  </w:r>
                  <w:r>
                    <w:rPr>
                      <w:rFonts w:hint="eastAsia"/>
                      <w:u w:val="none"/>
                    </w:rPr>
                    <w:t>项目选址不涉及集中式饮用水水源和热水、矿泉水、温泉等特殊地下水资源保护区。</w:t>
                  </w:r>
                </w:p>
              </w:tc>
            </w:tr>
            <w:tr w14:paraId="540F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5" w:type="dxa"/>
                  <w:gridSpan w:val="3"/>
                  <w:vAlign w:val="center"/>
                </w:tcPr>
                <w:p w14:paraId="03901AA1">
                  <w:pPr>
                    <w:widowControl/>
                    <w:adjustRightInd w:val="0"/>
                    <w:snapToGrid w:val="0"/>
                    <w:textAlignment w:val="center"/>
                    <w:rPr>
                      <w:b/>
                      <w:bCs/>
                      <w:kern w:val="0"/>
                      <w:szCs w:val="21"/>
                      <w:u w:val="none"/>
                      <w:lang w:bidi="ar"/>
                    </w:rPr>
                  </w:pPr>
                  <w:r>
                    <w:rPr>
                      <w:b/>
                      <w:bCs/>
                      <w:kern w:val="0"/>
                      <w:szCs w:val="21"/>
                      <w:u w:val="none"/>
                      <w:lang w:bidi="ar"/>
                    </w:rPr>
                    <w:t>注：1.废气中有毒有害污染物</w:t>
                  </w:r>
                  <w:r>
                    <w:rPr>
                      <w:rFonts w:hint="eastAsia"/>
                      <w:b/>
                      <w:bCs/>
                      <w:kern w:val="0"/>
                      <w:szCs w:val="21"/>
                      <w:u w:val="none"/>
                      <w:lang w:bidi="ar"/>
                    </w:rPr>
                    <w:t>是</w:t>
                  </w:r>
                  <w:r>
                    <w:rPr>
                      <w:b/>
                      <w:bCs/>
                      <w:kern w:val="0"/>
                      <w:szCs w:val="21"/>
                      <w:u w:val="none"/>
                      <w:lang w:bidi="ar"/>
                    </w:rPr>
                    <w:t>指纳入《有毒有害大气污染物名录》的污染物（不包括无排放标准的污染物）。</w:t>
                  </w:r>
                </w:p>
                <w:p w14:paraId="3395141A">
                  <w:pPr>
                    <w:widowControl/>
                    <w:adjustRightInd w:val="0"/>
                    <w:snapToGrid w:val="0"/>
                    <w:textAlignment w:val="center"/>
                    <w:rPr>
                      <w:b/>
                      <w:bCs/>
                      <w:kern w:val="0"/>
                      <w:szCs w:val="21"/>
                      <w:u w:val="none"/>
                      <w:lang w:bidi="ar"/>
                    </w:rPr>
                  </w:pPr>
                  <w:r>
                    <w:rPr>
                      <w:b/>
                      <w:bCs/>
                      <w:kern w:val="0"/>
                      <w:szCs w:val="21"/>
                      <w:u w:val="none"/>
                      <w:lang w:bidi="ar"/>
                    </w:rPr>
                    <w:t>2.环境空气保护目标指自然保护区、风景名胜区、居住区、文化区和农村地区中人群较集中的区域。</w:t>
                  </w:r>
                </w:p>
                <w:p w14:paraId="371A8C0E">
                  <w:pPr>
                    <w:rPr>
                      <w:b/>
                      <w:bCs/>
                      <w:u w:val="none"/>
                    </w:rPr>
                  </w:pPr>
                  <w:r>
                    <w:rPr>
                      <w:b/>
                      <w:bCs/>
                      <w:kern w:val="0"/>
                      <w:szCs w:val="21"/>
                      <w:u w:val="none"/>
                      <w:lang w:bidi="ar"/>
                    </w:rPr>
                    <w:t>3.临界量及其计算方法可参考《建设项目环境风险评价技术导则》（HJ169）附录B、附录C。</w:t>
                  </w:r>
                </w:p>
              </w:tc>
            </w:tr>
          </w:tbl>
          <w:p w14:paraId="41BEB71A">
            <w:pPr>
              <w:pStyle w:val="145"/>
              <w:adjustRightInd/>
              <w:snapToGrid/>
              <w:spacing w:before="0" w:after="0"/>
              <w:jc w:val="center"/>
              <w:rPr>
                <w:u w:val="none"/>
              </w:rPr>
            </w:pPr>
          </w:p>
        </w:tc>
      </w:tr>
      <w:tr w14:paraId="11D27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6" w:type="dxa"/>
            <w:vAlign w:val="center"/>
          </w:tcPr>
          <w:p w14:paraId="12D38E05">
            <w:pPr>
              <w:autoSpaceDE w:val="0"/>
              <w:autoSpaceDN w:val="0"/>
              <w:adjustRightInd w:val="0"/>
              <w:snapToGrid w:val="0"/>
              <w:jc w:val="center"/>
              <w:rPr>
                <w:kern w:val="0"/>
                <w:sz w:val="24"/>
                <w:u w:val="none"/>
              </w:rPr>
            </w:pPr>
            <w:r>
              <w:rPr>
                <w:sz w:val="24"/>
                <w:u w:val="none"/>
              </w:rPr>
              <w:t>规划情况</w:t>
            </w:r>
          </w:p>
        </w:tc>
        <w:tc>
          <w:tcPr>
            <w:tcW w:w="7132" w:type="dxa"/>
            <w:gridSpan w:val="3"/>
            <w:vAlign w:val="center"/>
          </w:tcPr>
          <w:p w14:paraId="14E448E3">
            <w:pPr>
              <w:pStyle w:val="15"/>
              <w:numPr>
                <w:ilvl w:val="0"/>
                <w:numId w:val="2"/>
              </w:numPr>
              <w:spacing w:before="0" w:after="0" w:line="360" w:lineRule="auto"/>
              <w:ind w:right="0"/>
              <w:rPr>
                <w:kern w:val="2"/>
                <w:sz w:val="24"/>
                <w:szCs w:val="24"/>
                <w:u w:val="none"/>
              </w:rPr>
            </w:pPr>
            <w:r>
              <w:rPr>
                <w:rFonts w:hint="eastAsia"/>
                <w:kern w:val="2"/>
                <w:sz w:val="24"/>
                <w:szCs w:val="24"/>
                <w:u w:val="none"/>
              </w:rPr>
              <w:t>名称：</w:t>
            </w:r>
            <w:r>
              <w:rPr>
                <w:kern w:val="2"/>
                <w:sz w:val="24"/>
                <w:szCs w:val="24"/>
                <w:u w:val="none"/>
              </w:rPr>
              <w:t>《云南宣威经济技术开发区总体规划修编</w:t>
            </w:r>
            <w:r>
              <w:rPr>
                <w:rFonts w:hint="eastAsia"/>
                <w:kern w:val="2"/>
                <w:sz w:val="24"/>
                <w:szCs w:val="24"/>
                <w:u w:val="none"/>
              </w:rPr>
              <w:t>（</w:t>
            </w:r>
            <w:r>
              <w:rPr>
                <w:kern w:val="2"/>
                <w:sz w:val="24"/>
                <w:szCs w:val="24"/>
                <w:u w:val="none"/>
              </w:rPr>
              <w:t>2020</w:t>
            </w:r>
            <w:r>
              <w:rPr>
                <w:rFonts w:hint="eastAsia"/>
                <w:kern w:val="2"/>
                <w:sz w:val="24"/>
                <w:szCs w:val="24"/>
                <w:u w:val="none"/>
              </w:rPr>
              <w:t>—</w:t>
            </w:r>
            <w:r>
              <w:rPr>
                <w:kern w:val="2"/>
                <w:sz w:val="24"/>
                <w:szCs w:val="24"/>
                <w:u w:val="none"/>
              </w:rPr>
              <w:t>2035</w:t>
            </w:r>
            <w:r>
              <w:rPr>
                <w:rFonts w:hint="eastAsia"/>
                <w:kern w:val="2"/>
                <w:sz w:val="24"/>
                <w:szCs w:val="24"/>
                <w:u w:val="none"/>
              </w:rPr>
              <w:t>）</w:t>
            </w:r>
            <w:r>
              <w:rPr>
                <w:kern w:val="2"/>
                <w:sz w:val="24"/>
                <w:szCs w:val="24"/>
                <w:u w:val="none"/>
              </w:rPr>
              <w:t>》</w:t>
            </w:r>
          </w:p>
          <w:p w14:paraId="10C3E017">
            <w:pPr>
              <w:pStyle w:val="15"/>
              <w:numPr>
                <w:ilvl w:val="0"/>
                <w:numId w:val="2"/>
              </w:numPr>
              <w:spacing w:before="0" w:after="0" w:line="360" w:lineRule="auto"/>
              <w:ind w:right="0"/>
              <w:rPr>
                <w:kern w:val="2"/>
                <w:sz w:val="24"/>
                <w:szCs w:val="24"/>
                <w:u w:val="none"/>
              </w:rPr>
            </w:pPr>
            <w:r>
              <w:rPr>
                <w:rFonts w:hint="eastAsia"/>
                <w:kern w:val="2"/>
                <w:sz w:val="24"/>
                <w:szCs w:val="24"/>
                <w:u w:val="none"/>
              </w:rPr>
              <w:t>审批机关：曲靖市商务局</w:t>
            </w:r>
          </w:p>
          <w:p w14:paraId="5F639D15">
            <w:pPr>
              <w:pStyle w:val="15"/>
              <w:numPr>
                <w:ilvl w:val="0"/>
                <w:numId w:val="2"/>
              </w:numPr>
              <w:spacing w:before="0" w:after="0" w:line="360" w:lineRule="auto"/>
              <w:ind w:right="0"/>
              <w:rPr>
                <w:kern w:val="2"/>
                <w:sz w:val="24"/>
                <w:szCs w:val="24"/>
                <w:u w:val="none"/>
              </w:rPr>
            </w:pPr>
            <w:r>
              <w:rPr>
                <w:rFonts w:hint="eastAsia"/>
                <w:kern w:val="2"/>
                <w:sz w:val="24"/>
                <w:szCs w:val="24"/>
                <w:u w:val="none"/>
              </w:rPr>
              <w:t>批文号：</w:t>
            </w:r>
            <w:r>
              <w:rPr>
                <w:kern w:val="2"/>
                <w:sz w:val="24"/>
                <w:szCs w:val="24"/>
                <w:u w:val="none"/>
              </w:rPr>
              <w:t>曲</w:t>
            </w:r>
            <w:r>
              <w:rPr>
                <w:rFonts w:hint="eastAsia"/>
                <w:kern w:val="2"/>
                <w:sz w:val="24"/>
                <w:szCs w:val="24"/>
                <w:u w:val="none"/>
              </w:rPr>
              <w:t>商</w:t>
            </w:r>
            <w:r>
              <w:rPr>
                <w:kern w:val="2"/>
                <w:sz w:val="24"/>
                <w:szCs w:val="24"/>
                <w:u w:val="none"/>
              </w:rPr>
              <w:t>函</w:t>
            </w:r>
            <w:r>
              <w:rPr>
                <w:rFonts w:hint="eastAsia"/>
                <w:kern w:val="2"/>
                <w:sz w:val="24"/>
                <w:szCs w:val="24"/>
                <w:u w:val="none"/>
              </w:rPr>
              <w:t>〔2023〕2号</w:t>
            </w:r>
          </w:p>
          <w:p w14:paraId="16533395">
            <w:pPr>
              <w:pStyle w:val="15"/>
              <w:numPr>
                <w:ilvl w:val="0"/>
                <w:numId w:val="2"/>
              </w:numPr>
              <w:spacing w:before="0" w:after="0" w:line="360" w:lineRule="auto"/>
              <w:ind w:right="0"/>
              <w:rPr>
                <w:szCs w:val="21"/>
                <w:u w:val="none"/>
              </w:rPr>
            </w:pPr>
            <w:r>
              <w:rPr>
                <w:rFonts w:hint="eastAsia"/>
                <w:kern w:val="2"/>
                <w:sz w:val="24"/>
                <w:szCs w:val="24"/>
                <w:u w:val="none"/>
              </w:rPr>
              <w:t>批文日期：2023年2月27日</w:t>
            </w:r>
          </w:p>
        </w:tc>
      </w:tr>
      <w:tr w14:paraId="47466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6" w:type="dxa"/>
            <w:vAlign w:val="center"/>
          </w:tcPr>
          <w:p w14:paraId="74F89264">
            <w:pPr>
              <w:adjustRightInd w:val="0"/>
              <w:snapToGrid w:val="0"/>
              <w:jc w:val="center"/>
              <w:rPr>
                <w:kern w:val="0"/>
                <w:sz w:val="24"/>
                <w:u w:val="none"/>
              </w:rPr>
            </w:pPr>
            <w:r>
              <w:rPr>
                <w:sz w:val="24"/>
                <w:u w:val="none"/>
              </w:rPr>
              <w:t>规划环境影响评价情况</w:t>
            </w:r>
          </w:p>
        </w:tc>
        <w:tc>
          <w:tcPr>
            <w:tcW w:w="7132" w:type="dxa"/>
            <w:gridSpan w:val="3"/>
            <w:vAlign w:val="center"/>
          </w:tcPr>
          <w:p w14:paraId="2BB25781">
            <w:pPr>
              <w:pStyle w:val="15"/>
              <w:numPr>
                <w:ilvl w:val="0"/>
                <w:numId w:val="3"/>
              </w:numPr>
              <w:spacing w:before="0" w:after="0" w:line="360" w:lineRule="auto"/>
              <w:ind w:right="0"/>
              <w:rPr>
                <w:kern w:val="2"/>
                <w:sz w:val="24"/>
                <w:szCs w:val="24"/>
                <w:u w:val="none"/>
              </w:rPr>
            </w:pPr>
            <w:r>
              <w:rPr>
                <w:rFonts w:hint="eastAsia"/>
                <w:kern w:val="2"/>
                <w:sz w:val="24"/>
                <w:szCs w:val="24"/>
                <w:u w:val="none"/>
              </w:rPr>
              <w:t>名称：</w:t>
            </w:r>
            <w:r>
              <w:rPr>
                <w:kern w:val="2"/>
                <w:sz w:val="24"/>
                <w:szCs w:val="24"/>
                <w:u w:val="none"/>
              </w:rPr>
              <w:t>《云南宣威经济技术开发区总体规划修编</w:t>
            </w:r>
            <w:r>
              <w:rPr>
                <w:rFonts w:hint="eastAsia"/>
                <w:kern w:val="2"/>
                <w:sz w:val="24"/>
                <w:szCs w:val="24"/>
                <w:u w:val="none"/>
              </w:rPr>
              <w:t>（</w:t>
            </w:r>
            <w:r>
              <w:rPr>
                <w:kern w:val="2"/>
                <w:sz w:val="24"/>
                <w:szCs w:val="24"/>
                <w:u w:val="none"/>
              </w:rPr>
              <w:t>2020</w:t>
            </w:r>
            <w:r>
              <w:rPr>
                <w:rFonts w:hint="eastAsia"/>
                <w:kern w:val="2"/>
                <w:sz w:val="24"/>
                <w:szCs w:val="24"/>
                <w:u w:val="none"/>
              </w:rPr>
              <w:t>—</w:t>
            </w:r>
            <w:r>
              <w:rPr>
                <w:kern w:val="2"/>
                <w:sz w:val="24"/>
                <w:szCs w:val="24"/>
                <w:u w:val="none"/>
              </w:rPr>
              <w:t>2035</w:t>
            </w:r>
            <w:r>
              <w:rPr>
                <w:rFonts w:hint="eastAsia"/>
                <w:kern w:val="2"/>
                <w:sz w:val="24"/>
                <w:szCs w:val="24"/>
                <w:u w:val="none"/>
              </w:rPr>
              <w:t>）</w:t>
            </w:r>
            <w:r>
              <w:rPr>
                <w:kern w:val="2"/>
                <w:sz w:val="24"/>
                <w:szCs w:val="24"/>
                <w:u w:val="none"/>
              </w:rPr>
              <w:t>环境影响报告书》</w:t>
            </w:r>
          </w:p>
          <w:p w14:paraId="37DD0235">
            <w:pPr>
              <w:pStyle w:val="15"/>
              <w:numPr>
                <w:ilvl w:val="0"/>
                <w:numId w:val="3"/>
              </w:numPr>
              <w:spacing w:before="0" w:after="0" w:line="360" w:lineRule="auto"/>
              <w:ind w:right="0"/>
              <w:rPr>
                <w:kern w:val="2"/>
                <w:sz w:val="24"/>
                <w:szCs w:val="24"/>
                <w:u w:val="none"/>
              </w:rPr>
            </w:pPr>
            <w:r>
              <w:rPr>
                <w:rFonts w:hint="eastAsia"/>
                <w:kern w:val="2"/>
                <w:sz w:val="24"/>
                <w:szCs w:val="24"/>
                <w:u w:val="none"/>
              </w:rPr>
              <w:t>审批机关：曲靖市生态环境局</w:t>
            </w:r>
          </w:p>
          <w:p w14:paraId="29668925">
            <w:pPr>
              <w:pStyle w:val="15"/>
              <w:numPr>
                <w:ilvl w:val="0"/>
                <w:numId w:val="3"/>
              </w:numPr>
              <w:spacing w:before="0" w:after="0" w:line="360" w:lineRule="auto"/>
              <w:ind w:right="0"/>
              <w:rPr>
                <w:kern w:val="2"/>
                <w:sz w:val="24"/>
                <w:szCs w:val="24"/>
                <w:u w:val="none"/>
              </w:rPr>
            </w:pPr>
            <w:r>
              <w:rPr>
                <w:rFonts w:hint="eastAsia"/>
                <w:kern w:val="2"/>
                <w:sz w:val="24"/>
                <w:szCs w:val="24"/>
                <w:u w:val="none"/>
              </w:rPr>
              <w:t>批文号：</w:t>
            </w:r>
            <w:r>
              <w:rPr>
                <w:kern w:val="2"/>
                <w:sz w:val="24"/>
                <w:szCs w:val="24"/>
                <w:u w:val="none"/>
              </w:rPr>
              <w:t>曲</w:t>
            </w:r>
            <w:r>
              <w:rPr>
                <w:rFonts w:hint="eastAsia"/>
                <w:kern w:val="2"/>
                <w:sz w:val="24"/>
                <w:szCs w:val="24"/>
                <w:u w:val="none"/>
              </w:rPr>
              <w:t>环</w:t>
            </w:r>
            <w:r>
              <w:rPr>
                <w:kern w:val="2"/>
                <w:sz w:val="24"/>
                <w:szCs w:val="24"/>
                <w:u w:val="none"/>
              </w:rPr>
              <w:t>函</w:t>
            </w:r>
            <w:r>
              <w:rPr>
                <w:rFonts w:hint="eastAsia"/>
                <w:kern w:val="2"/>
                <w:sz w:val="24"/>
                <w:szCs w:val="24"/>
                <w:u w:val="none"/>
              </w:rPr>
              <w:t>〔2022〕42号</w:t>
            </w:r>
          </w:p>
          <w:p w14:paraId="75077ECC">
            <w:pPr>
              <w:pStyle w:val="15"/>
              <w:spacing w:before="0" w:after="0" w:line="360" w:lineRule="auto"/>
              <w:ind w:right="0"/>
              <w:rPr>
                <w:szCs w:val="21"/>
                <w:u w:val="none"/>
              </w:rPr>
            </w:pPr>
            <w:r>
              <w:rPr>
                <w:rFonts w:hint="eastAsia"/>
                <w:kern w:val="2"/>
                <w:sz w:val="24"/>
                <w:szCs w:val="24"/>
                <w:u w:val="none"/>
              </w:rPr>
              <w:t>（4）批文日期：2022年9月15日</w:t>
            </w:r>
          </w:p>
        </w:tc>
      </w:tr>
      <w:tr w14:paraId="5458B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6" w:type="dxa"/>
            <w:vAlign w:val="center"/>
          </w:tcPr>
          <w:p w14:paraId="610FC0B9">
            <w:pPr>
              <w:autoSpaceDE w:val="0"/>
              <w:autoSpaceDN w:val="0"/>
              <w:adjustRightInd w:val="0"/>
              <w:snapToGrid w:val="0"/>
              <w:jc w:val="center"/>
              <w:rPr>
                <w:kern w:val="0"/>
                <w:sz w:val="24"/>
                <w:u w:val="none"/>
              </w:rPr>
            </w:pPr>
            <w:r>
              <w:rPr>
                <w:kern w:val="0"/>
                <w:sz w:val="24"/>
                <w:u w:val="none"/>
              </w:rPr>
              <w:t>规划及规划环境影响评价符合性分析</w:t>
            </w:r>
          </w:p>
        </w:tc>
        <w:tc>
          <w:tcPr>
            <w:tcW w:w="7132" w:type="dxa"/>
            <w:gridSpan w:val="3"/>
            <w:vAlign w:val="center"/>
          </w:tcPr>
          <w:p w14:paraId="1B230553">
            <w:pPr>
              <w:numPr>
                <w:ilvl w:val="0"/>
                <w:numId w:val="4"/>
              </w:numPr>
              <w:autoSpaceDE w:val="0"/>
              <w:autoSpaceDN w:val="0"/>
              <w:adjustRightInd w:val="0"/>
              <w:snapToGrid w:val="0"/>
              <w:spacing w:line="360" w:lineRule="auto"/>
              <w:ind w:firstLine="482"/>
              <w:jc w:val="left"/>
              <w:rPr>
                <w:b/>
                <w:bCs/>
                <w:sz w:val="24"/>
                <w:u w:val="none"/>
              </w:rPr>
            </w:pPr>
            <w:r>
              <w:rPr>
                <w:rFonts w:hint="eastAsia"/>
                <w:b/>
                <w:bCs/>
                <w:sz w:val="24"/>
                <w:u w:val="none"/>
              </w:rPr>
              <w:t>规划符合性分析</w:t>
            </w:r>
          </w:p>
          <w:p w14:paraId="06CA897E">
            <w:pPr>
              <w:spacing w:line="360" w:lineRule="auto"/>
              <w:ind w:firstLine="482" w:firstLineChars="200"/>
              <w:rPr>
                <w:b/>
                <w:bCs/>
                <w:sz w:val="24"/>
                <w:u w:val="none"/>
              </w:rPr>
            </w:pPr>
            <w:r>
              <w:rPr>
                <w:rFonts w:hint="eastAsia"/>
                <w:b/>
                <w:bCs/>
                <w:sz w:val="24"/>
                <w:u w:val="none"/>
              </w:rPr>
              <w:t>（1）与《云南宣威经济技术开发区总体规划修编（2020—2035）》符合性分析</w:t>
            </w:r>
          </w:p>
          <w:p w14:paraId="6C405A5B">
            <w:pPr>
              <w:spacing w:line="360" w:lineRule="auto"/>
              <w:ind w:firstLine="480" w:firstLineChars="200"/>
              <w:rPr>
                <w:rFonts w:ascii="宋体" w:hAnsi="宋体" w:cs="宋体"/>
                <w:sz w:val="24"/>
                <w:u w:val="none"/>
              </w:rPr>
            </w:pPr>
            <w:r>
              <w:rPr>
                <w:rFonts w:ascii="宋体" w:hAnsi="宋体" w:cs="宋体"/>
                <w:sz w:val="24"/>
                <w:u w:val="none"/>
              </w:rPr>
              <w:t>项目与《</w:t>
            </w:r>
            <w:r>
              <w:rPr>
                <w:rFonts w:hint="eastAsia"/>
                <w:sz w:val="24"/>
                <w:u w:val="none"/>
              </w:rPr>
              <w:t>云南宣威经济技术开发区总体规划修编（2020—203</w:t>
            </w:r>
            <w:r>
              <w:rPr>
                <w:sz w:val="24"/>
                <w:u w:val="none"/>
              </w:rPr>
              <w:t>5</w:t>
            </w:r>
            <w:r>
              <w:rPr>
                <w:rFonts w:hint="eastAsia"/>
                <w:sz w:val="24"/>
                <w:u w:val="none"/>
              </w:rPr>
              <w:t>）</w:t>
            </w:r>
            <w:r>
              <w:rPr>
                <w:rFonts w:ascii="宋体" w:hAnsi="宋体" w:cs="宋体"/>
                <w:sz w:val="24"/>
                <w:u w:val="none"/>
              </w:rPr>
              <w:t>》相符性分析如下：</w:t>
            </w:r>
          </w:p>
          <w:p w14:paraId="584513B6">
            <w:pPr>
              <w:snapToGrid w:val="0"/>
              <w:ind w:left="420" w:hanging="420"/>
              <w:jc w:val="center"/>
              <w:rPr>
                <w:b/>
                <w:bCs/>
                <w:szCs w:val="21"/>
                <w:u w:val="none"/>
              </w:rPr>
            </w:pPr>
            <w:r>
              <w:rPr>
                <w:b/>
                <w:bCs/>
                <w:szCs w:val="21"/>
                <w:u w:val="none"/>
              </w:rPr>
              <w:t>表1-</w:t>
            </w:r>
            <w:r>
              <w:rPr>
                <w:rFonts w:hint="eastAsia"/>
                <w:b/>
                <w:bCs/>
                <w:szCs w:val="21"/>
                <w:u w:val="none"/>
              </w:rPr>
              <w:t>2</w:t>
            </w:r>
            <w:r>
              <w:rPr>
                <w:b/>
                <w:bCs/>
                <w:szCs w:val="21"/>
                <w:u w:val="none"/>
              </w:rPr>
              <w:t xml:space="preserve"> </w:t>
            </w:r>
            <w:r>
              <w:rPr>
                <w:rFonts w:hint="eastAsia"/>
                <w:b/>
                <w:bCs/>
                <w:szCs w:val="21"/>
                <w:u w:val="none"/>
              </w:rPr>
              <w:t xml:space="preserve">  </w:t>
            </w:r>
            <w:r>
              <w:rPr>
                <w:b/>
                <w:bCs/>
                <w:szCs w:val="21"/>
                <w:u w:val="none"/>
              </w:rPr>
              <w:t>与《</w:t>
            </w:r>
            <w:r>
              <w:rPr>
                <w:rFonts w:hint="eastAsia"/>
                <w:b/>
                <w:bCs/>
                <w:szCs w:val="21"/>
                <w:u w:val="none"/>
              </w:rPr>
              <w:t>云南宣威经济技术开发区总体规划修编（2020—203</w:t>
            </w:r>
            <w:r>
              <w:rPr>
                <w:b/>
                <w:bCs/>
                <w:szCs w:val="21"/>
                <w:u w:val="none"/>
              </w:rPr>
              <w:t>5</w:t>
            </w:r>
            <w:r>
              <w:rPr>
                <w:rFonts w:hint="eastAsia"/>
                <w:b/>
                <w:bCs/>
                <w:szCs w:val="21"/>
                <w:u w:val="none"/>
              </w:rPr>
              <w:t>）</w:t>
            </w:r>
            <w:r>
              <w:rPr>
                <w:b/>
                <w:bCs/>
                <w:szCs w:val="21"/>
                <w:u w:val="none"/>
              </w:rPr>
              <w:t>》相符性分析</w:t>
            </w:r>
            <w:r>
              <w:rPr>
                <w:rFonts w:hint="eastAsia"/>
                <w:b/>
                <w:bCs/>
                <w:szCs w:val="21"/>
                <w:u w:val="none"/>
              </w:rPr>
              <w:t>表</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479"/>
              <w:gridCol w:w="2011"/>
              <w:gridCol w:w="3038"/>
              <w:gridCol w:w="598"/>
            </w:tblGrid>
            <w:tr w14:paraId="6CDB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pct"/>
                  <w:gridSpan w:val="3"/>
                  <w:vAlign w:val="center"/>
                </w:tcPr>
                <w:p w14:paraId="7B649AAD">
                  <w:pPr>
                    <w:wordWrap w:val="0"/>
                    <w:jc w:val="center"/>
                    <w:rPr>
                      <w:szCs w:val="21"/>
                      <w:u w:val="none"/>
                    </w:rPr>
                  </w:pPr>
                  <w:r>
                    <w:rPr>
                      <w:rFonts w:hint="eastAsia"/>
                      <w:szCs w:val="21"/>
                      <w:u w:val="none"/>
                    </w:rPr>
                    <w:t>总体规划要求</w:t>
                  </w:r>
                </w:p>
              </w:tc>
              <w:tc>
                <w:tcPr>
                  <w:tcW w:w="2200" w:type="pct"/>
                  <w:vAlign w:val="center"/>
                </w:tcPr>
                <w:p w14:paraId="1299FC22">
                  <w:pPr>
                    <w:wordWrap w:val="0"/>
                    <w:jc w:val="center"/>
                    <w:rPr>
                      <w:szCs w:val="21"/>
                      <w:u w:val="none"/>
                    </w:rPr>
                  </w:pPr>
                  <w:r>
                    <w:rPr>
                      <w:rFonts w:hint="eastAsia"/>
                      <w:szCs w:val="21"/>
                      <w:u w:val="none"/>
                    </w:rPr>
                    <w:t>本项目情况</w:t>
                  </w:r>
                </w:p>
              </w:tc>
              <w:tc>
                <w:tcPr>
                  <w:tcW w:w="433" w:type="pct"/>
                  <w:vAlign w:val="center"/>
                </w:tcPr>
                <w:p w14:paraId="2AD0A645">
                  <w:pPr>
                    <w:wordWrap w:val="0"/>
                    <w:jc w:val="center"/>
                    <w:rPr>
                      <w:szCs w:val="21"/>
                      <w:u w:val="none"/>
                    </w:rPr>
                  </w:pPr>
                  <w:r>
                    <w:rPr>
                      <w:rFonts w:hint="eastAsia"/>
                      <w:szCs w:val="21"/>
                      <w:u w:val="none"/>
                    </w:rPr>
                    <w:t>相符</w:t>
                  </w:r>
                  <w:r>
                    <w:rPr>
                      <w:rFonts w:hint="eastAsia"/>
                      <w:szCs w:val="21"/>
                      <w:u w:val="none" w:color="auto"/>
                      <w:shd w:val="clear" w:fill="auto"/>
                    </w:rPr>
                    <w:t>性</w:t>
                  </w:r>
                </w:p>
              </w:tc>
            </w:tr>
            <w:tr w14:paraId="4267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94D67D">
                  <w:pPr>
                    <w:wordWrap w:val="0"/>
                    <w:jc w:val="center"/>
                    <w:rPr>
                      <w:szCs w:val="21"/>
                      <w:u w:val="none"/>
                    </w:rPr>
                  </w:pPr>
                  <w:r>
                    <w:rPr>
                      <w:szCs w:val="21"/>
                      <w:u w:val="none"/>
                    </w:rPr>
                    <w:t>产业定位</w:t>
                  </w:r>
                </w:p>
              </w:tc>
              <w:tc>
                <w:tcPr>
                  <w:tcW w:w="1803" w:type="pct"/>
                  <w:gridSpan w:val="2"/>
                  <w:vAlign w:val="center"/>
                </w:tcPr>
                <w:p w14:paraId="7C72CBC3">
                  <w:pPr>
                    <w:wordWrap w:val="0"/>
                    <w:jc w:val="center"/>
                    <w:rPr>
                      <w:rFonts w:ascii="宋体" w:hAnsi="宋体" w:cs="宋体"/>
                      <w:kern w:val="0"/>
                      <w:szCs w:val="21"/>
                      <w:u w:val="none"/>
                      <w:lang w:bidi="ar"/>
                    </w:rPr>
                  </w:pPr>
                  <w:r>
                    <w:rPr>
                      <w:rFonts w:hint="eastAsia" w:ascii="宋体" w:hAnsi="宋体" w:cs="宋体"/>
                      <w:kern w:val="0"/>
                      <w:szCs w:val="21"/>
                      <w:u w:val="none"/>
                      <w:lang w:bidi="ar"/>
                    </w:rPr>
                    <w:t>重点发展磷化工，</w:t>
                  </w:r>
                  <w:r>
                    <w:rPr>
                      <w:rFonts w:hint="eastAsia" w:ascii="宋体" w:hAnsi="宋体" w:cs="宋体"/>
                      <w:kern w:val="0"/>
                      <w:szCs w:val="21"/>
                      <w:u w:val="none" w:color="auto"/>
                      <w:shd w:val="clear" w:fill="auto"/>
                      <w:lang w:bidi="ar"/>
                    </w:rPr>
                    <w:t>集</w:t>
                  </w:r>
                  <w:r>
                    <w:rPr>
                      <w:rFonts w:hint="eastAsia" w:ascii="宋体" w:hAnsi="宋体" w:cs="宋体"/>
                      <w:kern w:val="0"/>
                      <w:szCs w:val="21"/>
                      <w:u w:val="none"/>
                      <w:lang w:bidi="ar"/>
                    </w:rPr>
                    <w:t>电、磷、化、建材于一体的工业园。</w:t>
                  </w:r>
                </w:p>
              </w:tc>
              <w:tc>
                <w:tcPr>
                  <w:tcW w:w="2200" w:type="pct"/>
                  <w:vAlign w:val="center"/>
                </w:tcPr>
                <w:p w14:paraId="6391C009">
                  <w:pPr>
                    <w:widowControl/>
                    <w:jc w:val="center"/>
                    <w:rPr>
                      <w:szCs w:val="21"/>
                      <w:u w:val="none"/>
                    </w:rPr>
                  </w:pPr>
                  <w:r>
                    <w:rPr>
                      <w:szCs w:val="21"/>
                      <w:u w:val="none"/>
                    </w:rPr>
                    <w:t>项目位于宣威特色工业园区羊场片区的磷电产业片区，为</w:t>
                  </w:r>
                  <w:r>
                    <w:rPr>
                      <w:rFonts w:hint="eastAsia"/>
                      <w:szCs w:val="21"/>
                      <w:u w:val="none"/>
                    </w:rPr>
                    <w:t>“</w:t>
                  </w:r>
                  <w:r>
                    <w:rPr>
                      <w:szCs w:val="21"/>
                      <w:u w:val="none"/>
                    </w:rPr>
                    <w:t>云南宣威磷电有限责任公司8万t/a黄磷生产项目</w:t>
                  </w:r>
                  <w:r>
                    <w:rPr>
                      <w:rFonts w:hint="eastAsia"/>
                      <w:szCs w:val="21"/>
                      <w:u w:val="none"/>
                    </w:rPr>
                    <w:t>”</w:t>
                  </w:r>
                  <w:r>
                    <w:rPr>
                      <w:szCs w:val="21"/>
                      <w:u w:val="none"/>
                    </w:rPr>
                    <w:t>的原料集运工程，</w:t>
                  </w:r>
                  <w:r>
                    <w:rPr>
                      <w:rFonts w:hint="eastAsia"/>
                      <w:szCs w:val="21"/>
                      <w:u w:val="none"/>
                    </w:rPr>
                    <w:t>用于磷矿石集运，符合羊场产业园区功能定位</w:t>
                  </w:r>
                  <w:r>
                    <w:rPr>
                      <w:szCs w:val="21"/>
                      <w:u w:val="none"/>
                    </w:rPr>
                    <w:t>。</w:t>
                  </w:r>
                </w:p>
              </w:tc>
              <w:tc>
                <w:tcPr>
                  <w:tcW w:w="433" w:type="pct"/>
                  <w:vAlign w:val="center"/>
                </w:tcPr>
                <w:p w14:paraId="0B44E8B3">
                  <w:pPr>
                    <w:wordWrap w:val="0"/>
                    <w:jc w:val="center"/>
                    <w:rPr>
                      <w:szCs w:val="21"/>
                      <w:u w:val="none"/>
                    </w:rPr>
                  </w:pPr>
                  <w:r>
                    <w:rPr>
                      <w:rFonts w:hint="eastAsia"/>
                      <w:szCs w:val="21"/>
                      <w:u w:val="none"/>
                    </w:rPr>
                    <w:t>符合</w:t>
                  </w:r>
                </w:p>
              </w:tc>
            </w:tr>
            <w:tr w14:paraId="3F90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14:paraId="4DA29D91">
                  <w:pPr>
                    <w:wordWrap w:val="0"/>
                    <w:jc w:val="center"/>
                    <w:rPr>
                      <w:szCs w:val="21"/>
                      <w:u w:val="none"/>
                    </w:rPr>
                  </w:pPr>
                  <w:r>
                    <w:rPr>
                      <w:szCs w:val="21"/>
                      <w:u w:val="none"/>
                    </w:rPr>
                    <w:t>环境质量保护</w:t>
                  </w:r>
                </w:p>
              </w:tc>
              <w:tc>
                <w:tcPr>
                  <w:tcW w:w="1803" w:type="pct"/>
                  <w:gridSpan w:val="2"/>
                  <w:vAlign w:val="center"/>
                </w:tcPr>
                <w:p w14:paraId="2B8B3D02">
                  <w:pPr>
                    <w:wordWrap w:val="0"/>
                    <w:jc w:val="center"/>
                    <w:rPr>
                      <w:kern w:val="0"/>
                      <w:szCs w:val="21"/>
                      <w:u w:val="none"/>
                      <w:lang w:bidi="ar"/>
                    </w:rPr>
                  </w:pPr>
                  <w:r>
                    <w:rPr>
                      <w:kern w:val="0"/>
                      <w:szCs w:val="21"/>
                      <w:u w:val="none"/>
                      <w:lang w:bidi="ar"/>
                    </w:rPr>
                    <w:t>云南宣威经济技术开发区空气环境质量指标应达到《环境空气质量标准》（GB3095-2012）中的环境空气功能区二类区标准</w:t>
                  </w:r>
                  <w:r>
                    <w:rPr>
                      <w:rFonts w:hint="eastAsia"/>
                      <w:kern w:val="0"/>
                      <w:szCs w:val="21"/>
                      <w:u w:val="none"/>
                      <w:lang w:bidi="ar"/>
                    </w:rPr>
                    <w:t>。</w:t>
                  </w:r>
                </w:p>
              </w:tc>
              <w:tc>
                <w:tcPr>
                  <w:tcW w:w="2200" w:type="pct"/>
                  <w:vAlign w:val="center"/>
                </w:tcPr>
                <w:p w14:paraId="0A3D1B5B">
                  <w:pPr>
                    <w:jc w:val="center"/>
                    <w:rPr>
                      <w:szCs w:val="21"/>
                      <w:u w:val="none"/>
                    </w:rPr>
                  </w:pPr>
                  <w:r>
                    <w:rPr>
                      <w:szCs w:val="21"/>
                      <w:u w:val="none"/>
                    </w:rPr>
                    <w:t>根据宣威市革香河水电开发有限公司楼顶环境空气自动监测站202</w:t>
                  </w:r>
                  <w:r>
                    <w:rPr>
                      <w:rFonts w:hint="eastAsia"/>
                      <w:szCs w:val="21"/>
                      <w:u w:val="none"/>
                    </w:rPr>
                    <w:t>2</w:t>
                  </w:r>
                  <w:r>
                    <w:rPr>
                      <w:szCs w:val="21"/>
                      <w:u w:val="none"/>
                    </w:rPr>
                    <w:t>年监测公报，202</w:t>
                  </w:r>
                  <w:r>
                    <w:rPr>
                      <w:rFonts w:hint="eastAsia"/>
                      <w:szCs w:val="21"/>
                      <w:u w:val="none"/>
                    </w:rPr>
                    <w:t>2</w:t>
                  </w:r>
                  <w:r>
                    <w:rPr>
                      <w:szCs w:val="21"/>
                      <w:u w:val="none"/>
                    </w:rPr>
                    <w:t>年，宣威市城区环境空气质量有效监测</w:t>
                  </w:r>
                  <w:r>
                    <w:rPr>
                      <w:rFonts w:hint="eastAsia"/>
                      <w:szCs w:val="21"/>
                      <w:u w:val="none"/>
                    </w:rPr>
                    <w:t>355</w:t>
                  </w:r>
                  <w:r>
                    <w:rPr>
                      <w:szCs w:val="21"/>
                      <w:u w:val="none"/>
                    </w:rPr>
                    <w:t>天，在有效监测天数内，城区环境空气质量优良率100%，6项污染物</w:t>
                  </w:r>
                  <w:r>
                    <w:rPr>
                      <w:rFonts w:hint="eastAsia"/>
                      <w:szCs w:val="21"/>
                      <w:u w:val="none"/>
                    </w:rPr>
                    <w:t>年评价指标满足</w:t>
                  </w:r>
                  <w:r>
                    <w:rPr>
                      <w:szCs w:val="21"/>
                      <w:u w:val="none"/>
                    </w:rPr>
                    <w:t>《环境空气质量标准》（GB</w:t>
                  </w:r>
                  <w:r>
                    <w:rPr>
                      <w:rFonts w:hint="eastAsia"/>
                      <w:szCs w:val="21"/>
                      <w:u w:val="none"/>
                    </w:rPr>
                    <w:t xml:space="preserve"> </w:t>
                  </w:r>
                  <w:r>
                    <w:rPr>
                      <w:szCs w:val="21"/>
                      <w:u w:val="none"/>
                    </w:rPr>
                    <w:t>3095-2012）中二级标准及其修改单要求</w:t>
                  </w:r>
                  <w:r>
                    <w:rPr>
                      <w:rFonts w:hint="eastAsia"/>
                      <w:szCs w:val="21"/>
                      <w:u w:val="none"/>
                    </w:rPr>
                    <w:t>。</w:t>
                  </w:r>
                </w:p>
              </w:tc>
              <w:tc>
                <w:tcPr>
                  <w:tcW w:w="433" w:type="pct"/>
                  <w:vAlign w:val="center"/>
                </w:tcPr>
                <w:p w14:paraId="02BED9FC">
                  <w:pPr>
                    <w:wordWrap w:val="0"/>
                    <w:jc w:val="center"/>
                    <w:rPr>
                      <w:szCs w:val="21"/>
                      <w:u w:val="none"/>
                    </w:rPr>
                  </w:pPr>
                  <w:r>
                    <w:rPr>
                      <w:szCs w:val="21"/>
                      <w:u w:val="none"/>
                    </w:rPr>
                    <w:t>符合</w:t>
                  </w:r>
                </w:p>
              </w:tc>
            </w:tr>
            <w:tr w14:paraId="03FC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0A993CA6">
                  <w:pPr>
                    <w:wordWrap w:val="0"/>
                    <w:jc w:val="center"/>
                    <w:rPr>
                      <w:szCs w:val="21"/>
                      <w:u w:val="none"/>
                    </w:rPr>
                  </w:pPr>
                </w:p>
              </w:tc>
              <w:tc>
                <w:tcPr>
                  <w:tcW w:w="1803" w:type="pct"/>
                  <w:gridSpan w:val="2"/>
                  <w:vAlign w:val="center"/>
                </w:tcPr>
                <w:p w14:paraId="67B9BB29">
                  <w:pPr>
                    <w:wordWrap w:val="0"/>
                    <w:jc w:val="center"/>
                    <w:rPr>
                      <w:kern w:val="0"/>
                      <w:szCs w:val="21"/>
                      <w:u w:val="none"/>
                      <w:lang w:bidi="ar"/>
                    </w:rPr>
                  </w:pPr>
                  <w:r>
                    <w:rPr>
                      <w:kern w:val="0"/>
                      <w:szCs w:val="21"/>
                      <w:u w:val="none"/>
                      <w:lang w:bidi="ar"/>
                    </w:rPr>
                    <w:t>声环境质量要求：服务区达2类标准；工业园区达3类标准；交通干道两侧达到4a类标准</w:t>
                  </w:r>
                  <w:r>
                    <w:rPr>
                      <w:rFonts w:hint="eastAsia"/>
                      <w:kern w:val="0"/>
                      <w:szCs w:val="21"/>
                      <w:u w:val="none"/>
                      <w:lang w:bidi="ar"/>
                    </w:rPr>
                    <w:t>。</w:t>
                  </w:r>
                </w:p>
              </w:tc>
              <w:tc>
                <w:tcPr>
                  <w:tcW w:w="2200" w:type="pct"/>
                  <w:vAlign w:val="center"/>
                </w:tcPr>
                <w:p w14:paraId="1849C2FE">
                  <w:pPr>
                    <w:jc w:val="center"/>
                    <w:rPr>
                      <w:szCs w:val="21"/>
                      <w:u w:val="none"/>
                    </w:rPr>
                  </w:pPr>
                  <w:r>
                    <w:rPr>
                      <w:szCs w:val="21"/>
                      <w:u w:val="none"/>
                    </w:rPr>
                    <w:t>项目所在区域为</w:t>
                  </w:r>
                  <w:r>
                    <w:rPr>
                      <w:rFonts w:hint="eastAsia"/>
                      <w:szCs w:val="21"/>
                      <w:u w:val="none"/>
                    </w:rPr>
                    <w:t>羊场</w:t>
                  </w:r>
                  <w:r>
                    <w:rPr>
                      <w:szCs w:val="21"/>
                      <w:u w:val="none"/>
                    </w:rPr>
                    <w:t>产业园区，项目</w:t>
                  </w:r>
                  <w:r>
                    <w:rPr>
                      <w:rFonts w:hint="eastAsia"/>
                      <w:szCs w:val="21"/>
                      <w:u w:val="none"/>
                    </w:rPr>
                    <w:t>距离</w:t>
                  </w:r>
                  <w:r>
                    <w:rPr>
                      <w:szCs w:val="21"/>
                      <w:u w:val="none"/>
                    </w:rPr>
                    <w:t>高强度噪声污染型企业</w:t>
                  </w:r>
                  <w:r>
                    <w:rPr>
                      <w:rFonts w:hint="eastAsia"/>
                      <w:szCs w:val="21"/>
                      <w:u w:val="none"/>
                    </w:rPr>
                    <w:t>较远</w:t>
                  </w:r>
                  <w:r>
                    <w:rPr>
                      <w:szCs w:val="21"/>
                      <w:u w:val="none"/>
                    </w:rPr>
                    <w:t>，</w:t>
                  </w:r>
                  <w:r>
                    <w:rPr>
                      <w:rFonts w:hint="eastAsia"/>
                      <w:szCs w:val="21"/>
                      <w:u w:val="none"/>
                    </w:rPr>
                    <w:t>周边</w:t>
                  </w:r>
                  <w:r>
                    <w:rPr>
                      <w:szCs w:val="21"/>
                      <w:u w:val="none"/>
                    </w:rPr>
                    <w:t>声环境质量现状良好，能满足《声环境质量标准》（GB3096-2008）中的</w:t>
                  </w:r>
                  <w:r>
                    <w:rPr>
                      <w:rFonts w:hint="eastAsia"/>
                      <w:szCs w:val="21"/>
                      <w:u w:val="none"/>
                    </w:rPr>
                    <w:t>3</w:t>
                  </w:r>
                  <w:r>
                    <w:rPr>
                      <w:szCs w:val="21"/>
                      <w:u w:val="none"/>
                    </w:rPr>
                    <w:t>类标准。</w:t>
                  </w:r>
                </w:p>
              </w:tc>
              <w:tc>
                <w:tcPr>
                  <w:tcW w:w="433" w:type="pct"/>
                  <w:vAlign w:val="center"/>
                </w:tcPr>
                <w:p w14:paraId="0DB13D97">
                  <w:pPr>
                    <w:wordWrap w:val="0"/>
                    <w:jc w:val="center"/>
                    <w:rPr>
                      <w:szCs w:val="21"/>
                      <w:u w:val="none"/>
                    </w:rPr>
                  </w:pPr>
                  <w:r>
                    <w:rPr>
                      <w:szCs w:val="21"/>
                      <w:u w:val="none"/>
                    </w:rPr>
                    <w:t>符合</w:t>
                  </w:r>
                </w:p>
              </w:tc>
            </w:tr>
            <w:tr w14:paraId="4647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4AB015F1">
                  <w:pPr>
                    <w:wordWrap w:val="0"/>
                    <w:jc w:val="center"/>
                    <w:rPr>
                      <w:szCs w:val="21"/>
                      <w:u w:val="none"/>
                    </w:rPr>
                  </w:pPr>
                </w:p>
              </w:tc>
              <w:tc>
                <w:tcPr>
                  <w:tcW w:w="1803" w:type="pct"/>
                  <w:gridSpan w:val="2"/>
                  <w:vAlign w:val="center"/>
                </w:tcPr>
                <w:p w14:paraId="1AF388C8">
                  <w:pPr>
                    <w:wordWrap w:val="0"/>
                    <w:jc w:val="center"/>
                    <w:rPr>
                      <w:kern w:val="0"/>
                      <w:szCs w:val="21"/>
                      <w:u w:val="none"/>
                      <w:lang w:bidi="ar"/>
                    </w:rPr>
                  </w:pPr>
                  <w:r>
                    <w:rPr>
                      <w:kern w:val="0"/>
                      <w:szCs w:val="21"/>
                      <w:u w:val="none"/>
                      <w:lang w:bidi="ar"/>
                    </w:rPr>
                    <w:t>地表水环境质量</w:t>
                  </w:r>
                  <w:r>
                    <w:rPr>
                      <w:kern w:val="0"/>
                      <w:szCs w:val="21"/>
                      <w:u w:val="thick" w:color="FFB03A"/>
                      <w:shd w:val="clear" w:fill="FFEFD7"/>
                      <w:lang w:bidi="ar"/>
                    </w:rPr>
                    <w:t>达到</w:t>
                  </w:r>
                  <w:r>
                    <w:rPr>
                      <w:kern w:val="0"/>
                      <w:szCs w:val="21"/>
                      <w:u w:val="none"/>
                      <w:lang w:bidi="ar"/>
                    </w:rPr>
                    <w:t>《地表水环境质量标准》（GB3838－2002）Ⅲ类标准</w:t>
                  </w:r>
                  <w:r>
                    <w:rPr>
                      <w:rFonts w:hint="eastAsia"/>
                      <w:kern w:val="0"/>
                      <w:szCs w:val="21"/>
                      <w:u w:val="none"/>
                      <w:lang w:bidi="ar"/>
                    </w:rPr>
                    <w:t>。</w:t>
                  </w:r>
                </w:p>
              </w:tc>
              <w:tc>
                <w:tcPr>
                  <w:tcW w:w="2200" w:type="pct"/>
                  <w:vAlign w:val="center"/>
                </w:tcPr>
                <w:p w14:paraId="1335F4DE">
                  <w:pPr>
                    <w:wordWrap w:val="0"/>
                    <w:jc w:val="center"/>
                    <w:rPr>
                      <w:szCs w:val="21"/>
                      <w:u w:val="none"/>
                    </w:rPr>
                  </w:pPr>
                  <w:r>
                    <w:rPr>
                      <w:szCs w:val="21"/>
                      <w:u w:val="none"/>
                    </w:rPr>
                    <w:t>根据曲靖市生态环境局</w:t>
                  </w:r>
                  <w:r>
                    <w:rPr>
                      <w:rFonts w:hint="eastAsia"/>
                      <w:szCs w:val="21"/>
                      <w:u w:val="none"/>
                    </w:rPr>
                    <w:t>于2024年1月30日在官网上</w:t>
                  </w:r>
                  <w:r>
                    <w:rPr>
                      <w:szCs w:val="21"/>
                      <w:u w:val="none"/>
                    </w:rPr>
                    <w:t>公开发布的《202</w:t>
                  </w:r>
                  <w:r>
                    <w:rPr>
                      <w:rFonts w:hint="eastAsia"/>
                      <w:szCs w:val="21"/>
                      <w:u w:val="none"/>
                    </w:rPr>
                    <w:t>3</w:t>
                  </w:r>
                  <w:r>
                    <w:rPr>
                      <w:szCs w:val="21"/>
                      <w:u w:val="none"/>
                    </w:rPr>
                    <w:t>年水环境质量》，</w:t>
                  </w:r>
                  <w:r>
                    <w:rPr>
                      <w:rFonts w:hint="eastAsia"/>
                      <w:szCs w:val="21"/>
                      <w:u w:val="none"/>
                    </w:rPr>
                    <w:t>省</w:t>
                  </w:r>
                  <w:r>
                    <w:rPr>
                      <w:szCs w:val="21"/>
                      <w:u w:val="none"/>
                    </w:rPr>
                    <w:t>控断面</w:t>
                  </w:r>
                  <w:r>
                    <w:rPr>
                      <w:rFonts w:hint="eastAsia"/>
                      <w:szCs w:val="21"/>
                      <w:u w:val="none"/>
                    </w:rPr>
                    <w:t>亦那河（赤那河）</w:t>
                  </w:r>
                  <w:r>
                    <w:rPr>
                      <w:szCs w:val="21"/>
                      <w:u w:val="none"/>
                    </w:rPr>
                    <w:t>断面水质类别为Ⅲ类。</w:t>
                  </w:r>
                </w:p>
              </w:tc>
              <w:tc>
                <w:tcPr>
                  <w:tcW w:w="433" w:type="pct"/>
                  <w:vAlign w:val="center"/>
                </w:tcPr>
                <w:p w14:paraId="664AF93E">
                  <w:pPr>
                    <w:wordWrap w:val="0"/>
                    <w:jc w:val="center"/>
                    <w:rPr>
                      <w:szCs w:val="21"/>
                      <w:u w:val="none"/>
                    </w:rPr>
                  </w:pPr>
                  <w:r>
                    <w:rPr>
                      <w:rFonts w:hint="eastAsia"/>
                      <w:szCs w:val="21"/>
                      <w:u w:val="none"/>
                    </w:rPr>
                    <w:t>符合</w:t>
                  </w:r>
                </w:p>
              </w:tc>
            </w:tr>
            <w:tr w14:paraId="5190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restart"/>
                  <w:vAlign w:val="center"/>
                </w:tcPr>
                <w:p w14:paraId="1B3B1BBA">
                  <w:pPr>
                    <w:wordWrap w:val="0"/>
                    <w:jc w:val="center"/>
                    <w:rPr>
                      <w:szCs w:val="21"/>
                      <w:u w:val="none"/>
                    </w:rPr>
                  </w:pPr>
                  <w:r>
                    <w:rPr>
                      <w:rFonts w:hint="eastAsia"/>
                      <w:szCs w:val="21"/>
                      <w:u w:val="none"/>
                    </w:rPr>
                    <w:t>环境保护措施</w:t>
                  </w:r>
                </w:p>
              </w:tc>
              <w:tc>
                <w:tcPr>
                  <w:tcW w:w="347" w:type="pct"/>
                  <w:vMerge w:val="restart"/>
                  <w:vAlign w:val="center"/>
                </w:tcPr>
                <w:p w14:paraId="6789A291">
                  <w:pPr>
                    <w:wordWrap w:val="0"/>
                    <w:jc w:val="center"/>
                    <w:rPr>
                      <w:kern w:val="0"/>
                      <w:szCs w:val="21"/>
                      <w:u w:val="none"/>
                      <w:lang w:bidi="ar"/>
                    </w:rPr>
                  </w:pPr>
                  <w:r>
                    <w:rPr>
                      <w:rFonts w:hint="eastAsia"/>
                      <w:kern w:val="0"/>
                      <w:szCs w:val="21"/>
                      <w:u w:val="none"/>
                      <w:lang w:bidi="ar"/>
                    </w:rPr>
                    <w:t>大气</w:t>
                  </w:r>
                </w:p>
              </w:tc>
              <w:tc>
                <w:tcPr>
                  <w:tcW w:w="1456" w:type="pct"/>
                  <w:vAlign w:val="center"/>
                </w:tcPr>
                <w:p w14:paraId="337EF34B">
                  <w:pPr>
                    <w:wordWrap w:val="0"/>
                    <w:jc w:val="center"/>
                    <w:rPr>
                      <w:kern w:val="0"/>
                      <w:szCs w:val="21"/>
                      <w:u w:val="none"/>
                      <w:lang w:bidi="ar"/>
                    </w:rPr>
                  </w:pPr>
                  <w:r>
                    <w:rPr>
                      <w:kern w:val="0"/>
                      <w:szCs w:val="21"/>
                      <w:u w:val="none"/>
                      <w:lang w:bidi="ar"/>
                    </w:rPr>
                    <w:t>进入园区的企业应当优先采用能源利用效率高、污染物排放量少的清洁生产工艺，减少大气污染物的产生</w:t>
                  </w:r>
                  <w:r>
                    <w:rPr>
                      <w:rFonts w:hint="eastAsia"/>
                      <w:kern w:val="0"/>
                      <w:szCs w:val="21"/>
                      <w:u w:val="none"/>
                      <w:lang w:bidi="ar"/>
                    </w:rPr>
                    <w:t>。</w:t>
                  </w:r>
                </w:p>
              </w:tc>
              <w:tc>
                <w:tcPr>
                  <w:tcW w:w="2200" w:type="pct"/>
                  <w:vMerge w:val="restart"/>
                  <w:vAlign w:val="center"/>
                </w:tcPr>
                <w:p w14:paraId="5C863E3A">
                  <w:pPr>
                    <w:wordWrap w:val="0"/>
                    <w:jc w:val="center"/>
                    <w:rPr>
                      <w:szCs w:val="21"/>
                      <w:u w:val="none"/>
                    </w:rPr>
                  </w:pPr>
                  <w:r>
                    <w:rPr>
                      <w:szCs w:val="21"/>
                      <w:u w:val="none"/>
                    </w:rPr>
                    <w:t>项目</w:t>
                  </w:r>
                  <w:r>
                    <w:rPr>
                      <w:rFonts w:hint="eastAsia"/>
                      <w:szCs w:val="21"/>
                      <w:u w:val="none"/>
                    </w:rPr>
                    <w:t>通过</w:t>
                  </w:r>
                  <w:r>
                    <w:rPr>
                      <w:szCs w:val="21"/>
                      <w:u w:val="none"/>
                    </w:rPr>
                    <w:t>仓储棚建设为全封闭大棚，仅留设车辆进出口，同时在仓储棚顶部安装喷雾降尘设施，</w:t>
                  </w:r>
                  <w:r>
                    <w:rPr>
                      <w:rFonts w:hint="eastAsia"/>
                      <w:bCs/>
                      <w:spacing w:val="-10"/>
                      <w:szCs w:val="21"/>
                      <w:u w:val="none"/>
                    </w:rPr>
                    <w:t>厂区内地面进行定期洒水、清扫、运输车辆采取密闭运输等措施，</w:t>
                  </w:r>
                  <w:r>
                    <w:rPr>
                      <w:szCs w:val="21"/>
                      <w:u w:val="none"/>
                    </w:rPr>
                    <w:t>颗粒物周界外浓度最高点能够满足《大气污染物综合排放标准》（GB16297-1996）中相关要求</w:t>
                  </w:r>
                  <w:r>
                    <w:rPr>
                      <w:rFonts w:hint="eastAsia"/>
                      <w:szCs w:val="21"/>
                      <w:u w:val="none"/>
                    </w:rPr>
                    <w:t>。</w:t>
                  </w:r>
                </w:p>
              </w:tc>
              <w:tc>
                <w:tcPr>
                  <w:tcW w:w="433" w:type="pct"/>
                  <w:vMerge w:val="restart"/>
                  <w:vAlign w:val="center"/>
                </w:tcPr>
                <w:p w14:paraId="4A27040B">
                  <w:pPr>
                    <w:wordWrap w:val="0"/>
                    <w:jc w:val="center"/>
                    <w:rPr>
                      <w:szCs w:val="21"/>
                      <w:u w:val="none"/>
                    </w:rPr>
                  </w:pPr>
                  <w:r>
                    <w:rPr>
                      <w:rFonts w:hint="eastAsia"/>
                      <w:szCs w:val="21"/>
                      <w:u w:val="none"/>
                    </w:rPr>
                    <w:t>符合</w:t>
                  </w:r>
                </w:p>
              </w:tc>
            </w:tr>
            <w:tr w14:paraId="1A79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7D27FD45">
                  <w:pPr>
                    <w:wordWrap w:val="0"/>
                    <w:jc w:val="center"/>
                    <w:rPr>
                      <w:szCs w:val="21"/>
                      <w:u w:val="none"/>
                    </w:rPr>
                  </w:pPr>
                </w:p>
              </w:tc>
              <w:tc>
                <w:tcPr>
                  <w:tcW w:w="347" w:type="pct"/>
                  <w:vMerge w:val="continue"/>
                  <w:vAlign w:val="center"/>
                </w:tcPr>
                <w:p w14:paraId="2BDDAC3F">
                  <w:pPr>
                    <w:wordWrap w:val="0"/>
                    <w:jc w:val="center"/>
                    <w:rPr>
                      <w:kern w:val="0"/>
                      <w:szCs w:val="21"/>
                      <w:u w:val="none"/>
                      <w:lang w:bidi="ar"/>
                    </w:rPr>
                  </w:pPr>
                </w:p>
              </w:tc>
              <w:tc>
                <w:tcPr>
                  <w:tcW w:w="1456" w:type="pct"/>
                  <w:vAlign w:val="center"/>
                </w:tcPr>
                <w:p w14:paraId="358B8E2F">
                  <w:pPr>
                    <w:wordWrap w:val="0"/>
                    <w:jc w:val="center"/>
                    <w:rPr>
                      <w:kern w:val="0"/>
                      <w:szCs w:val="21"/>
                      <w:u w:val="none"/>
                      <w:lang w:bidi="ar"/>
                    </w:rPr>
                  </w:pPr>
                  <w:r>
                    <w:rPr>
                      <w:kern w:val="0"/>
                      <w:szCs w:val="21"/>
                      <w:u w:val="none"/>
                      <w:lang w:bidi="ar"/>
                    </w:rPr>
                    <w:t>严格限制向大气排放含有毒物质的废气和粉尘，不得超过规定的排放标准</w:t>
                  </w:r>
                  <w:r>
                    <w:rPr>
                      <w:rFonts w:hint="eastAsia"/>
                      <w:kern w:val="0"/>
                      <w:szCs w:val="21"/>
                      <w:u w:val="none"/>
                      <w:lang w:bidi="ar"/>
                    </w:rPr>
                    <w:t>。</w:t>
                  </w:r>
                </w:p>
              </w:tc>
              <w:tc>
                <w:tcPr>
                  <w:tcW w:w="2200" w:type="pct"/>
                  <w:vMerge w:val="continue"/>
                  <w:vAlign w:val="center"/>
                </w:tcPr>
                <w:p w14:paraId="1717B7BE">
                  <w:pPr>
                    <w:wordWrap w:val="0"/>
                    <w:jc w:val="center"/>
                    <w:rPr>
                      <w:szCs w:val="21"/>
                      <w:u w:val="none"/>
                    </w:rPr>
                  </w:pPr>
                </w:p>
              </w:tc>
              <w:tc>
                <w:tcPr>
                  <w:tcW w:w="433" w:type="pct"/>
                  <w:vMerge w:val="continue"/>
                  <w:vAlign w:val="center"/>
                </w:tcPr>
                <w:p w14:paraId="2827A68D">
                  <w:pPr>
                    <w:wordWrap w:val="0"/>
                    <w:jc w:val="center"/>
                    <w:rPr>
                      <w:szCs w:val="21"/>
                      <w:u w:val="none"/>
                    </w:rPr>
                  </w:pPr>
                </w:p>
              </w:tc>
            </w:tr>
            <w:tr w14:paraId="7C29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23EE9C88">
                  <w:pPr>
                    <w:wordWrap w:val="0"/>
                    <w:jc w:val="center"/>
                    <w:rPr>
                      <w:szCs w:val="21"/>
                      <w:u w:val="none"/>
                    </w:rPr>
                  </w:pPr>
                </w:p>
              </w:tc>
              <w:tc>
                <w:tcPr>
                  <w:tcW w:w="347" w:type="pct"/>
                  <w:vMerge w:val="continue"/>
                  <w:vAlign w:val="center"/>
                </w:tcPr>
                <w:p w14:paraId="5E93D533">
                  <w:pPr>
                    <w:wordWrap w:val="0"/>
                    <w:jc w:val="center"/>
                    <w:rPr>
                      <w:kern w:val="0"/>
                      <w:szCs w:val="21"/>
                      <w:u w:val="none"/>
                      <w:lang w:bidi="ar"/>
                    </w:rPr>
                  </w:pPr>
                </w:p>
              </w:tc>
              <w:tc>
                <w:tcPr>
                  <w:tcW w:w="1456" w:type="pct"/>
                  <w:vAlign w:val="center"/>
                </w:tcPr>
                <w:p w14:paraId="5DED9A23">
                  <w:pPr>
                    <w:wordWrap w:val="0"/>
                    <w:jc w:val="center"/>
                    <w:rPr>
                      <w:kern w:val="0"/>
                      <w:szCs w:val="21"/>
                      <w:u w:val="none"/>
                      <w:lang w:bidi="ar"/>
                    </w:rPr>
                  </w:pPr>
                  <w:r>
                    <w:rPr>
                      <w:kern w:val="0"/>
                      <w:szCs w:val="21"/>
                      <w:u w:val="none"/>
                      <w:lang w:bidi="ar"/>
                    </w:rPr>
                    <w:t>控制向大气排放含有毒物质的废气和粉尘；确需排放的，应当经过净化处理，不得超过</w:t>
                  </w:r>
                  <w:r>
                    <w:rPr>
                      <w:kern w:val="0"/>
                      <w:szCs w:val="21"/>
                      <w:u w:val="thick" w:color="FFB03A"/>
                      <w:shd w:val="clear" w:fill="FFEFD7"/>
                      <w:lang w:bidi="ar"/>
                    </w:rPr>
                    <w:t>规定</w:t>
                  </w:r>
                  <w:r>
                    <w:rPr>
                      <w:rFonts w:hint="eastAsia"/>
                      <w:kern w:val="0"/>
                      <w:szCs w:val="21"/>
                      <w:u w:val="none"/>
                      <w:lang w:bidi="ar"/>
                    </w:rPr>
                    <w:t>。</w:t>
                  </w:r>
                </w:p>
              </w:tc>
              <w:tc>
                <w:tcPr>
                  <w:tcW w:w="2200" w:type="pct"/>
                  <w:vMerge w:val="continue"/>
                  <w:vAlign w:val="center"/>
                </w:tcPr>
                <w:p w14:paraId="69471A5B">
                  <w:pPr>
                    <w:wordWrap w:val="0"/>
                    <w:jc w:val="center"/>
                    <w:rPr>
                      <w:szCs w:val="21"/>
                      <w:u w:val="none"/>
                    </w:rPr>
                  </w:pPr>
                </w:p>
              </w:tc>
              <w:tc>
                <w:tcPr>
                  <w:tcW w:w="433" w:type="pct"/>
                  <w:vMerge w:val="continue"/>
                  <w:vAlign w:val="center"/>
                </w:tcPr>
                <w:p w14:paraId="1EA8AE1C">
                  <w:pPr>
                    <w:wordWrap w:val="0"/>
                    <w:jc w:val="center"/>
                    <w:rPr>
                      <w:szCs w:val="21"/>
                      <w:u w:val="none"/>
                    </w:rPr>
                  </w:pPr>
                </w:p>
              </w:tc>
            </w:tr>
            <w:tr w14:paraId="789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20D68DF7">
                  <w:pPr>
                    <w:wordWrap w:val="0"/>
                    <w:jc w:val="center"/>
                    <w:rPr>
                      <w:szCs w:val="21"/>
                      <w:u w:val="none"/>
                    </w:rPr>
                  </w:pPr>
                </w:p>
              </w:tc>
              <w:tc>
                <w:tcPr>
                  <w:tcW w:w="347" w:type="pct"/>
                  <w:vAlign w:val="center"/>
                </w:tcPr>
                <w:p w14:paraId="10CCD2F6">
                  <w:pPr>
                    <w:wordWrap w:val="0"/>
                    <w:jc w:val="center"/>
                    <w:rPr>
                      <w:kern w:val="0"/>
                      <w:szCs w:val="21"/>
                      <w:u w:val="none"/>
                      <w:lang w:bidi="ar"/>
                    </w:rPr>
                  </w:pPr>
                  <w:r>
                    <w:rPr>
                      <w:rFonts w:hint="eastAsia"/>
                      <w:kern w:val="0"/>
                      <w:szCs w:val="21"/>
                      <w:u w:val="none"/>
                      <w:lang w:bidi="ar"/>
                    </w:rPr>
                    <w:t>噪声</w:t>
                  </w:r>
                </w:p>
              </w:tc>
              <w:tc>
                <w:tcPr>
                  <w:tcW w:w="1456" w:type="pct"/>
                  <w:vAlign w:val="center"/>
                </w:tcPr>
                <w:p w14:paraId="33AD938C">
                  <w:pPr>
                    <w:wordWrap w:val="0"/>
                    <w:jc w:val="center"/>
                    <w:rPr>
                      <w:kern w:val="0"/>
                      <w:szCs w:val="21"/>
                      <w:u w:val="none"/>
                      <w:lang w:bidi="ar"/>
                    </w:rPr>
                  </w:pPr>
                  <w:r>
                    <w:rPr>
                      <w:kern w:val="0"/>
                      <w:szCs w:val="21"/>
                      <w:u w:val="none"/>
                      <w:lang w:bidi="ar"/>
                    </w:rPr>
                    <w:t>产生环境噪声污染的单位，必须保持防治环境噪声污染设施的正常使用，并应当采取有效措施，减少噪声对周围环境的影响</w:t>
                  </w:r>
                  <w:r>
                    <w:rPr>
                      <w:rFonts w:hint="eastAsia"/>
                      <w:kern w:val="0"/>
                      <w:szCs w:val="21"/>
                      <w:u w:val="none"/>
                      <w:lang w:bidi="ar"/>
                    </w:rPr>
                    <w:t>。</w:t>
                  </w:r>
                </w:p>
              </w:tc>
              <w:tc>
                <w:tcPr>
                  <w:tcW w:w="2200" w:type="pct"/>
                  <w:vAlign w:val="center"/>
                </w:tcPr>
                <w:p w14:paraId="45F91AC5">
                  <w:pPr>
                    <w:wordWrap w:val="0"/>
                    <w:jc w:val="center"/>
                    <w:rPr>
                      <w:szCs w:val="21"/>
                      <w:u w:val="none"/>
                    </w:rPr>
                  </w:pPr>
                  <w:r>
                    <w:rPr>
                      <w:rFonts w:hint="eastAsia"/>
                      <w:szCs w:val="21"/>
                      <w:u w:val="none"/>
                    </w:rPr>
                    <w:t>项目采取</w:t>
                  </w:r>
                  <w:r>
                    <w:rPr>
                      <w:szCs w:val="21"/>
                      <w:u w:val="none"/>
                    </w:rPr>
                    <w:t>厂房和围墙隔声</w:t>
                  </w:r>
                  <w:r>
                    <w:rPr>
                      <w:rFonts w:hint="eastAsia"/>
                      <w:szCs w:val="21"/>
                      <w:u w:val="none"/>
                    </w:rPr>
                    <w:t>，厂界噪声可达标排放。</w:t>
                  </w:r>
                </w:p>
              </w:tc>
              <w:tc>
                <w:tcPr>
                  <w:tcW w:w="433" w:type="pct"/>
                  <w:vAlign w:val="center"/>
                </w:tcPr>
                <w:p w14:paraId="3A31C240">
                  <w:pPr>
                    <w:wordWrap w:val="0"/>
                    <w:jc w:val="center"/>
                    <w:rPr>
                      <w:szCs w:val="21"/>
                      <w:u w:val="none"/>
                    </w:rPr>
                  </w:pPr>
                  <w:r>
                    <w:rPr>
                      <w:rFonts w:hint="eastAsia"/>
                      <w:szCs w:val="21"/>
                      <w:u w:val="none"/>
                    </w:rPr>
                    <w:t>符合</w:t>
                  </w:r>
                </w:p>
              </w:tc>
            </w:tr>
            <w:tr w14:paraId="3D3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4FBEABA4">
                  <w:pPr>
                    <w:wordWrap w:val="0"/>
                    <w:jc w:val="center"/>
                    <w:rPr>
                      <w:szCs w:val="21"/>
                      <w:u w:val="none"/>
                    </w:rPr>
                  </w:pPr>
                </w:p>
              </w:tc>
              <w:tc>
                <w:tcPr>
                  <w:tcW w:w="347" w:type="pct"/>
                  <w:vMerge w:val="restart"/>
                  <w:vAlign w:val="center"/>
                </w:tcPr>
                <w:p w14:paraId="140D298B">
                  <w:pPr>
                    <w:wordWrap w:val="0"/>
                    <w:jc w:val="center"/>
                    <w:rPr>
                      <w:kern w:val="0"/>
                      <w:szCs w:val="21"/>
                      <w:u w:val="none"/>
                      <w:lang w:bidi="ar"/>
                    </w:rPr>
                  </w:pPr>
                  <w:r>
                    <w:rPr>
                      <w:rFonts w:hint="eastAsia"/>
                      <w:kern w:val="0"/>
                      <w:szCs w:val="21"/>
                      <w:u w:val="none"/>
                      <w:lang w:bidi="ar"/>
                    </w:rPr>
                    <w:t>水</w:t>
                  </w:r>
                </w:p>
              </w:tc>
              <w:tc>
                <w:tcPr>
                  <w:tcW w:w="1456" w:type="pct"/>
                  <w:vAlign w:val="center"/>
                </w:tcPr>
                <w:p w14:paraId="63316D37">
                  <w:pPr>
                    <w:wordWrap w:val="0"/>
                    <w:jc w:val="center"/>
                    <w:rPr>
                      <w:kern w:val="0"/>
                      <w:szCs w:val="21"/>
                      <w:u w:val="none"/>
                      <w:lang w:bidi="ar"/>
                    </w:rPr>
                  </w:pPr>
                  <w:r>
                    <w:rPr>
                      <w:kern w:val="0"/>
                      <w:szCs w:val="21"/>
                      <w:u w:val="none"/>
                      <w:lang w:bidi="ar"/>
                    </w:rPr>
                    <w:t>各个企业的工业废水应</w:t>
                  </w:r>
                  <w:r>
                    <w:rPr>
                      <w:rFonts w:hint="eastAsia"/>
                      <w:kern w:val="0"/>
                      <w:szCs w:val="21"/>
                      <w:u w:val="none"/>
                      <w:lang w:bidi="ar"/>
                    </w:rPr>
                    <w:t>在</w:t>
                  </w:r>
                  <w:r>
                    <w:rPr>
                      <w:kern w:val="0"/>
                      <w:szCs w:val="21"/>
                      <w:u w:val="thick" w:color="FFB03A"/>
                      <w:shd w:val="clear" w:fill="FFEFD7"/>
                      <w:lang w:bidi="ar"/>
                    </w:rPr>
                    <w:t>处理</w:t>
                  </w:r>
                  <w:r>
                    <w:rPr>
                      <w:kern w:val="0"/>
                      <w:szCs w:val="21"/>
                      <w:u w:val="none"/>
                      <w:lang w:bidi="ar"/>
                    </w:rPr>
                    <w:t>达到相应污水排放标准要求后</w:t>
                  </w:r>
                  <w:r>
                    <w:rPr>
                      <w:rFonts w:hint="eastAsia"/>
                      <w:kern w:val="0"/>
                      <w:szCs w:val="21"/>
                      <w:u w:val="none"/>
                      <w:lang w:bidi="ar"/>
                    </w:rPr>
                    <w:t>，</w:t>
                  </w:r>
                  <w:r>
                    <w:rPr>
                      <w:kern w:val="0"/>
                      <w:szCs w:val="21"/>
                      <w:u w:val="none"/>
                      <w:lang w:bidi="ar"/>
                    </w:rPr>
                    <w:t>才能进入产业园污水收集管道</w:t>
                  </w:r>
                  <w:r>
                    <w:rPr>
                      <w:rFonts w:hint="eastAsia"/>
                      <w:kern w:val="0"/>
                      <w:szCs w:val="21"/>
                      <w:u w:val="none"/>
                      <w:lang w:bidi="ar"/>
                    </w:rPr>
                    <w:t>。</w:t>
                  </w:r>
                </w:p>
              </w:tc>
              <w:tc>
                <w:tcPr>
                  <w:tcW w:w="2200" w:type="pct"/>
                  <w:vMerge w:val="restart"/>
                  <w:vAlign w:val="center"/>
                </w:tcPr>
                <w:p w14:paraId="71E20A78">
                  <w:pPr>
                    <w:rPr>
                      <w:szCs w:val="21"/>
                      <w:u w:val="none"/>
                    </w:rPr>
                  </w:pPr>
                  <w:r>
                    <w:rPr>
                      <w:szCs w:val="21"/>
                      <w:u w:val="none"/>
                    </w:rPr>
                    <w:t>建设单位拟建设1个容积为5</w:t>
                  </w:r>
                  <w:r>
                    <w:rPr>
                      <w:rFonts w:hint="eastAsia"/>
                      <w:szCs w:val="21"/>
                      <w:u w:val="none"/>
                    </w:rPr>
                    <w:t>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w:t>
                  </w:r>
                  <w:r>
                    <w:rPr>
                      <w:rFonts w:hint="eastAsia"/>
                      <w:szCs w:val="21"/>
                      <w:u w:val="none"/>
                    </w:rPr>
                    <w:t>和</w:t>
                  </w:r>
                  <w:r>
                    <w:rPr>
                      <w:szCs w:val="21"/>
                      <w:u w:val="none"/>
                    </w:rPr>
                    <w:t>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w:t>
                  </w:r>
                  <w:r>
                    <w:rPr>
                      <w:szCs w:val="21"/>
                      <w:u w:val="none"/>
                    </w:rPr>
                    <w:t>池。车辆清洗废水和场地雨污水分别经车辆清洗废水沉淀池和场地雨污水收集池处理后全部回用于</w:t>
                  </w:r>
                  <w:r>
                    <w:rPr>
                      <w:rFonts w:hint="eastAsia"/>
                      <w:szCs w:val="21"/>
                      <w:u w:val="none"/>
                    </w:rPr>
                    <w:t>大棚喷淋</w:t>
                  </w:r>
                  <w:r>
                    <w:rPr>
                      <w:szCs w:val="21"/>
                      <w:u w:val="none"/>
                    </w:rPr>
                    <w:t>降尘、车辆清洗。</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。项目无废水外排，对周边地表水环境影响很小。</w:t>
                  </w:r>
                  <w:r>
                    <w:rPr>
                      <w:rFonts w:hint="eastAsia"/>
                      <w:szCs w:val="21"/>
                      <w:u w:val="none"/>
                    </w:rPr>
                    <w:t>项目不</w:t>
                  </w:r>
                  <w:r>
                    <w:rPr>
                      <w:kern w:val="0"/>
                      <w:szCs w:val="21"/>
                      <w:u w:val="none"/>
                      <w:lang w:bidi="ar"/>
                    </w:rPr>
                    <w:t>向</w:t>
                  </w:r>
                  <w:r>
                    <w:rPr>
                      <w:rFonts w:hint="eastAsia"/>
                      <w:kern w:val="0"/>
                      <w:szCs w:val="21"/>
                      <w:u w:val="none"/>
                      <w:lang w:bidi="ar"/>
                    </w:rPr>
                    <w:t>园</w:t>
                  </w:r>
                  <w:r>
                    <w:rPr>
                      <w:kern w:val="0"/>
                      <w:szCs w:val="21"/>
                      <w:u w:val="none"/>
                      <w:lang w:bidi="ar"/>
                    </w:rPr>
                    <w:t>区内水体倾倒工业废渣、园区垃圾和</w:t>
                  </w:r>
                  <w:r>
                    <w:rPr>
                      <w:rFonts w:hint="eastAsia"/>
                      <w:kern w:val="0"/>
                      <w:szCs w:val="21"/>
                      <w:u w:val="none"/>
                      <w:lang w:bidi="ar"/>
                    </w:rPr>
                    <w:t>其他废弃物</w:t>
                  </w:r>
                  <w:r>
                    <w:rPr>
                      <w:kern w:val="0"/>
                      <w:szCs w:val="21"/>
                      <w:u w:val="none"/>
                      <w:lang w:bidi="ar"/>
                    </w:rPr>
                    <w:t>；</w:t>
                  </w:r>
                  <w:r>
                    <w:rPr>
                      <w:rFonts w:hint="eastAsia"/>
                      <w:kern w:val="0"/>
                      <w:szCs w:val="21"/>
                      <w:u w:val="none"/>
                      <w:lang w:bidi="ar"/>
                    </w:rPr>
                    <w:t>不</w:t>
                  </w:r>
                  <w:r>
                    <w:rPr>
                      <w:kern w:val="0"/>
                      <w:szCs w:val="21"/>
                      <w:u w:val="none"/>
                      <w:lang w:bidi="ar"/>
                    </w:rPr>
                    <w:t>向水体排放油渍、酸液、碱液或者剧毒废液</w:t>
                  </w:r>
                  <w:r>
                    <w:rPr>
                      <w:rFonts w:hint="eastAsia"/>
                      <w:kern w:val="0"/>
                      <w:szCs w:val="21"/>
                      <w:u w:val="none"/>
                      <w:lang w:bidi="ar"/>
                    </w:rPr>
                    <w:t>；不</w:t>
                  </w:r>
                  <w:r>
                    <w:rPr>
                      <w:kern w:val="0"/>
                      <w:szCs w:val="21"/>
                      <w:u w:val="none"/>
                      <w:lang w:bidi="ar"/>
                    </w:rPr>
                    <w:t>在水体清洁装贮过油类或有毒</w:t>
                  </w:r>
                  <w:r>
                    <w:rPr>
                      <w:rFonts w:hint="eastAsia"/>
                      <w:kern w:val="0"/>
                      <w:szCs w:val="21"/>
                      <w:u w:val="none"/>
                      <w:lang w:bidi="ar"/>
                    </w:rPr>
                    <w:t>污染物</w:t>
                  </w:r>
                  <w:r>
                    <w:rPr>
                      <w:kern w:val="0"/>
                      <w:szCs w:val="21"/>
                      <w:u w:val="none"/>
                      <w:lang w:bidi="ar"/>
                    </w:rPr>
                    <w:t>车辆和容器</w:t>
                  </w:r>
                  <w:r>
                    <w:rPr>
                      <w:rFonts w:hint="eastAsia"/>
                      <w:kern w:val="0"/>
                      <w:szCs w:val="21"/>
                      <w:u w:val="none"/>
                      <w:lang w:bidi="ar"/>
                    </w:rPr>
                    <w:t>。</w:t>
                  </w:r>
                </w:p>
              </w:tc>
              <w:tc>
                <w:tcPr>
                  <w:tcW w:w="433" w:type="pct"/>
                  <w:vMerge w:val="restart"/>
                  <w:vAlign w:val="center"/>
                </w:tcPr>
                <w:p w14:paraId="37608A63">
                  <w:pPr>
                    <w:wordWrap w:val="0"/>
                    <w:jc w:val="center"/>
                    <w:rPr>
                      <w:szCs w:val="21"/>
                      <w:u w:val="none"/>
                    </w:rPr>
                  </w:pPr>
                  <w:r>
                    <w:rPr>
                      <w:rFonts w:hint="eastAsia"/>
                      <w:szCs w:val="21"/>
                      <w:u w:val="none"/>
                    </w:rPr>
                    <w:t>符合</w:t>
                  </w:r>
                </w:p>
              </w:tc>
            </w:tr>
            <w:tr w14:paraId="0117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5FF3DFAA">
                  <w:pPr>
                    <w:wordWrap w:val="0"/>
                    <w:jc w:val="center"/>
                    <w:rPr>
                      <w:szCs w:val="21"/>
                      <w:u w:val="none"/>
                    </w:rPr>
                  </w:pPr>
                </w:p>
              </w:tc>
              <w:tc>
                <w:tcPr>
                  <w:tcW w:w="347" w:type="pct"/>
                  <w:vMerge w:val="continue"/>
                  <w:vAlign w:val="center"/>
                </w:tcPr>
                <w:p w14:paraId="395C0779">
                  <w:pPr>
                    <w:wordWrap w:val="0"/>
                    <w:jc w:val="center"/>
                    <w:rPr>
                      <w:kern w:val="0"/>
                      <w:szCs w:val="21"/>
                      <w:u w:val="none"/>
                      <w:lang w:bidi="ar"/>
                    </w:rPr>
                  </w:pPr>
                </w:p>
              </w:tc>
              <w:tc>
                <w:tcPr>
                  <w:tcW w:w="1456" w:type="pct"/>
                  <w:vAlign w:val="center"/>
                </w:tcPr>
                <w:p w14:paraId="34BCC559">
                  <w:pPr>
                    <w:wordWrap w:val="0"/>
                    <w:jc w:val="center"/>
                    <w:rPr>
                      <w:kern w:val="0"/>
                      <w:szCs w:val="21"/>
                      <w:u w:val="none"/>
                      <w:lang w:bidi="ar"/>
                    </w:rPr>
                  </w:pPr>
                  <w:r>
                    <w:rPr>
                      <w:kern w:val="0"/>
                      <w:szCs w:val="21"/>
                      <w:u w:val="none"/>
                      <w:lang w:bidi="ar"/>
                    </w:rPr>
                    <w:t>进入产业园的企业应当采用原材料利用效率高、污染物排放量少的清洁生产工艺，并加强管理，减少水污染的产生</w:t>
                  </w:r>
                  <w:r>
                    <w:rPr>
                      <w:rFonts w:hint="eastAsia"/>
                      <w:kern w:val="0"/>
                      <w:szCs w:val="21"/>
                      <w:u w:val="none"/>
                      <w:lang w:bidi="ar"/>
                    </w:rPr>
                    <w:t>。</w:t>
                  </w:r>
                </w:p>
              </w:tc>
              <w:tc>
                <w:tcPr>
                  <w:tcW w:w="2200" w:type="pct"/>
                  <w:vMerge w:val="continue"/>
                  <w:vAlign w:val="center"/>
                </w:tcPr>
                <w:p w14:paraId="4E6A777B">
                  <w:pPr>
                    <w:wordWrap w:val="0"/>
                    <w:jc w:val="center"/>
                    <w:rPr>
                      <w:szCs w:val="21"/>
                      <w:u w:val="none"/>
                    </w:rPr>
                  </w:pPr>
                </w:p>
              </w:tc>
              <w:tc>
                <w:tcPr>
                  <w:tcW w:w="433" w:type="pct"/>
                  <w:vMerge w:val="continue"/>
                  <w:vAlign w:val="center"/>
                </w:tcPr>
                <w:p w14:paraId="616EF1E4">
                  <w:pPr>
                    <w:wordWrap w:val="0"/>
                    <w:jc w:val="center"/>
                    <w:rPr>
                      <w:szCs w:val="21"/>
                      <w:u w:val="none"/>
                    </w:rPr>
                  </w:pPr>
                </w:p>
              </w:tc>
            </w:tr>
            <w:tr w14:paraId="4FD5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64A52EE3">
                  <w:pPr>
                    <w:wordWrap w:val="0"/>
                    <w:jc w:val="center"/>
                    <w:rPr>
                      <w:szCs w:val="21"/>
                      <w:u w:val="none"/>
                    </w:rPr>
                  </w:pPr>
                </w:p>
              </w:tc>
              <w:tc>
                <w:tcPr>
                  <w:tcW w:w="347" w:type="pct"/>
                  <w:vMerge w:val="continue"/>
                  <w:vAlign w:val="center"/>
                </w:tcPr>
                <w:p w14:paraId="6DB1D8F4">
                  <w:pPr>
                    <w:wordWrap w:val="0"/>
                    <w:jc w:val="center"/>
                    <w:rPr>
                      <w:kern w:val="0"/>
                      <w:szCs w:val="21"/>
                      <w:u w:val="none"/>
                      <w:lang w:bidi="ar"/>
                    </w:rPr>
                  </w:pPr>
                </w:p>
              </w:tc>
              <w:tc>
                <w:tcPr>
                  <w:tcW w:w="1456" w:type="pct"/>
                  <w:vAlign w:val="center"/>
                </w:tcPr>
                <w:p w14:paraId="0ED9BD55">
                  <w:pPr>
                    <w:wordWrap w:val="0"/>
                    <w:jc w:val="center"/>
                    <w:rPr>
                      <w:kern w:val="0"/>
                      <w:szCs w:val="21"/>
                      <w:u w:val="none"/>
                      <w:lang w:bidi="ar"/>
                    </w:rPr>
                  </w:pPr>
                  <w:r>
                    <w:rPr>
                      <w:kern w:val="0"/>
                      <w:szCs w:val="21"/>
                      <w:u w:val="none"/>
                      <w:lang w:bidi="ar"/>
                    </w:rPr>
                    <w:t>各单位不得向区内水体直接排放污水、倾倒工业废渣、园区垃圾和</w:t>
                  </w:r>
                  <w:r>
                    <w:rPr>
                      <w:rFonts w:hint="eastAsia"/>
                      <w:kern w:val="0"/>
                      <w:szCs w:val="21"/>
                      <w:u w:val="none"/>
                      <w:lang w:bidi="ar"/>
                    </w:rPr>
                    <w:t>其他废弃物</w:t>
                  </w:r>
                  <w:r>
                    <w:rPr>
                      <w:kern w:val="0"/>
                      <w:szCs w:val="21"/>
                      <w:u w:val="none"/>
                      <w:lang w:bidi="ar"/>
                    </w:rPr>
                    <w:t>；禁止向水体排放油渍、酸液、碱液或者剧毒废液；禁止在水体清洁装贮过油类或有毒</w:t>
                  </w:r>
                  <w:r>
                    <w:rPr>
                      <w:rFonts w:hint="eastAsia"/>
                      <w:kern w:val="0"/>
                      <w:szCs w:val="21"/>
                      <w:u w:val="none"/>
                      <w:lang w:bidi="ar"/>
                    </w:rPr>
                    <w:t>污染物</w:t>
                  </w:r>
                  <w:r>
                    <w:rPr>
                      <w:kern w:val="0"/>
                      <w:szCs w:val="21"/>
                      <w:u w:val="none"/>
                      <w:lang w:bidi="ar"/>
                    </w:rPr>
                    <w:t>车辆和容器</w:t>
                  </w:r>
                  <w:r>
                    <w:rPr>
                      <w:rFonts w:hint="eastAsia"/>
                      <w:kern w:val="0"/>
                      <w:szCs w:val="21"/>
                      <w:u w:val="none"/>
                      <w:lang w:bidi="ar"/>
                    </w:rPr>
                    <w:t>。</w:t>
                  </w:r>
                </w:p>
              </w:tc>
              <w:tc>
                <w:tcPr>
                  <w:tcW w:w="2200" w:type="pct"/>
                  <w:vMerge w:val="continue"/>
                  <w:vAlign w:val="center"/>
                </w:tcPr>
                <w:p w14:paraId="6CCE7F64">
                  <w:pPr>
                    <w:wordWrap w:val="0"/>
                    <w:jc w:val="center"/>
                    <w:rPr>
                      <w:szCs w:val="21"/>
                      <w:u w:val="none"/>
                    </w:rPr>
                  </w:pPr>
                </w:p>
              </w:tc>
              <w:tc>
                <w:tcPr>
                  <w:tcW w:w="433" w:type="pct"/>
                  <w:vMerge w:val="continue"/>
                  <w:vAlign w:val="center"/>
                </w:tcPr>
                <w:p w14:paraId="2DB66A89">
                  <w:pPr>
                    <w:wordWrap w:val="0"/>
                    <w:jc w:val="center"/>
                    <w:rPr>
                      <w:szCs w:val="21"/>
                      <w:u w:val="none"/>
                    </w:rPr>
                  </w:pPr>
                </w:p>
              </w:tc>
            </w:tr>
            <w:tr w14:paraId="35F0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57A87380">
                  <w:pPr>
                    <w:wordWrap w:val="0"/>
                    <w:jc w:val="center"/>
                    <w:rPr>
                      <w:szCs w:val="21"/>
                      <w:u w:val="none"/>
                    </w:rPr>
                  </w:pPr>
                </w:p>
              </w:tc>
              <w:tc>
                <w:tcPr>
                  <w:tcW w:w="347" w:type="pct"/>
                  <w:vMerge w:val="restart"/>
                  <w:vAlign w:val="center"/>
                </w:tcPr>
                <w:p w14:paraId="0A0B6567">
                  <w:pPr>
                    <w:wordWrap w:val="0"/>
                    <w:jc w:val="center"/>
                    <w:rPr>
                      <w:kern w:val="0"/>
                      <w:szCs w:val="21"/>
                      <w:u w:val="none"/>
                      <w:lang w:bidi="ar"/>
                    </w:rPr>
                  </w:pPr>
                  <w:r>
                    <w:rPr>
                      <w:kern w:val="0"/>
                      <w:szCs w:val="21"/>
                      <w:u w:val="none"/>
                      <w:lang w:bidi="ar"/>
                    </w:rPr>
                    <w:t>一般固废</w:t>
                  </w:r>
                </w:p>
              </w:tc>
              <w:tc>
                <w:tcPr>
                  <w:tcW w:w="1456" w:type="pct"/>
                  <w:vAlign w:val="center"/>
                </w:tcPr>
                <w:p w14:paraId="2D2D1504">
                  <w:pPr>
                    <w:wordWrap w:val="0"/>
                    <w:jc w:val="center"/>
                    <w:rPr>
                      <w:kern w:val="0"/>
                      <w:szCs w:val="21"/>
                      <w:u w:val="none"/>
                      <w:lang w:bidi="ar"/>
                    </w:rPr>
                  </w:pPr>
                  <w:r>
                    <w:rPr>
                      <w:kern w:val="0"/>
                      <w:szCs w:val="21"/>
                      <w:u w:val="none"/>
                      <w:lang w:bidi="ar"/>
                    </w:rPr>
                    <w:t>产生工业固体废物的单位应当建立健全污染环境防治责任制度，采取相应的防治措施</w:t>
                  </w:r>
                  <w:r>
                    <w:rPr>
                      <w:rFonts w:hint="eastAsia"/>
                      <w:kern w:val="0"/>
                      <w:szCs w:val="21"/>
                      <w:u w:val="none"/>
                      <w:lang w:bidi="ar"/>
                    </w:rPr>
                    <w:t>。</w:t>
                  </w:r>
                </w:p>
              </w:tc>
              <w:tc>
                <w:tcPr>
                  <w:tcW w:w="2200" w:type="pct"/>
                  <w:vMerge w:val="restart"/>
                  <w:vAlign w:val="center"/>
                </w:tcPr>
                <w:p w14:paraId="3953DD51">
                  <w:pPr>
                    <w:wordWrap w:val="0"/>
                    <w:jc w:val="center"/>
                    <w:rPr>
                      <w:szCs w:val="21"/>
                      <w:u w:val="none"/>
                    </w:rPr>
                  </w:pPr>
                  <w:r>
                    <w:rPr>
                      <w:rFonts w:hint="eastAsia"/>
                      <w:szCs w:val="21"/>
                      <w:u w:val="none"/>
                    </w:rPr>
                    <w:t>项目设置加盖生活垃圾收集桶1只，生活垃圾统一收集于垃圾桶内，由环卫部门定期清运处理；场地雨污水收集池沉渣和车辆清洗废水沉淀池沉渣定期清掏后掺入磷矿中转运；</w:t>
                  </w:r>
                  <w:r>
                    <w:rPr>
                      <w:szCs w:val="21"/>
                      <w:u w:val="none"/>
                    </w:rPr>
                    <w:t>化粪池污泥</w:t>
                  </w:r>
                  <w:r>
                    <w:rPr>
                      <w:rFonts w:hint="eastAsia"/>
                      <w:szCs w:val="21"/>
                      <w:u w:val="none"/>
                    </w:rPr>
                    <w:t>和一体化污水处理站污泥</w:t>
                  </w:r>
                  <w:r>
                    <w:rPr>
                      <w:szCs w:val="21"/>
                      <w:u w:val="none"/>
                    </w:rPr>
                    <w:t>委托周围村民</w:t>
                  </w:r>
                  <w:r>
                    <w:rPr>
                      <w:rFonts w:hint="eastAsia"/>
                      <w:szCs w:val="21"/>
                      <w:u w:val="none"/>
                    </w:rPr>
                    <w:t>定期</w:t>
                  </w:r>
                  <w:r>
                    <w:rPr>
                      <w:szCs w:val="21"/>
                      <w:u w:val="none"/>
                    </w:rPr>
                    <w:t>清掏</w:t>
                  </w:r>
                  <w:r>
                    <w:rPr>
                      <w:rFonts w:hint="eastAsia"/>
                      <w:szCs w:val="21"/>
                      <w:u w:val="none"/>
                    </w:rPr>
                    <w:t>回用于农业生产</w:t>
                  </w:r>
                  <w:r>
                    <w:rPr>
                      <w:szCs w:val="21"/>
                      <w:u w:val="none"/>
                    </w:rPr>
                    <w:t>。</w:t>
                  </w:r>
                  <w:r>
                    <w:rPr>
                      <w:rFonts w:hint="eastAsia"/>
                      <w:szCs w:val="21"/>
                      <w:u w:val="none"/>
                    </w:rPr>
                    <w:t>项目固体废物100%得到合理妥善处置。</w:t>
                  </w:r>
                </w:p>
              </w:tc>
              <w:tc>
                <w:tcPr>
                  <w:tcW w:w="433" w:type="pct"/>
                  <w:vMerge w:val="restart"/>
                  <w:vAlign w:val="center"/>
                </w:tcPr>
                <w:p w14:paraId="5CC40ECF">
                  <w:pPr>
                    <w:wordWrap w:val="0"/>
                    <w:jc w:val="center"/>
                    <w:rPr>
                      <w:szCs w:val="21"/>
                      <w:u w:val="none"/>
                    </w:rPr>
                  </w:pPr>
                  <w:r>
                    <w:rPr>
                      <w:rFonts w:hint="eastAsia"/>
                      <w:szCs w:val="21"/>
                      <w:u w:val="thick" w:color="FFB03A"/>
                      <w:shd w:val="clear" w:fill="FFEFD7"/>
                    </w:rPr>
                    <w:t>符合</w:t>
                  </w:r>
                </w:p>
              </w:tc>
            </w:tr>
            <w:tr w14:paraId="221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4AD7155A">
                  <w:pPr>
                    <w:wordWrap w:val="0"/>
                    <w:jc w:val="center"/>
                    <w:rPr>
                      <w:szCs w:val="21"/>
                      <w:u w:val="none"/>
                    </w:rPr>
                  </w:pPr>
                </w:p>
              </w:tc>
              <w:tc>
                <w:tcPr>
                  <w:tcW w:w="347" w:type="pct"/>
                  <w:vMerge w:val="continue"/>
                  <w:vAlign w:val="center"/>
                </w:tcPr>
                <w:p w14:paraId="21B132A3">
                  <w:pPr>
                    <w:wordWrap w:val="0"/>
                    <w:jc w:val="center"/>
                    <w:rPr>
                      <w:kern w:val="0"/>
                      <w:szCs w:val="21"/>
                      <w:u w:val="none"/>
                      <w:lang w:bidi="ar"/>
                    </w:rPr>
                  </w:pPr>
                </w:p>
              </w:tc>
              <w:tc>
                <w:tcPr>
                  <w:tcW w:w="1456" w:type="pct"/>
                  <w:vAlign w:val="center"/>
                </w:tcPr>
                <w:p w14:paraId="626469B5">
                  <w:pPr>
                    <w:wordWrap w:val="0"/>
                    <w:jc w:val="center"/>
                    <w:rPr>
                      <w:kern w:val="0"/>
                      <w:szCs w:val="21"/>
                      <w:u w:val="none"/>
                      <w:lang w:bidi="ar"/>
                    </w:rPr>
                  </w:pPr>
                  <w:r>
                    <w:rPr>
                      <w:kern w:val="0"/>
                      <w:szCs w:val="21"/>
                      <w:u w:val="none"/>
                      <w:lang w:bidi="ar"/>
                    </w:rPr>
                    <w:t>企业应当合理选择和利用原材料、能源和</w:t>
                  </w:r>
                  <w:r>
                    <w:rPr>
                      <w:rFonts w:hint="eastAsia"/>
                      <w:kern w:val="0"/>
                      <w:szCs w:val="21"/>
                      <w:u w:val="none"/>
                      <w:lang w:bidi="ar"/>
                    </w:rPr>
                    <w:t>其他资源</w:t>
                  </w:r>
                  <w:r>
                    <w:rPr>
                      <w:kern w:val="0"/>
                      <w:szCs w:val="21"/>
                      <w:u w:val="none"/>
                      <w:lang w:bidi="ar"/>
                    </w:rPr>
                    <w:t>，采用先进的生产工艺和设备，减少工业固体废物的产生量</w:t>
                  </w:r>
                  <w:r>
                    <w:rPr>
                      <w:rFonts w:hint="eastAsia"/>
                      <w:kern w:val="0"/>
                      <w:szCs w:val="21"/>
                      <w:u w:val="none"/>
                      <w:lang w:bidi="ar"/>
                    </w:rPr>
                    <w:t>。</w:t>
                  </w:r>
                </w:p>
              </w:tc>
              <w:tc>
                <w:tcPr>
                  <w:tcW w:w="2200" w:type="pct"/>
                  <w:vMerge w:val="continue"/>
                  <w:vAlign w:val="center"/>
                </w:tcPr>
                <w:p w14:paraId="1BB148E4">
                  <w:pPr>
                    <w:wordWrap w:val="0"/>
                    <w:jc w:val="center"/>
                    <w:rPr>
                      <w:szCs w:val="21"/>
                      <w:u w:val="none"/>
                    </w:rPr>
                  </w:pPr>
                </w:p>
              </w:tc>
              <w:tc>
                <w:tcPr>
                  <w:tcW w:w="433" w:type="pct"/>
                  <w:vMerge w:val="continue"/>
                  <w:vAlign w:val="center"/>
                </w:tcPr>
                <w:p w14:paraId="64AB8EF2">
                  <w:pPr>
                    <w:wordWrap w:val="0"/>
                    <w:jc w:val="center"/>
                    <w:rPr>
                      <w:szCs w:val="21"/>
                      <w:u w:val="none"/>
                    </w:rPr>
                  </w:pPr>
                </w:p>
              </w:tc>
            </w:tr>
            <w:tr w14:paraId="376A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03382225">
                  <w:pPr>
                    <w:wordWrap w:val="0"/>
                    <w:jc w:val="center"/>
                    <w:rPr>
                      <w:szCs w:val="21"/>
                      <w:u w:val="none"/>
                    </w:rPr>
                  </w:pPr>
                </w:p>
              </w:tc>
              <w:tc>
                <w:tcPr>
                  <w:tcW w:w="347" w:type="pct"/>
                  <w:vMerge w:val="continue"/>
                  <w:vAlign w:val="center"/>
                </w:tcPr>
                <w:p w14:paraId="3E22B655">
                  <w:pPr>
                    <w:wordWrap w:val="0"/>
                    <w:jc w:val="center"/>
                    <w:rPr>
                      <w:kern w:val="0"/>
                      <w:szCs w:val="21"/>
                      <w:u w:val="none"/>
                      <w:lang w:bidi="ar"/>
                    </w:rPr>
                  </w:pPr>
                </w:p>
              </w:tc>
              <w:tc>
                <w:tcPr>
                  <w:tcW w:w="1456" w:type="pct"/>
                  <w:vAlign w:val="center"/>
                </w:tcPr>
                <w:p w14:paraId="274998AF">
                  <w:pPr>
                    <w:wordWrap w:val="0"/>
                    <w:jc w:val="center"/>
                    <w:rPr>
                      <w:kern w:val="0"/>
                      <w:szCs w:val="21"/>
                      <w:u w:val="none"/>
                      <w:lang w:bidi="ar"/>
                    </w:rPr>
                  </w:pPr>
                  <w:r>
                    <w:rPr>
                      <w:kern w:val="0"/>
                      <w:szCs w:val="21"/>
                      <w:u w:val="none"/>
                      <w:lang w:bidi="ar"/>
                    </w:rPr>
                    <w:t>企业对其产生的不能利用或者暂时不利用的工业固体废物，必须按环保部门的要求运至指定地点集中储存或集中处理</w:t>
                  </w:r>
                  <w:r>
                    <w:rPr>
                      <w:rFonts w:hint="eastAsia"/>
                      <w:kern w:val="0"/>
                      <w:szCs w:val="21"/>
                      <w:u w:val="none"/>
                      <w:lang w:bidi="ar"/>
                    </w:rPr>
                    <w:t>。</w:t>
                  </w:r>
                </w:p>
              </w:tc>
              <w:tc>
                <w:tcPr>
                  <w:tcW w:w="2200" w:type="pct"/>
                  <w:vMerge w:val="continue"/>
                  <w:vAlign w:val="center"/>
                </w:tcPr>
                <w:p w14:paraId="387F2651">
                  <w:pPr>
                    <w:wordWrap w:val="0"/>
                    <w:jc w:val="center"/>
                    <w:rPr>
                      <w:szCs w:val="21"/>
                      <w:u w:val="none"/>
                    </w:rPr>
                  </w:pPr>
                </w:p>
              </w:tc>
              <w:tc>
                <w:tcPr>
                  <w:tcW w:w="433" w:type="pct"/>
                  <w:vMerge w:val="continue"/>
                  <w:vAlign w:val="center"/>
                </w:tcPr>
                <w:p w14:paraId="326BE8FE">
                  <w:pPr>
                    <w:wordWrap w:val="0"/>
                    <w:jc w:val="center"/>
                    <w:rPr>
                      <w:szCs w:val="21"/>
                      <w:u w:val="none"/>
                    </w:rPr>
                  </w:pPr>
                </w:p>
              </w:tc>
            </w:tr>
            <w:tr w14:paraId="760D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6D6D209D">
                  <w:pPr>
                    <w:wordWrap w:val="0"/>
                    <w:jc w:val="center"/>
                    <w:rPr>
                      <w:szCs w:val="21"/>
                      <w:u w:val="none"/>
                    </w:rPr>
                  </w:pPr>
                </w:p>
              </w:tc>
              <w:tc>
                <w:tcPr>
                  <w:tcW w:w="347" w:type="pct"/>
                  <w:vMerge w:val="continue"/>
                  <w:vAlign w:val="center"/>
                </w:tcPr>
                <w:p w14:paraId="49650416">
                  <w:pPr>
                    <w:wordWrap w:val="0"/>
                    <w:jc w:val="center"/>
                    <w:rPr>
                      <w:kern w:val="0"/>
                      <w:szCs w:val="21"/>
                      <w:u w:val="none"/>
                      <w:lang w:bidi="ar"/>
                    </w:rPr>
                  </w:pPr>
                </w:p>
              </w:tc>
              <w:tc>
                <w:tcPr>
                  <w:tcW w:w="1456" w:type="pct"/>
                  <w:vAlign w:val="center"/>
                </w:tcPr>
                <w:p w14:paraId="20664314">
                  <w:pPr>
                    <w:wordWrap w:val="0"/>
                    <w:jc w:val="center"/>
                    <w:rPr>
                      <w:kern w:val="0"/>
                      <w:szCs w:val="21"/>
                      <w:u w:val="none"/>
                      <w:lang w:bidi="ar"/>
                    </w:rPr>
                  </w:pPr>
                  <w:r>
                    <w:rPr>
                      <w:rFonts w:hint="eastAsia"/>
                      <w:kern w:val="0"/>
                      <w:szCs w:val="21"/>
                      <w:u w:val="none"/>
                      <w:lang w:bidi="ar"/>
                    </w:rPr>
                    <w:t>推广清洁生产技术，降低</w:t>
                  </w:r>
                  <w:r>
                    <w:rPr>
                      <w:kern w:val="0"/>
                      <w:szCs w:val="21"/>
                      <w:u w:val="none"/>
                      <w:lang w:bidi="ar"/>
                    </w:rPr>
                    <w:t>工业固体废弃物的产生量，同时提高原材料利用率。加大对工业废渣的综合利用，以</w:t>
                  </w:r>
                  <w:r>
                    <w:rPr>
                      <w:rFonts w:hint="eastAsia"/>
                      <w:kern w:val="0"/>
                      <w:szCs w:val="21"/>
                      <w:u w:val="none"/>
                      <w:lang w:bidi="ar"/>
                    </w:rPr>
                    <w:t>开拓</w:t>
                  </w:r>
                  <w:r>
                    <w:rPr>
                      <w:kern w:val="0"/>
                      <w:szCs w:val="21"/>
                      <w:u w:val="none"/>
                      <w:lang w:bidi="ar"/>
                    </w:rPr>
                    <w:t>新的原料来源，减少对环境的污染。凡已有综合利用经验的</w:t>
                  </w:r>
                  <w:r>
                    <w:rPr>
                      <w:rFonts w:hint="eastAsia" w:ascii="宋体" w:hAnsi="宋体" w:cs="宋体"/>
                      <w:kern w:val="0"/>
                      <w:szCs w:val="21"/>
                      <w:u w:val="none"/>
                      <w:lang w:bidi="ar"/>
                    </w:rPr>
                    <w:t>“废渣”必</w:t>
                  </w:r>
                  <w:r>
                    <w:rPr>
                      <w:kern w:val="0"/>
                      <w:szCs w:val="21"/>
                      <w:u w:val="none"/>
                      <w:lang w:bidi="ar"/>
                    </w:rPr>
                    <w:t>须纳入工艺设计。基本建设与产品生产计划</w:t>
                  </w:r>
                  <w:r>
                    <w:rPr>
                      <w:rFonts w:hint="eastAsia"/>
                      <w:kern w:val="0"/>
                      <w:szCs w:val="21"/>
                      <w:u w:val="none"/>
                      <w:lang w:bidi="ar"/>
                    </w:rPr>
                    <w:t>，</w:t>
                  </w:r>
                  <w:r>
                    <w:rPr>
                      <w:kern w:val="0"/>
                      <w:szCs w:val="21"/>
                      <w:u w:val="none"/>
                      <w:lang w:bidi="ar"/>
                    </w:rPr>
                    <w:t>实行</w:t>
                  </w:r>
                  <w:r>
                    <w:rPr>
                      <w:rFonts w:hint="eastAsia" w:ascii="宋体" w:hAnsi="宋体" w:cs="宋体"/>
                      <w:kern w:val="0"/>
                      <w:szCs w:val="21"/>
                      <w:u w:val="none"/>
                      <w:lang w:bidi="ar"/>
                    </w:rPr>
                    <w:t>“一业为主，多种经营”，</w:t>
                  </w:r>
                  <w:r>
                    <w:rPr>
                      <w:kern w:val="0"/>
                      <w:szCs w:val="21"/>
                      <w:u w:val="none"/>
                      <w:lang w:bidi="ar"/>
                    </w:rPr>
                    <w:t>不得任意丢弃。环保部门要逐步完成对工业废渣的全过程管理，努力实现</w:t>
                  </w:r>
                  <w:r>
                    <w:rPr>
                      <w:rFonts w:hint="eastAsia" w:ascii="宋体" w:hAnsi="宋体" w:cs="宋体"/>
                      <w:kern w:val="0"/>
                      <w:szCs w:val="21"/>
                      <w:u w:val="none"/>
                      <w:lang w:bidi="ar"/>
                    </w:rPr>
                    <w:t>“减量化、资源化、无害化”。</w:t>
                  </w:r>
                </w:p>
              </w:tc>
              <w:tc>
                <w:tcPr>
                  <w:tcW w:w="2200" w:type="pct"/>
                  <w:vMerge w:val="continue"/>
                  <w:vAlign w:val="center"/>
                </w:tcPr>
                <w:p w14:paraId="073E95ED">
                  <w:pPr>
                    <w:wordWrap w:val="0"/>
                    <w:jc w:val="center"/>
                    <w:rPr>
                      <w:szCs w:val="21"/>
                      <w:u w:val="none"/>
                    </w:rPr>
                  </w:pPr>
                </w:p>
              </w:tc>
              <w:tc>
                <w:tcPr>
                  <w:tcW w:w="433" w:type="pct"/>
                  <w:vMerge w:val="continue"/>
                  <w:vAlign w:val="center"/>
                </w:tcPr>
                <w:p w14:paraId="7D2DF8C4">
                  <w:pPr>
                    <w:wordWrap w:val="0"/>
                    <w:jc w:val="center"/>
                    <w:rPr>
                      <w:szCs w:val="21"/>
                      <w:u w:val="none"/>
                    </w:rPr>
                  </w:pPr>
                </w:p>
              </w:tc>
            </w:tr>
            <w:tr w14:paraId="3AC7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71522049">
                  <w:pPr>
                    <w:wordWrap w:val="0"/>
                    <w:jc w:val="center"/>
                    <w:rPr>
                      <w:szCs w:val="21"/>
                      <w:u w:val="none"/>
                    </w:rPr>
                  </w:pPr>
                </w:p>
              </w:tc>
              <w:tc>
                <w:tcPr>
                  <w:tcW w:w="347" w:type="pct"/>
                  <w:vMerge w:val="continue"/>
                  <w:vAlign w:val="center"/>
                </w:tcPr>
                <w:p w14:paraId="2C2D2504">
                  <w:pPr>
                    <w:wordWrap w:val="0"/>
                    <w:jc w:val="center"/>
                    <w:rPr>
                      <w:kern w:val="0"/>
                      <w:szCs w:val="21"/>
                      <w:u w:val="none"/>
                      <w:lang w:bidi="ar"/>
                    </w:rPr>
                  </w:pPr>
                </w:p>
              </w:tc>
              <w:tc>
                <w:tcPr>
                  <w:tcW w:w="1456" w:type="pct"/>
                  <w:vAlign w:val="center"/>
                </w:tcPr>
                <w:p w14:paraId="37958DE6">
                  <w:pPr>
                    <w:wordWrap w:val="0"/>
                    <w:jc w:val="center"/>
                    <w:rPr>
                      <w:kern w:val="0"/>
                      <w:szCs w:val="21"/>
                      <w:u w:val="none"/>
                      <w:lang w:bidi="ar"/>
                    </w:rPr>
                  </w:pPr>
                  <w:r>
                    <w:rPr>
                      <w:kern w:val="0"/>
                      <w:szCs w:val="21"/>
                      <w:u w:val="none"/>
                      <w:lang w:bidi="ar"/>
                    </w:rPr>
                    <w:t>园区生活垃圾应及时清运，积极开展合理利用和无害化处置，并进一步做到园区</w:t>
                  </w:r>
                  <w:r>
                    <w:rPr>
                      <w:kern w:val="0"/>
                      <w:szCs w:val="21"/>
                      <w:u w:val="thick" w:color="FFB03A"/>
                      <w:shd w:val="clear" w:fill="FFEFD7"/>
                      <w:lang w:bidi="ar"/>
                    </w:rPr>
                    <w:t>分类</w:t>
                  </w:r>
                  <w:r>
                    <w:rPr>
                      <w:kern w:val="0"/>
                      <w:szCs w:val="21"/>
                      <w:u w:val="none"/>
                      <w:lang w:bidi="ar"/>
                    </w:rPr>
                    <w:t>收集、贮存、运输和处置</w:t>
                  </w:r>
                  <w:r>
                    <w:rPr>
                      <w:rFonts w:hint="eastAsia"/>
                      <w:kern w:val="0"/>
                      <w:szCs w:val="21"/>
                      <w:u w:val="none"/>
                      <w:lang w:bidi="ar"/>
                    </w:rPr>
                    <w:t>。</w:t>
                  </w:r>
                </w:p>
              </w:tc>
              <w:tc>
                <w:tcPr>
                  <w:tcW w:w="2200" w:type="pct"/>
                  <w:vMerge w:val="continue"/>
                  <w:vAlign w:val="center"/>
                </w:tcPr>
                <w:p w14:paraId="00132671">
                  <w:pPr>
                    <w:wordWrap w:val="0"/>
                    <w:jc w:val="center"/>
                    <w:rPr>
                      <w:szCs w:val="21"/>
                      <w:u w:val="none"/>
                    </w:rPr>
                  </w:pPr>
                </w:p>
              </w:tc>
              <w:tc>
                <w:tcPr>
                  <w:tcW w:w="433" w:type="pct"/>
                  <w:vMerge w:val="continue"/>
                  <w:vAlign w:val="center"/>
                </w:tcPr>
                <w:p w14:paraId="0A28FC27">
                  <w:pPr>
                    <w:wordWrap w:val="0"/>
                    <w:jc w:val="center"/>
                    <w:rPr>
                      <w:szCs w:val="21"/>
                      <w:u w:val="none"/>
                    </w:rPr>
                  </w:pPr>
                </w:p>
              </w:tc>
            </w:tr>
            <w:tr w14:paraId="24D1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1542FAA7">
                  <w:pPr>
                    <w:wordWrap w:val="0"/>
                    <w:jc w:val="center"/>
                    <w:rPr>
                      <w:szCs w:val="21"/>
                      <w:u w:val="none"/>
                    </w:rPr>
                  </w:pPr>
                </w:p>
              </w:tc>
              <w:tc>
                <w:tcPr>
                  <w:tcW w:w="347" w:type="pct"/>
                  <w:vMerge w:val="restart"/>
                  <w:vAlign w:val="center"/>
                </w:tcPr>
                <w:p w14:paraId="33619F8E">
                  <w:pPr>
                    <w:wordWrap w:val="0"/>
                    <w:jc w:val="center"/>
                    <w:rPr>
                      <w:kern w:val="0"/>
                      <w:szCs w:val="21"/>
                      <w:u w:val="none"/>
                      <w:lang w:bidi="ar"/>
                    </w:rPr>
                  </w:pPr>
                  <w:r>
                    <w:rPr>
                      <w:rFonts w:hint="eastAsia"/>
                      <w:kern w:val="0"/>
                      <w:szCs w:val="21"/>
                      <w:u w:val="none"/>
                      <w:lang w:bidi="ar"/>
                    </w:rPr>
                    <w:t>危险废物</w:t>
                  </w:r>
                </w:p>
              </w:tc>
              <w:tc>
                <w:tcPr>
                  <w:tcW w:w="1456" w:type="pct"/>
                  <w:vAlign w:val="center"/>
                </w:tcPr>
                <w:p w14:paraId="34B4E8A2">
                  <w:pPr>
                    <w:wordWrap w:val="0"/>
                    <w:jc w:val="center"/>
                    <w:rPr>
                      <w:kern w:val="0"/>
                      <w:szCs w:val="21"/>
                      <w:u w:val="none"/>
                      <w:lang w:bidi="ar"/>
                    </w:rPr>
                  </w:pPr>
                  <w:r>
                    <w:rPr>
                      <w:kern w:val="0"/>
                      <w:szCs w:val="21"/>
                      <w:u w:val="none"/>
                      <w:lang w:bidi="ar"/>
                    </w:rPr>
                    <w:t>对危险废物的容器和包装物以及收集、贮存、运输、处置危险废物的设施、场所，必须设置危险废物识别标志</w:t>
                  </w:r>
                  <w:r>
                    <w:rPr>
                      <w:rFonts w:hint="eastAsia"/>
                      <w:kern w:val="0"/>
                      <w:szCs w:val="21"/>
                      <w:u w:val="none"/>
                      <w:lang w:bidi="ar"/>
                    </w:rPr>
                    <w:t>。</w:t>
                  </w:r>
                </w:p>
              </w:tc>
              <w:tc>
                <w:tcPr>
                  <w:tcW w:w="2200" w:type="pct"/>
                  <w:vMerge w:val="restart"/>
                  <w:vAlign w:val="center"/>
                </w:tcPr>
                <w:p w14:paraId="7EC3A681">
                  <w:pPr>
                    <w:wordWrap w:val="0"/>
                    <w:jc w:val="center"/>
                    <w:rPr>
                      <w:szCs w:val="21"/>
                      <w:u w:val="none"/>
                    </w:rPr>
                  </w:pPr>
                  <w:r>
                    <w:rPr>
                      <w:szCs w:val="21"/>
                      <w:u w:val="none"/>
                    </w:rPr>
                    <w:t>项目运营</w:t>
                  </w:r>
                  <w:r>
                    <w:rPr>
                      <w:szCs w:val="21"/>
                      <w:u w:val="thick" w:color="FFB03A"/>
                      <w:shd w:val="clear" w:fill="FFEFD7"/>
                    </w:rPr>
                    <w:t>期</w:t>
                  </w:r>
                  <w:r>
                    <w:rPr>
                      <w:szCs w:val="21"/>
                      <w:u w:val="none"/>
                    </w:rPr>
                    <w:t>不产生危险废物</w:t>
                  </w:r>
                  <w:r>
                    <w:rPr>
                      <w:rFonts w:hint="eastAsia"/>
                      <w:szCs w:val="21"/>
                      <w:u w:val="none"/>
                    </w:rPr>
                    <w:t>。</w:t>
                  </w:r>
                </w:p>
              </w:tc>
              <w:tc>
                <w:tcPr>
                  <w:tcW w:w="433" w:type="pct"/>
                  <w:vMerge w:val="restart"/>
                  <w:vAlign w:val="center"/>
                </w:tcPr>
                <w:p w14:paraId="161DDC68">
                  <w:pPr>
                    <w:wordWrap w:val="0"/>
                    <w:jc w:val="center"/>
                    <w:rPr>
                      <w:szCs w:val="21"/>
                      <w:u w:val="none"/>
                    </w:rPr>
                  </w:pPr>
                  <w:r>
                    <w:rPr>
                      <w:rFonts w:hint="eastAsia"/>
                      <w:szCs w:val="21"/>
                      <w:u w:val="none"/>
                    </w:rPr>
                    <w:t>符合</w:t>
                  </w:r>
                </w:p>
              </w:tc>
            </w:tr>
            <w:tr w14:paraId="78B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4CF9BA42">
                  <w:pPr>
                    <w:wordWrap w:val="0"/>
                    <w:jc w:val="center"/>
                    <w:rPr>
                      <w:szCs w:val="21"/>
                      <w:u w:val="none"/>
                    </w:rPr>
                  </w:pPr>
                </w:p>
              </w:tc>
              <w:tc>
                <w:tcPr>
                  <w:tcW w:w="347" w:type="pct"/>
                  <w:vMerge w:val="continue"/>
                  <w:vAlign w:val="center"/>
                </w:tcPr>
                <w:p w14:paraId="43219121">
                  <w:pPr>
                    <w:wordWrap w:val="0"/>
                    <w:jc w:val="center"/>
                    <w:rPr>
                      <w:kern w:val="0"/>
                      <w:szCs w:val="21"/>
                      <w:u w:val="none"/>
                      <w:lang w:bidi="ar"/>
                    </w:rPr>
                  </w:pPr>
                </w:p>
              </w:tc>
              <w:tc>
                <w:tcPr>
                  <w:tcW w:w="1456" w:type="pct"/>
                  <w:vAlign w:val="center"/>
                </w:tcPr>
                <w:p w14:paraId="220A6C3E">
                  <w:pPr>
                    <w:wordWrap w:val="0"/>
                    <w:jc w:val="center"/>
                    <w:rPr>
                      <w:kern w:val="0"/>
                      <w:szCs w:val="21"/>
                      <w:u w:val="none"/>
                      <w:lang w:bidi="ar"/>
                    </w:rPr>
                  </w:pPr>
                  <w:r>
                    <w:rPr>
                      <w:kern w:val="0"/>
                      <w:szCs w:val="21"/>
                      <w:u w:val="none"/>
                      <w:lang w:bidi="ar"/>
                    </w:rPr>
                    <w:t>危险废物必须进行集中处置。收集、贮存危险废物，必须按照危险废物标准进行分类，禁止混合收集、贮存、运输、处置性质不相同而未经安全性处置的危险废物，禁止将危险废物混入非危险废物中贮存</w:t>
                  </w:r>
                  <w:r>
                    <w:rPr>
                      <w:rFonts w:hint="eastAsia"/>
                      <w:kern w:val="0"/>
                      <w:szCs w:val="21"/>
                      <w:u w:val="none"/>
                      <w:lang w:bidi="ar"/>
                    </w:rPr>
                    <w:t>。</w:t>
                  </w:r>
                </w:p>
              </w:tc>
              <w:tc>
                <w:tcPr>
                  <w:tcW w:w="2200" w:type="pct"/>
                  <w:vMerge w:val="continue"/>
                  <w:vAlign w:val="center"/>
                </w:tcPr>
                <w:p w14:paraId="58250331">
                  <w:pPr>
                    <w:wordWrap w:val="0"/>
                    <w:jc w:val="center"/>
                    <w:rPr>
                      <w:szCs w:val="21"/>
                      <w:u w:val="none"/>
                    </w:rPr>
                  </w:pPr>
                </w:p>
              </w:tc>
              <w:tc>
                <w:tcPr>
                  <w:tcW w:w="433" w:type="pct"/>
                  <w:vMerge w:val="continue"/>
                  <w:vAlign w:val="center"/>
                </w:tcPr>
                <w:p w14:paraId="1B5B191F">
                  <w:pPr>
                    <w:wordWrap w:val="0"/>
                    <w:jc w:val="center"/>
                    <w:rPr>
                      <w:szCs w:val="21"/>
                      <w:u w:val="none"/>
                    </w:rPr>
                  </w:pPr>
                </w:p>
              </w:tc>
            </w:tr>
            <w:tr w14:paraId="5691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Merge w:val="continue"/>
                  <w:vAlign w:val="center"/>
                </w:tcPr>
                <w:p w14:paraId="58243063">
                  <w:pPr>
                    <w:wordWrap w:val="0"/>
                    <w:jc w:val="center"/>
                    <w:rPr>
                      <w:szCs w:val="21"/>
                      <w:u w:val="none"/>
                    </w:rPr>
                  </w:pPr>
                </w:p>
              </w:tc>
              <w:tc>
                <w:tcPr>
                  <w:tcW w:w="347" w:type="pct"/>
                  <w:vMerge w:val="continue"/>
                  <w:vAlign w:val="center"/>
                </w:tcPr>
                <w:p w14:paraId="7EC066CA">
                  <w:pPr>
                    <w:wordWrap w:val="0"/>
                    <w:jc w:val="center"/>
                    <w:rPr>
                      <w:kern w:val="0"/>
                      <w:szCs w:val="21"/>
                      <w:u w:val="none"/>
                      <w:lang w:bidi="ar"/>
                    </w:rPr>
                  </w:pPr>
                </w:p>
              </w:tc>
              <w:tc>
                <w:tcPr>
                  <w:tcW w:w="1456" w:type="pct"/>
                  <w:vAlign w:val="center"/>
                </w:tcPr>
                <w:p w14:paraId="29A8542F">
                  <w:pPr>
                    <w:wordWrap w:val="0"/>
                    <w:jc w:val="center"/>
                    <w:rPr>
                      <w:kern w:val="0"/>
                      <w:szCs w:val="21"/>
                      <w:u w:val="none"/>
                      <w:lang w:bidi="ar"/>
                    </w:rPr>
                  </w:pPr>
                  <w:r>
                    <w:rPr>
                      <w:kern w:val="0"/>
                      <w:szCs w:val="21"/>
                      <w:u w:val="none"/>
                      <w:lang w:bidi="ar"/>
                    </w:rPr>
                    <w:t>运输危险废物，必须采取防止污染环境的措施，并遵守国家有关危险废物运输管理的规定</w:t>
                  </w:r>
                  <w:r>
                    <w:rPr>
                      <w:rFonts w:hint="eastAsia"/>
                      <w:kern w:val="0"/>
                      <w:szCs w:val="21"/>
                      <w:u w:val="none"/>
                      <w:lang w:bidi="ar"/>
                    </w:rPr>
                    <w:t>。</w:t>
                  </w:r>
                </w:p>
              </w:tc>
              <w:tc>
                <w:tcPr>
                  <w:tcW w:w="2200" w:type="pct"/>
                  <w:vMerge w:val="continue"/>
                  <w:vAlign w:val="center"/>
                </w:tcPr>
                <w:p w14:paraId="113B4902">
                  <w:pPr>
                    <w:wordWrap w:val="0"/>
                    <w:jc w:val="center"/>
                    <w:rPr>
                      <w:szCs w:val="21"/>
                      <w:u w:val="none"/>
                    </w:rPr>
                  </w:pPr>
                </w:p>
              </w:tc>
              <w:tc>
                <w:tcPr>
                  <w:tcW w:w="433" w:type="pct"/>
                  <w:vMerge w:val="continue"/>
                  <w:vAlign w:val="center"/>
                </w:tcPr>
                <w:p w14:paraId="4B9687DB">
                  <w:pPr>
                    <w:wordWrap w:val="0"/>
                    <w:jc w:val="center"/>
                    <w:rPr>
                      <w:szCs w:val="21"/>
                      <w:u w:val="none"/>
                    </w:rPr>
                  </w:pPr>
                </w:p>
              </w:tc>
            </w:tr>
          </w:tbl>
          <w:p w14:paraId="2FBD1119">
            <w:pPr>
              <w:spacing w:line="360" w:lineRule="auto"/>
              <w:ind w:firstLine="480" w:firstLineChars="200"/>
              <w:rPr>
                <w:rFonts w:ascii="宋体" w:hAnsi="宋体" w:cs="宋体"/>
                <w:sz w:val="24"/>
                <w:u w:val="none"/>
              </w:rPr>
            </w:pPr>
            <w:r>
              <w:rPr>
                <w:sz w:val="24"/>
                <w:u w:val="none"/>
              </w:rPr>
              <w:t>综上所述，本项目符合《云南宣威经济技术开发区总体规划修编（2020</w:t>
            </w:r>
            <w:r>
              <w:rPr>
                <w:rFonts w:hint="eastAsia"/>
                <w:sz w:val="24"/>
                <w:u w:val="none"/>
              </w:rPr>
              <w:t>—</w:t>
            </w:r>
            <w:r>
              <w:rPr>
                <w:sz w:val="24"/>
                <w:u w:val="none"/>
              </w:rPr>
              <w:t>2035）》</w:t>
            </w:r>
            <w:r>
              <w:rPr>
                <w:kern w:val="0"/>
                <w:sz w:val="24"/>
                <w:u w:val="none"/>
                <w:lang w:bidi="ar"/>
              </w:rPr>
              <w:t>中的相关要求。</w:t>
            </w:r>
          </w:p>
          <w:p w14:paraId="5772A464">
            <w:pPr>
              <w:numPr>
                <w:ilvl w:val="0"/>
                <w:numId w:val="4"/>
              </w:numPr>
              <w:spacing w:line="360" w:lineRule="auto"/>
              <w:ind w:firstLine="482"/>
              <w:rPr>
                <w:b/>
                <w:bCs/>
                <w:sz w:val="24"/>
                <w:u w:val="none"/>
              </w:rPr>
            </w:pPr>
            <w:r>
              <w:rPr>
                <w:b/>
                <w:bCs/>
                <w:sz w:val="24"/>
                <w:u w:val="none"/>
              </w:rPr>
              <w:t>与规划</w:t>
            </w:r>
            <w:r>
              <w:rPr>
                <w:rFonts w:hint="eastAsia"/>
                <w:b/>
                <w:bCs/>
                <w:sz w:val="24"/>
                <w:u w:val="none"/>
              </w:rPr>
              <w:t>环境影响报告书、</w:t>
            </w:r>
            <w:r>
              <w:rPr>
                <w:b/>
                <w:bCs/>
                <w:sz w:val="24"/>
                <w:u w:val="none"/>
              </w:rPr>
              <w:t>结论及</w:t>
            </w:r>
            <w:r>
              <w:rPr>
                <w:rFonts w:hint="eastAsia"/>
                <w:b/>
                <w:bCs/>
                <w:sz w:val="24"/>
                <w:u w:val="none"/>
              </w:rPr>
              <w:t>规划环评</w:t>
            </w:r>
            <w:r>
              <w:rPr>
                <w:b/>
                <w:bCs/>
                <w:sz w:val="24"/>
                <w:u w:val="none"/>
              </w:rPr>
              <w:t>审查意见的符合性分析</w:t>
            </w:r>
          </w:p>
          <w:p w14:paraId="5EF33DC5">
            <w:pPr>
              <w:spacing w:line="360" w:lineRule="auto"/>
              <w:ind w:firstLine="482" w:firstLineChars="200"/>
              <w:rPr>
                <w:b/>
                <w:bCs/>
                <w:sz w:val="24"/>
                <w:u w:val="none"/>
              </w:rPr>
            </w:pPr>
            <w:r>
              <w:rPr>
                <w:rFonts w:hint="eastAsia"/>
                <w:b/>
                <w:bCs/>
                <w:sz w:val="24"/>
                <w:u w:val="none"/>
              </w:rPr>
              <w:t>（1）</w:t>
            </w:r>
            <w:r>
              <w:rPr>
                <w:b/>
                <w:bCs/>
                <w:sz w:val="24"/>
                <w:u w:val="none"/>
              </w:rPr>
              <w:t>与规划环评结论的符合性分析</w:t>
            </w:r>
          </w:p>
          <w:p w14:paraId="7C54EC24">
            <w:pPr>
              <w:spacing w:line="360" w:lineRule="auto"/>
              <w:ind w:firstLine="480" w:firstLineChars="200"/>
              <w:rPr>
                <w:sz w:val="24"/>
                <w:u w:val="none"/>
              </w:rPr>
            </w:pPr>
            <w:r>
              <w:rPr>
                <w:sz w:val="24"/>
                <w:u w:val="none"/>
              </w:rPr>
              <w:t>本项目位于</w:t>
            </w:r>
            <w:r>
              <w:rPr>
                <w:rFonts w:hint="eastAsia"/>
                <w:sz w:val="24"/>
                <w:u w:val="none"/>
              </w:rPr>
              <w:t>羊场</w:t>
            </w:r>
            <w:r>
              <w:rPr>
                <w:sz w:val="24"/>
                <w:u w:val="none"/>
              </w:rPr>
              <w:t>产业园内，属于</w:t>
            </w:r>
            <w:r>
              <w:rPr>
                <w:rFonts w:hint="eastAsia" w:ascii="宋体" w:hAnsi="宋体" w:cs="宋体"/>
                <w:sz w:val="24"/>
                <w:u w:val="none"/>
              </w:rPr>
              <w:t>“重点管控区域”，</w:t>
            </w:r>
            <w:r>
              <w:rPr>
                <w:sz w:val="24"/>
                <w:u w:val="none"/>
              </w:rPr>
              <w:t>根据《云南宣威经济技术开发区总体规划修编</w:t>
            </w:r>
            <w:r>
              <w:rPr>
                <w:rFonts w:hint="eastAsia"/>
                <w:sz w:val="24"/>
                <w:u w:val="none"/>
              </w:rPr>
              <w:t>（</w:t>
            </w:r>
            <w:r>
              <w:rPr>
                <w:sz w:val="24"/>
                <w:u w:val="none"/>
              </w:rPr>
              <w:t>2020</w:t>
            </w:r>
            <w:r>
              <w:rPr>
                <w:rFonts w:hint="eastAsia"/>
                <w:sz w:val="24"/>
                <w:u w:val="none"/>
              </w:rPr>
              <w:t>—</w:t>
            </w:r>
            <w:r>
              <w:rPr>
                <w:sz w:val="24"/>
                <w:u w:val="none"/>
              </w:rPr>
              <w:t>2035</w:t>
            </w:r>
            <w:r>
              <w:rPr>
                <w:rFonts w:hint="eastAsia"/>
                <w:sz w:val="24"/>
                <w:u w:val="none"/>
              </w:rPr>
              <w:t>）</w:t>
            </w:r>
            <w:r>
              <w:rPr>
                <w:sz w:val="24"/>
                <w:u w:val="none"/>
              </w:rPr>
              <w:t>》规划环评结论关</w:t>
            </w:r>
            <w:r>
              <w:rPr>
                <w:rFonts w:hint="eastAsia" w:ascii="宋体" w:hAnsi="宋体" w:cs="宋体"/>
                <w:sz w:val="24"/>
                <w:u w:val="none"/>
              </w:rPr>
              <w:t>于“规划区重点管控区域生态空间环境准入清单”有关</w:t>
            </w:r>
            <w:r>
              <w:rPr>
                <w:sz w:val="24"/>
                <w:u w:val="none"/>
              </w:rPr>
              <w:t>要求，本报告</w:t>
            </w:r>
            <w:r>
              <w:rPr>
                <w:rFonts w:hint="eastAsia" w:ascii="宋体" w:hAnsi="宋体" w:cs="宋体"/>
                <w:sz w:val="24"/>
                <w:u w:val="none"/>
              </w:rPr>
              <w:t>从“管理要求、资源节约规划相关要求、碳减排规划相关要求、空间布局约束、污染物排放管控、环境风险防控”方</w:t>
            </w:r>
            <w:r>
              <w:rPr>
                <w:sz w:val="24"/>
                <w:u w:val="none"/>
              </w:rPr>
              <w:t>面分析与本项目相关的准入要求，具体如下表1-</w:t>
            </w:r>
            <w:r>
              <w:rPr>
                <w:rFonts w:hint="eastAsia"/>
                <w:sz w:val="24"/>
                <w:u w:val="none"/>
              </w:rPr>
              <w:t>3所示</w:t>
            </w:r>
            <w:r>
              <w:rPr>
                <w:sz w:val="24"/>
                <w:u w:val="none"/>
              </w:rPr>
              <w:t>。</w:t>
            </w:r>
          </w:p>
          <w:p w14:paraId="247FE80F">
            <w:pPr>
              <w:snapToGrid w:val="0"/>
              <w:ind w:left="420" w:hanging="420"/>
              <w:jc w:val="center"/>
              <w:rPr>
                <w:sz w:val="24"/>
                <w:u w:val="none"/>
              </w:rPr>
            </w:pPr>
            <w:r>
              <w:rPr>
                <w:b/>
                <w:bCs/>
                <w:szCs w:val="21"/>
                <w:u w:val="none"/>
              </w:rPr>
              <w:t>表1-</w:t>
            </w:r>
            <w:r>
              <w:rPr>
                <w:rFonts w:hint="eastAsia"/>
                <w:b/>
                <w:bCs/>
                <w:szCs w:val="21"/>
                <w:u w:val="none"/>
              </w:rPr>
              <w:t>3</w:t>
            </w:r>
            <w:r>
              <w:rPr>
                <w:b/>
                <w:bCs/>
                <w:szCs w:val="21"/>
                <w:u w:val="none"/>
              </w:rPr>
              <w:t xml:space="preserve"> </w:t>
            </w:r>
            <w:r>
              <w:rPr>
                <w:rFonts w:hint="eastAsia"/>
                <w:b/>
                <w:bCs/>
                <w:szCs w:val="21"/>
                <w:u w:val="none"/>
              </w:rPr>
              <w:t>与</w:t>
            </w:r>
            <w:r>
              <w:rPr>
                <w:rFonts w:hint="eastAsia"/>
                <w:b/>
                <w:szCs w:val="21"/>
                <w:u w:val="none"/>
                <w:lang w:val="zh-TW"/>
              </w:rPr>
              <w:t>“</w:t>
            </w:r>
            <w:r>
              <w:rPr>
                <w:b/>
                <w:szCs w:val="21"/>
                <w:u w:val="none"/>
                <w:lang w:val="zh-TW" w:eastAsia="zh-TW"/>
              </w:rPr>
              <w:t>规划区重点管控区域生态空间环境准入清单</w:t>
            </w:r>
            <w:r>
              <w:rPr>
                <w:rFonts w:hint="eastAsia"/>
                <w:b/>
                <w:szCs w:val="21"/>
                <w:u w:val="none"/>
                <w:lang w:val="zh-TW"/>
              </w:rPr>
              <w:t>”</w:t>
            </w:r>
            <w:r>
              <w:rPr>
                <w:b/>
                <w:szCs w:val="21"/>
                <w:u w:val="none"/>
                <w:lang w:val="zh-TW" w:eastAsia="zh-TW"/>
              </w:rPr>
              <w:t>符合性分析一览</w:t>
            </w:r>
            <w:r>
              <w:rPr>
                <w:rFonts w:hint="eastAsia"/>
                <w:b/>
                <w:szCs w:val="21"/>
                <w:u w:val="none"/>
              </w:rPr>
              <w:t>表</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3355"/>
              <w:gridCol w:w="2268"/>
              <w:gridCol w:w="427"/>
            </w:tblGrid>
            <w:tr w14:paraId="027F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pct"/>
                  <w:gridSpan w:val="3"/>
                  <w:vAlign w:val="center"/>
                </w:tcPr>
                <w:p w14:paraId="1E3DB972">
                  <w:pPr>
                    <w:jc w:val="center"/>
                    <w:rPr>
                      <w:szCs w:val="21"/>
                      <w:u w:val="none"/>
                    </w:rPr>
                  </w:pPr>
                  <w:r>
                    <w:rPr>
                      <w:szCs w:val="21"/>
                      <w:u w:val="none"/>
                    </w:rPr>
                    <w:t>规划环评相关要求</w:t>
                  </w:r>
                </w:p>
              </w:tc>
              <w:tc>
                <w:tcPr>
                  <w:tcW w:w="1643" w:type="pct"/>
                  <w:vAlign w:val="center"/>
                </w:tcPr>
                <w:p w14:paraId="5A0A4517">
                  <w:pPr>
                    <w:jc w:val="center"/>
                    <w:rPr>
                      <w:szCs w:val="21"/>
                      <w:u w:val="none"/>
                    </w:rPr>
                  </w:pPr>
                  <w:r>
                    <w:rPr>
                      <w:rFonts w:hint="eastAsia"/>
                      <w:szCs w:val="21"/>
                      <w:u w:val="none"/>
                    </w:rPr>
                    <w:t>本项目情况</w:t>
                  </w:r>
                </w:p>
              </w:tc>
              <w:tc>
                <w:tcPr>
                  <w:tcW w:w="309" w:type="pct"/>
                  <w:vAlign w:val="center"/>
                </w:tcPr>
                <w:p w14:paraId="0E69DFDF">
                  <w:pPr>
                    <w:jc w:val="center"/>
                    <w:rPr>
                      <w:szCs w:val="21"/>
                      <w:u w:val="none"/>
                    </w:rPr>
                  </w:pPr>
                  <w:r>
                    <w:rPr>
                      <w:rFonts w:hint="eastAsia"/>
                      <w:szCs w:val="21"/>
                      <w:u w:val="none"/>
                    </w:rPr>
                    <w:t>相符性</w:t>
                  </w:r>
                </w:p>
              </w:tc>
            </w:tr>
            <w:tr w14:paraId="35B2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gridSpan w:val="2"/>
                  <w:vMerge w:val="restart"/>
                  <w:vAlign w:val="center"/>
                </w:tcPr>
                <w:p w14:paraId="13CABFFE">
                  <w:pPr>
                    <w:jc w:val="center"/>
                    <w:rPr>
                      <w:rFonts w:ascii="宋体" w:hAnsi="宋体" w:cs="宋体"/>
                      <w:kern w:val="0"/>
                      <w:szCs w:val="21"/>
                      <w:u w:val="none"/>
                      <w:lang w:bidi="ar"/>
                    </w:rPr>
                  </w:pPr>
                  <w:r>
                    <w:rPr>
                      <w:rFonts w:hint="eastAsia" w:ascii="宋体" w:hAnsi="宋体" w:cs="宋体"/>
                      <w:kern w:val="0"/>
                      <w:szCs w:val="21"/>
                      <w:u w:val="none"/>
                      <w:lang w:bidi="ar"/>
                    </w:rPr>
                    <w:t>管理要求</w:t>
                  </w:r>
                </w:p>
              </w:tc>
              <w:tc>
                <w:tcPr>
                  <w:tcW w:w="2430" w:type="pct"/>
                  <w:vAlign w:val="center"/>
                </w:tcPr>
                <w:p w14:paraId="135682E9">
                  <w:pPr>
                    <w:jc w:val="center"/>
                    <w:rPr>
                      <w:szCs w:val="21"/>
                      <w:u w:val="none"/>
                    </w:rPr>
                  </w:pPr>
                  <w:r>
                    <w:rPr>
                      <w:szCs w:val="21"/>
                      <w:u w:val="none"/>
                    </w:rPr>
                    <w:t>严格执行《产业结构调整指导目录（2019年本）</w:t>
                  </w:r>
                  <w:r>
                    <w:rPr>
                      <w:rFonts w:hint="eastAsia"/>
                      <w:szCs w:val="21"/>
                      <w:u w:val="none"/>
                    </w:rPr>
                    <w:t>》《</w:t>
                  </w:r>
                  <w:r>
                    <w:rPr>
                      <w:szCs w:val="21"/>
                      <w:u w:val="none"/>
                    </w:rPr>
                    <w:t>市场准入负面清单（2018年版）》、行业准入条件等准入门槛及相关政策，鼓励引进低投入、低消耗、低污染、高产出的项目；严格执行《曲靖市人民政府关于印发曲靖市</w:t>
                  </w:r>
                  <w:r>
                    <w:rPr>
                      <w:rFonts w:hint="eastAsia" w:ascii="宋体" w:hAnsi="宋体" w:cs="宋体"/>
                      <w:szCs w:val="21"/>
                      <w:u w:val="none"/>
                    </w:rPr>
                    <w:t>“三线一单”</w:t>
                  </w:r>
                  <w:r>
                    <w:rPr>
                      <w:rFonts w:hint="eastAsia"/>
                      <w:szCs w:val="21"/>
                      <w:u w:val="none"/>
                    </w:rPr>
                    <w:t>生态环境分区管控</w:t>
                  </w:r>
                  <w:r>
                    <w:rPr>
                      <w:szCs w:val="21"/>
                      <w:u w:val="none"/>
                    </w:rPr>
                    <w:t>实施方案的通知》（曲政发</w:t>
                  </w:r>
                  <w:r>
                    <w:rPr>
                      <w:rFonts w:hint="eastAsia"/>
                      <w:szCs w:val="21"/>
                      <w:u w:val="none"/>
                    </w:rPr>
                    <w:t>〔2021〕27号</w:t>
                  </w:r>
                  <w:r>
                    <w:rPr>
                      <w:szCs w:val="21"/>
                      <w:u w:val="none"/>
                    </w:rPr>
                    <w:t>）</w:t>
                  </w:r>
                  <w:r>
                    <w:rPr>
                      <w:rFonts w:hint="eastAsia"/>
                      <w:szCs w:val="21"/>
                      <w:u w:val="none"/>
                    </w:rPr>
                    <w:t>。</w:t>
                  </w:r>
                </w:p>
              </w:tc>
              <w:tc>
                <w:tcPr>
                  <w:tcW w:w="1643" w:type="pct"/>
                  <w:vAlign w:val="center"/>
                </w:tcPr>
                <w:p w14:paraId="2781DC96">
                  <w:pPr>
                    <w:widowControl/>
                    <w:jc w:val="center"/>
                    <w:rPr>
                      <w:szCs w:val="21"/>
                      <w:u w:val="none"/>
                    </w:rPr>
                  </w:pPr>
                  <w:r>
                    <w:rPr>
                      <w:szCs w:val="21"/>
                      <w:u w:val="none"/>
                    </w:rPr>
                    <w:t>本项目符合产业政策、行业准入条件，按照现行堆场环境保护管理要求建设堆场，改善磷矿堆存对环境的影响，项目符</w:t>
                  </w:r>
                  <w:r>
                    <w:rPr>
                      <w:rFonts w:hint="eastAsia" w:ascii="宋体" w:hAnsi="宋体" w:cs="宋体"/>
                      <w:szCs w:val="21"/>
                      <w:u w:val="none"/>
                    </w:rPr>
                    <w:t>合“三线一单”</w:t>
                  </w:r>
                  <w:r>
                    <w:rPr>
                      <w:szCs w:val="21"/>
                      <w:u w:val="none"/>
                    </w:rPr>
                    <w:t>要求。</w:t>
                  </w:r>
                </w:p>
              </w:tc>
              <w:tc>
                <w:tcPr>
                  <w:tcW w:w="309" w:type="pct"/>
                  <w:vAlign w:val="center"/>
                </w:tcPr>
                <w:p w14:paraId="0D51A5DB">
                  <w:pPr>
                    <w:jc w:val="center"/>
                    <w:rPr>
                      <w:szCs w:val="21"/>
                      <w:u w:val="none"/>
                    </w:rPr>
                  </w:pPr>
                  <w:r>
                    <w:rPr>
                      <w:rFonts w:hint="eastAsia"/>
                      <w:szCs w:val="21"/>
                      <w:u w:val="none"/>
                    </w:rPr>
                    <w:t>符合</w:t>
                  </w:r>
                </w:p>
              </w:tc>
            </w:tr>
            <w:tr w14:paraId="1FCE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gridSpan w:val="2"/>
                  <w:vMerge w:val="continue"/>
                  <w:vAlign w:val="center"/>
                </w:tcPr>
                <w:p w14:paraId="0781D2E5">
                  <w:pPr>
                    <w:jc w:val="center"/>
                    <w:rPr>
                      <w:kern w:val="0"/>
                      <w:szCs w:val="21"/>
                      <w:u w:val="none"/>
                      <w:lang w:bidi="ar"/>
                    </w:rPr>
                  </w:pPr>
                </w:p>
              </w:tc>
              <w:tc>
                <w:tcPr>
                  <w:tcW w:w="2430" w:type="pct"/>
                  <w:vAlign w:val="center"/>
                </w:tcPr>
                <w:p w14:paraId="617DCDD0">
                  <w:pPr>
                    <w:jc w:val="center"/>
                    <w:rPr>
                      <w:szCs w:val="21"/>
                      <w:u w:val="none"/>
                    </w:rPr>
                  </w:pPr>
                  <w:r>
                    <w:rPr>
                      <w:szCs w:val="21"/>
                      <w:u w:val="none"/>
                    </w:rPr>
                    <w:t>入驻项目要落实废气污染物、水污染物排放总量控制和污染物达标排放管理，最大限度减少污染物的排放，以及区域节能减排目标的实现，同时应督办工业企业实行排污许可证制度。</w:t>
                  </w:r>
                </w:p>
              </w:tc>
              <w:tc>
                <w:tcPr>
                  <w:tcW w:w="1643" w:type="pct"/>
                  <w:vAlign w:val="center"/>
                </w:tcPr>
                <w:p w14:paraId="124B50CC">
                  <w:pPr>
                    <w:jc w:val="center"/>
                    <w:rPr>
                      <w:szCs w:val="21"/>
                      <w:u w:val="none"/>
                    </w:rPr>
                  </w:pPr>
                  <w:r>
                    <w:rPr>
                      <w:szCs w:val="21"/>
                      <w:u w:val="none"/>
                    </w:rPr>
                    <w:t>项目拟建防尘设施，最大限度减少污染物的排放；</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w:t>
                  </w:r>
                  <w:r>
                    <w:rPr>
                      <w:rFonts w:hint="eastAsia"/>
                      <w:szCs w:val="21"/>
                      <w:u w:val="none"/>
                    </w:rPr>
                    <w:t>生产</w:t>
                  </w:r>
                  <w:r>
                    <w:rPr>
                      <w:szCs w:val="21"/>
                      <w:u w:val="none"/>
                    </w:rPr>
                    <w:t>工艺过程不涉及工艺废水排放。</w:t>
                  </w:r>
                </w:p>
              </w:tc>
              <w:tc>
                <w:tcPr>
                  <w:tcW w:w="309" w:type="pct"/>
                  <w:vAlign w:val="center"/>
                </w:tcPr>
                <w:p w14:paraId="4F77F511">
                  <w:pPr>
                    <w:jc w:val="center"/>
                    <w:rPr>
                      <w:szCs w:val="21"/>
                      <w:u w:val="none"/>
                    </w:rPr>
                  </w:pPr>
                  <w:r>
                    <w:rPr>
                      <w:szCs w:val="21"/>
                      <w:u w:val="thick" w:color="FFB03A"/>
                      <w:shd w:val="clear" w:fill="FFEFD7"/>
                    </w:rPr>
                    <w:t>符合</w:t>
                  </w:r>
                </w:p>
              </w:tc>
            </w:tr>
            <w:tr w14:paraId="3D2E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gridSpan w:val="2"/>
                  <w:vMerge w:val="continue"/>
                  <w:vAlign w:val="center"/>
                </w:tcPr>
                <w:p w14:paraId="6E8D808D">
                  <w:pPr>
                    <w:jc w:val="center"/>
                    <w:rPr>
                      <w:kern w:val="0"/>
                      <w:szCs w:val="21"/>
                      <w:u w:val="none"/>
                      <w:lang w:bidi="ar"/>
                    </w:rPr>
                  </w:pPr>
                </w:p>
              </w:tc>
              <w:tc>
                <w:tcPr>
                  <w:tcW w:w="2430" w:type="pct"/>
                  <w:vAlign w:val="center"/>
                </w:tcPr>
                <w:p w14:paraId="56CE9A92">
                  <w:pPr>
                    <w:jc w:val="center"/>
                    <w:rPr>
                      <w:szCs w:val="21"/>
                      <w:u w:val="none"/>
                    </w:rPr>
                  </w:pPr>
                  <w:r>
                    <w:rPr>
                      <w:szCs w:val="21"/>
                      <w:u w:val="none"/>
                    </w:rPr>
                    <w:t>推进产业绿色化改造，全面开展绿色生产</w:t>
                  </w:r>
                  <w:r>
                    <w:rPr>
                      <w:rFonts w:hint="eastAsia"/>
                      <w:szCs w:val="21"/>
                      <w:u w:val="none"/>
                    </w:rPr>
                    <w:t>。</w:t>
                  </w:r>
                  <w:r>
                    <w:rPr>
                      <w:szCs w:val="21"/>
                      <w:u w:val="none"/>
                    </w:rPr>
                    <w:t>积极发展绿色装备制造、环保产业、工业资源综合利用，提升绿色产业比重。推进园区绿色产业发展和减少废气、废水等污染物排放。</w:t>
                  </w:r>
                </w:p>
              </w:tc>
              <w:tc>
                <w:tcPr>
                  <w:tcW w:w="1643" w:type="pct"/>
                  <w:vAlign w:val="center"/>
                </w:tcPr>
                <w:p w14:paraId="72CECB08">
                  <w:pPr>
                    <w:jc w:val="center"/>
                    <w:rPr>
                      <w:szCs w:val="21"/>
                      <w:u w:val="none"/>
                    </w:rPr>
                  </w:pPr>
                  <w:r>
                    <w:rPr>
                      <w:szCs w:val="21"/>
                      <w:u w:val="none"/>
                    </w:rPr>
                    <w:t>本项目实施有利于规范磷矿石堆场，减少粉尘排放，减轻环境影响，对推动园区绿色产业发展有利。</w:t>
                  </w:r>
                </w:p>
              </w:tc>
              <w:tc>
                <w:tcPr>
                  <w:tcW w:w="309" w:type="pct"/>
                  <w:vAlign w:val="center"/>
                </w:tcPr>
                <w:p w14:paraId="4CC6BF66">
                  <w:pPr>
                    <w:jc w:val="center"/>
                    <w:rPr>
                      <w:szCs w:val="21"/>
                      <w:u w:val="none"/>
                    </w:rPr>
                  </w:pPr>
                  <w:r>
                    <w:rPr>
                      <w:rFonts w:hint="eastAsia"/>
                      <w:szCs w:val="21"/>
                      <w:u w:val="none"/>
                    </w:rPr>
                    <w:t>符合</w:t>
                  </w:r>
                </w:p>
              </w:tc>
            </w:tr>
            <w:tr w14:paraId="6AE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gridSpan w:val="2"/>
                </w:tcPr>
                <w:p w14:paraId="5B492CB2">
                  <w:pPr>
                    <w:rPr>
                      <w:szCs w:val="21"/>
                      <w:u w:val="none"/>
                    </w:rPr>
                  </w:pPr>
                  <w:r>
                    <w:rPr>
                      <w:rFonts w:hint="eastAsia"/>
                      <w:szCs w:val="21"/>
                      <w:u w:val="none"/>
                    </w:rPr>
                    <w:t>资源节约规划相关要求</w:t>
                  </w:r>
                </w:p>
              </w:tc>
              <w:tc>
                <w:tcPr>
                  <w:tcW w:w="2430" w:type="pct"/>
                </w:tcPr>
                <w:p w14:paraId="0CDA37A6">
                  <w:pPr>
                    <w:jc w:val="center"/>
                    <w:rPr>
                      <w:u w:val="none"/>
                    </w:rPr>
                  </w:pPr>
                  <w:r>
                    <w:rPr>
                      <w:u w:val="none"/>
                    </w:rPr>
                    <w:t>推动能源转型</w:t>
                  </w:r>
                  <w:r>
                    <w:rPr>
                      <w:rFonts w:hint="eastAsia"/>
                      <w:u w:val="none"/>
                    </w:rPr>
                    <w:t>，</w:t>
                  </w:r>
                  <w:r>
                    <w:rPr>
                      <w:u w:val="none"/>
                    </w:rPr>
                    <w:t>优化能源消耗方式，提升能源效率。积极推进规划区内主要企业煤改气、煤改电工程，提升能源利用效率、减少碳排放；</w:t>
                  </w:r>
                </w:p>
                <w:p w14:paraId="6EFC1F6E">
                  <w:pPr>
                    <w:jc w:val="center"/>
                    <w:rPr>
                      <w:szCs w:val="21"/>
                      <w:u w:val="none"/>
                    </w:rPr>
                  </w:pPr>
                  <w:r>
                    <w:rPr>
                      <w:rFonts w:hint="eastAsia"/>
                      <w:u w:val="none"/>
                    </w:rPr>
                    <w:t xml:space="preserve">  </w:t>
                  </w:r>
                  <w:r>
                    <w:rPr>
                      <w:u w:val="none"/>
                    </w:rPr>
                    <w:t>推动传统高耗能产业优化升级，培育壮大战略性新兴产业，坚决遏</w:t>
                  </w:r>
                  <w:r>
                    <w:rPr>
                      <w:rFonts w:hint="eastAsia" w:ascii="宋体" w:hAnsi="宋体" w:cs="宋体"/>
                      <w:u w:val="none"/>
                    </w:rPr>
                    <w:t>制“两高”</w:t>
                  </w:r>
                  <w:r>
                    <w:rPr>
                      <w:u w:val="none"/>
                    </w:rPr>
                    <w:t>项目盲目发展；推动重点行业节能，控制工业生产过程排放；产业循环式组合，园区循环式发展，加快对现有园区的磷化工产业循环化改造升级，衍生产业链，提高产业关联度，实现土地、资源、能源的</w:t>
                  </w:r>
                  <w:r>
                    <w:rPr>
                      <w:szCs w:val="21"/>
                      <w:u w:val="none"/>
                    </w:rPr>
                    <w:t>高效利用，开展清洁生产行动，建立企业清洁生产长效管理机制。</w:t>
                  </w:r>
                </w:p>
                <w:p w14:paraId="656D6819">
                  <w:pPr>
                    <w:jc w:val="center"/>
                    <w:rPr>
                      <w:szCs w:val="21"/>
                      <w:u w:val="none"/>
                    </w:rPr>
                  </w:pPr>
                  <w:r>
                    <w:rPr>
                      <w:rFonts w:hint="eastAsia"/>
                      <w:szCs w:val="21"/>
                      <w:u w:val="none"/>
                    </w:rPr>
                    <w:t xml:space="preserve">   </w:t>
                  </w:r>
                  <w:r>
                    <w:rPr>
                      <w:szCs w:val="21"/>
                      <w:u w:val="none"/>
                    </w:rPr>
                    <w:t>加大对入驻企业的监督管理，合理分配企业的用水量，限制耗水量大的企业入驻；鼓励引进耗水量小，对水质要求不高的企业入驻园区，提高园区的水资源利用率；</w:t>
                  </w:r>
                </w:p>
                <w:p w14:paraId="7F30D1F5">
                  <w:pPr>
                    <w:jc w:val="center"/>
                    <w:rPr>
                      <w:szCs w:val="21"/>
                      <w:u w:val="none"/>
                    </w:rPr>
                  </w:pPr>
                  <w:r>
                    <w:rPr>
                      <w:rFonts w:hint="eastAsia"/>
                      <w:szCs w:val="21"/>
                      <w:u w:val="none"/>
                    </w:rPr>
                    <w:t xml:space="preserve">  </w:t>
                  </w:r>
                  <w:r>
                    <w:rPr>
                      <w:szCs w:val="21"/>
                      <w:u w:val="none"/>
                    </w:rPr>
                    <w:t>园区开发中应合理调配土地资源，在建设用地范围内合理布局建设项目，提高土地节约集约利用水平，减少土壤污染。</w:t>
                  </w:r>
                </w:p>
                <w:p w14:paraId="767B1C5E">
                  <w:pPr>
                    <w:jc w:val="center"/>
                    <w:rPr>
                      <w:u w:val="none"/>
                    </w:rPr>
                  </w:pPr>
                  <w:r>
                    <w:rPr>
                      <w:rFonts w:hint="eastAsia"/>
                      <w:szCs w:val="21"/>
                      <w:u w:val="none"/>
                    </w:rPr>
                    <w:t xml:space="preserve">  </w:t>
                  </w:r>
                  <w:r>
                    <w:rPr>
                      <w:szCs w:val="21"/>
                      <w:u w:val="none"/>
                    </w:rPr>
                    <w:t>固废资源综合利用：羊场产业园</w:t>
                  </w:r>
                  <w:r>
                    <w:rPr>
                      <w:rFonts w:hint="eastAsia"/>
                      <w:szCs w:val="21"/>
                      <w:u w:val="none"/>
                    </w:rPr>
                    <w:t>一</w:t>
                  </w:r>
                  <w:r>
                    <w:rPr>
                      <w:szCs w:val="21"/>
                      <w:u w:val="none"/>
                    </w:rPr>
                    <w:t>般工业固废严格遵循</w:t>
                  </w:r>
                  <w:r>
                    <w:rPr>
                      <w:rFonts w:hint="eastAsia" w:ascii="宋体" w:hAnsi="宋体" w:cs="宋体"/>
                      <w:szCs w:val="21"/>
                      <w:u w:val="none"/>
                    </w:rPr>
                    <w:t>“减量化、资源化、无害化”原</w:t>
                  </w:r>
                  <w:r>
                    <w:rPr>
                      <w:szCs w:val="21"/>
                      <w:u w:val="none"/>
                    </w:rPr>
                    <w:t>则，优先考虑固废综合利用，实现循环经济理念，充分提高资源综合利用效率，暂时无法消纳的一般工业固废采取专用渣场进行无害化堆存处置。</w:t>
                  </w:r>
                </w:p>
              </w:tc>
              <w:tc>
                <w:tcPr>
                  <w:tcW w:w="1643" w:type="pct"/>
                  <w:vAlign w:val="center"/>
                </w:tcPr>
                <w:p w14:paraId="01920DDC">
                  <w:pPr>
                    <w:jc w:val="center"/>
                    <w:rPr>
                      <w:szCs w:val="21"/>
                      <w:u w:val="none"/>
                    </w:rPr>
                  </w:pPr>
                  <w:r>
                    <w:rPr>
                      <w:szCs w:val="21"/>
                      <w:u w:val="none"/>
                    </w:rPr>
                    <w:t>项目为</w:t>
                  </w:r>
                  <w:r>
                    <w:rPr>
                      <w:rFonts w:hint="eastAsia"/>
                      <w:szCs w:val="21"/>
                      <w:u w:val="none"/>
                    </w:rPr>
                    <w:t>“</w:t>
                  </w:r>
                  <w:r>
                    <w:rPr>
                      <w:szCs w:val="21"/>
                      <w:u w:val="none"/>
                    </w:rPr>
                    <w:t>云南宣威磷电有限责任公司8万t/a黄磷生产项目</w:t>
                  </w:r>
                  <w:r>
                    <w:rPr>
                      <w:rFonts w:hint="eastAsia"/>
                      <w:szCs w:val="21"/>
                      <w:u w:val="none"/>
                    </w:rPr>
                    <w:t>”</w:t>
                  </w:r>
                  <w:r>
                    <w:rPr>
                      <w:szCs w:val="21"/>
                      <w:u w:val="none"/>
                    </w:rPr>
                    <w:t>的原料集运工程，不属于</w:t>
                  </w:r>
                  <w:r>
                    <w:rPr>
                      <w:rFonts w:hint="eastAsia" w:ascii="宋体" w:hAnsi="宋体" w:cs="宋体"/>
                      <w:szCs w:val="21"/>
                      <w:u w:val="none"/>
                    </w:rPr>
                    <w:t>“两高”项</w:t>
                  </w:r>
                  <w:r>
                    <w:rPr>
                      <w:szCs w:val="21"/>
                      <w:u w:val="none"/>
                    </w:rPr>
                    <w:t>目。本项目实施有利于规范云南宣威磷电有限责任公司原料</w:t>
                  </w:r>
                  <w:r>
                    <w:rPr>
                      <w:rFonts w:hint="eastAsia"/>
                      <w:szCs w:val="21"/>
                      <w:u w:val="none"/>
                    </w:rPr>
                    <w:t>堆</w:t>
                  </w:r>
                  <w:r>
                    <w:rPr>
                      <w:szCs w:val="21"/>
                      <w:u w:val="none"/>
                    </w:rPr>
                    <w:t>放，减少无组织粉尘的排放，实现土地、资源、能源的高效利用，项目用水量小，磷矿堆存过程不存在废水、工业固废产生，原料置于大棚堆存，地面采取硬化措施，项目实施不会污染土壤。本项目与园区资源节约相关规划要求相符。</w:t>
                  </w:r>
                </w:p>
              </w:tc>
              <w:tc>
                <w:tcPr>
                  <w:tcW w:w="309" w:type="pct"/>
                  <w:vAlign w:val="center"/>
                </w:tcPr>
                <w:p w14:paraId="17575ED6">
                  <w:pPr>
                    <w:jc w:val="center"/>
                    <w:rPr>
                      <w:szCs w:val="21"/>
                      <w:u w:val="none"/>
                    </w:rPr>
                  </w:pPr>
                  <w:r>
                    <w:rPr>
                      <w:szCs w:val="21"/>
                      <w:u w:val="none"/>
                    </w:rPr>
                    <w:t>符合</w:t>
                  </w:r>
                </w:p>
              </w:tc>
            </w:tr>
            <w:tr w14:paraId="2B2F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pct"/>
                  <w:gridSpan w:val="2"/>
                  <w:vAlign w:val="center"/>
                </w:tcPr>
                <w:p w14:paraId="44E9FD74">
                  <w:pPr>
                    <w:jc w:val="center"/>
                    <w:rPr>
                      <w:szCs w:val="21"/>
                      <w:u w:val="none"/>
                    </w:rPr>
                  </w:pPr>
                  <w:r>
                    <w:rPr>
                      <w:rFonts w:hint="eastAsia"/>
                      <w:szCs w:val="21"/>
                      <w:u w:val="none"/>
                    </w:rPr>
                    <w:t>碳减排规划相关要求</w:t>
                  </w:r>
                </w:p>
              </w:tc>
              <w:tc>
                <w:tcPr>
                  <w:tcW w:w="2430" w:type="pct"/>
                  <w:vAlign w:val="center"/>
                </w:tcPr>
                <w:p w14:paraId="242C9DC6">
                  <w:pPr>
                    <w:jc w:val="center"/>
                    <w:rPr>
                      <w:szCs w:val="21"/>
                      <w:u w:val="none"/>
                    </w:rPr>
                  </w:pPr>
                  <w:r>
                    <w:rPr>
                      <w:szCs w:val="21"/>
                      <w:u w:val="none"/>
                    </w:rPr>
                    <w:t>推动低碳管理，</w:t>
                  </w:r>
                  <w:r>
                    <w:rPr>
                      <w:rFonts w:hint="eastAsia"/>
                      <w:szCs w:val="21"/>
                      <w:u w:val="none"/>
                    </w:rPr>
                    <w:t>限制</w:t>
                  </w:r>
                  <w:r>
                    <w:rPr>
                      <w:szCs w:val="21"/>
                      <w:u w:val="none"/>
                    </w:rPr>
                    <w:t>落后的高耗能、高污染产业发展，在辅助产业中引入低能耗、低排放的新兴产业，发挥园区产业链共享能源以及污染物治理的独特优势，建设良好的产业链，实现经济与能源一体化的目标。推动循环经济及双碳产业发展。大力发展减碳、捕碳、替碳相关产业，鼓励发展余热余压回收综合利用、节能降耗改造、二氧化碳捕集等负碳技术产业，大力发展风能、光伏、氢能、电储能等替碳相关产业。推动能源转型，优化能源消耗方式，提升能源有效</w:t>
                  </w:r>
                  <w:r>
                    <w:rPr>
                      <w:szCs w:val="21"/>
                      <w:u w:val="thick" w:color="FFB03A"/>
                      <w:shd w:val="clear" w:fill="FFEFD7"/>
                    </w:rPr>
                    <w:t>利用</w:t>
                  </w:r>
                  <w:r>
                    <w:rPr>
                      <w:szCs w:val="21"/>
                      <w:u w:val="none"/>
                    </w:rPr>
                    <w:t>。大力推广天然气、可再生电力利用；充分利用园区磷化工积极发展环保产业。</w:t>
                  </w:r>
                </w:p>
              </w:tc>
              <w:tc>
                <w:tcPr>
                  <w:tcW w:w="1643" w:type="pct"/>
                  <w:vAlign w:val="center"/>
                </w:tcPr>
                <w:p w14:paraId="39376161">
                  <w:pPr>
                    <w:jc w:val="center"/>
                    <w:rPr>
                      <w:szCs w:val="21"/>
                      <w:u w:val="none"/>
                    </w:rPr>
                  </w:pPr>
                  <w:r>
                    <w:rPr>
                      <w:szCs w:val="21"/>
                      <w:u w:val="none"/>
                    </w:rPr>
                    <w:t>本项目不属</w:t>
                  </w:r>
                  <w:r>
                    <w:rPr>
                      <w:rFonts w:hint="eastAsia" w:ascii="宋体" w:hAnsi="宋体" w:cs="宋体"/>
                      <w:szCs w:val="21"/>
                      <w:u w:val="none"/>
                    </w:rPr>
                    <w:t>于“两高”</w:t>
                  </w:r>
                  <w:r>
                    <w:rPr>
                      <w:szCs w:val="21"/>
                      <w:u w:val="none"/>
                    </w:rPr>
                    <w:t>项目，能耗为电能</w:t>
                  </w:r>
                  <w:r>
                    <w:rPr>
                      <w:rFonts w:hint="eastAsia"/>
                      <w:szCs w:val="21"/>
                      <w:u w:val="none"/>
                    </w:rPr>
                    <w:t>和少量燃油</w:t>
                  </w:r>
                  <w:r>
                    <w:rPr>
                      <w:szCs w:val="21"/>
                      <w:u w:val="none"/>
                    </w:rPr>
                    <w:t>，实现经济与能源一体化的目标。与园区碳减排相关规划要求相符。</w:t>
                  </w:r>
                </w:p>
              </w:tc>
              <w:tc>
                <w:tcPr>
                  <w:tcW w:w="309" w:type="pct"/>
                  <w:vAlign w:val="center"/>
                </w:tcPr>
                <w:p w14:paraId="14DDB0E0">
                  <w:pPr>
                    <w:jc w:val="center"/>
                    <w:rPr>
                      <w:szCs w:val="21"/>
                      <w:u w:val="none"/>
                    </w:rPr>
                  </w:pPr>
                  <w:r>
                    <w:rPr>
                      <w:rFonts w:hint="eastAsia"/>
                      <w:szCs w:val="21"/>
                      <w:u w:val="none"/>
                    </w:rPr>
                    <w:t>符合</w:t>
                  </w:r>
                </w:p>
              </w:tc>
            </w:tr>
            <w:tr w14:paraId="683F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restart"/>
                  <w:vAlign w:val="center"/>
                </w:tcPr>
                <w:p w14:paraId="25A95E6A">
                  <w:pPr>
                    <w:jc w:val="center"/>
                    <w:rPr>
                      <w:rFonts w:ascii="宋体" w:hAnsi="宋体" w:cs="宋体"/>
                      <w:szCs w:val="21"/>
                      <w:u w:val="none"/>
                    </w:rPr>
                  </w:pPr>
                  <w:r>
                    <w:rPr>
                      <w:rFonts w:hint="eastAsia" w:ascii="宋体" w:hAnsi="宋体" w:cs="宋体"/>
                      <w:szCs w:val="21"/>
                      <w:u w:val="none"/>
                    </w:rPr>
                    <w:t>环境准入要求</w:t>
                  </w:r>
                </w:p>
              </w:tc>
              <w:tc>
                <w:tcPr>
                  <w:tcW w:w="308" w:type="pct"/>
                  <w:vAlign w:val="center"/>
                </w:tcPr>
                <w:p w14:paraId="3EC0CA64">
                  <w:pPr>
                    <w:jc w:val="center"/>
                    <w:rPr>
                      <w:rFonts w:ascii="宋体" w:hAnsi="宋体" w:cs="宋体"/>
                      <w:szCs w:val="21"/>
                      <w:u w:val="none"/>
                    </w:rPr>
                  </w:pPr>
                  <w:r>
                    <w:rPr>
                      <w:rFonts w:hint="eastAsia" w:ascii="宋体" w:hAnsi="宋体" w:cs="宋体"/>
                      <w:szCs w:val="21"/>
                      <w:u w:val="none"/>
                    </w:rPr>
                    <w:t>空间布局约束</w:t>
                  </w:r>
                </w:p>
              </w:tc>
              <w:tc>
                <w:tcPr>
                  <w:tcW w:w="2430" w:type="pct"/>
                </w:tcPr>
                <w:p w14:paraId="70A0033B">
                  <w:pPr>
                    <w:rPr>
                      <w:szCs w:val="21"/>
                      <w:u w:val="none"/>
                    </w:rPr>
                  </w:pPr>
                  <w:r>
                    <w:rPr>
                      <w:szCs w:val="21"/>
                      <w:u w:val="none"/>
                    </w:rPr>
                    <w:t>①执行云南</w:t>
                  </w:r>
                  <w:r>
                    <w:rPr>
                      <w:rFonts w:hint="eastAsia" w:ascii="宋体" w:hAnsi="宋体" w:cs="宋体"/>
                      <w:szCs w:val="21"/>
                      <w:u w:val="none"/>
                    </w:rPr>
                    <w:t>省“三线一单”生</w:t>
                  </w:r>
                  <w:r>
                    <w:rPr>
                      <w:szCs w:val="21"/>
                      <w:u w:val="none"/>
                    </w:rPr>
                    <w:t>态环境准入清单及曲靖市总体准入要求。②严</w:t>
                  </w:r>
                  <w:r>
                    <w:rPr>
                      <w:rFonts w:hint="eastAsia" w:ascii="宋体" w:hAnsi="宋体" w:cs="宋体"/>
                      <w:szCs w:val="21"/>
                      <w:u w:val="none"/>
                    </w:rPr>
                    <w:t>禁“十小”</w:t>
                  </w:r>
                  <w:r>
                    <w:rPr>
                      <w:szCs w:val="21"/>
                      <w:u w:val="none"/>
                    </w:rPr>
                    <w:t>企业进入园区；加快产业结构转型升级，淘汰和限制耗水量大、水污染物排放量大的行业和产品。③进一步优化调整园区产业区域发展布局，有重点、分步骤、有时序推进产业往虹桥、凤凰和羊场方向发展，城市复兴区不再布局产业类项目，同时推进园区各区域产业均衡发展。④优化调整产业结构，逐步淘汰不符合园区产业定位的企业。加强培育符合主导产</w:t>
                  </w:r>
                  <w:r>
                    <w:rPr>
                      <w:rFonts w:hint="eastAsia"/>
                      <w:szCs w:val="21"/>
                      <w:u w:val="none"/>
                    </w:rPr>
                    <w:t>业和</w:t>
                  </w:r>
                  <w:r>
                    <w:rPr>
                      <w:szCs w:val="21"/>
                      <w:u w:val="none"/>
                    </w:rPr>
                    <w:t>下游产业链的产业，提高产业附加值；推进产业延链补链强链，塑造绿色发展；禁止不符合园区产业导向的企业入驻。⑤在园区开发建设过程中，禁止入驻项目占用水塘、河流等地表水体。⑥控制发展粗放磷化工产业发展规模，限</w:t>
                  </w:r>
                  <w:r>
                    <w:rPr>
                      <w:rFonts w:hint="eastAsia"/>
                      <w:szCs w:val="21"/>
                      <w:u w:val="none"/>
                    </w:rPr>
                    <w:t>制</w:t>
                  </w:r>
                  <w:r>
                    <w:rPr>
                      <w:szCs w:val="21"/>
                      <w:u w:val="none"/>
                    </w:rPr>
                    <w:t>发展黑色金属冶炼和压延加工。限制发展以氟化物、NO</w:t>
                  </w:r>
                  <w:r>
                    <w:rPr>
                      <w:szCs w:val="21"/>
                      <w:u w:val="none"/>
                      <w:vertAlign w:val="subscript"/>
                    </w:rPr>
                    <w:t>2</w:t>
                  </w:r>
                  <w:r>
                    <w:rPr>
                      <w:szCs w:val="21"/>
                      <w:u w:val="none"/>
                    </w:rPr>
                    <w:t>、SO</w:t>
                  </w:r>
                  <w:r>
                    <w:rPr>
                      <w:szCs w:val="21"/>
                      <w:u w:val="none"/>
                      <w:vertAlign w:val="subscript"/>
                    </w:rPr>
                    <w:t>2</w:t>
                  </w:r>
                  <w:r>
                    <w:rPr>
                      <w:szCs w:val="21"/>
                      <w:u w:val="none"/>
                    </w:rPr>
                    <w:t>为特征</w:t>
                  </w:r>
                  <w:r>
                    <w:rPr>
                      <w:szCs w:val="21"/>
                      <w:u w:val="thick" w:color="FFB03A"/>
                      <w:shd w:val="clear" w:fill="FFEFD7"/>
                    </w:rPr>
                    <w:t>污染物且排放量</w:t>
                  </w:r>
                  <w:r>
                    <w:rPr>
                      <w:szCs w:val="21"/>
                      <w:u w:val="none"/>
                    </w:rPr>
                    <w:t>大、治理难度较大、对周边居民区或</w:t>
                  </w:r>
                  <w:r>
                    <w:rPr>
                      <w:rFonts w:hint="eastAsia"/>
                      <w:szCs w:val="21"/>
                      <w:u w:val="none"/>
                    </w:rPr>
                    <w:t>其他</w:t>
                  </w:r>
                  <w:r>
                    <w:rPr>
                      <w:szCs w:val="21"/>
                      <w:u w:val="none"/>
                    </w:rPr>
                    <w:t>敏感目标造成显著影响的产业；限制发展排放难降解重金属的产业。⑦严控涉及大气污染排放的工业项目布局建设。禁止新建涉及有毒有害气体排放的项目；禁止投资燃煤电厂、水泥、钢铁冶炼等大气污染严重的项目；禁止新建、扩建采用非清洁燃料的项目和设施，现有产污企业应持续开展节能减排，制定改用清洁能源时间表；严格限制新建可能对主城区大气产生影响的燃用煤、重油等高污染燃料的工业项目；禁止焚烧生活垃圾、建筑垃圾、环卫清扫物等废弃物；加快城市建成区重污染企业搬迁改造或关闭退出。⑧禁止突破规划区范围和边界的项目入驻。⑨限制在居民区、学校附近布局排放异味废气污染物的企业，并充分考虑产业与城市建成区、区内居民点之间的环境防护距离。</w:t>
                  </w:r>
                </w:p>
              </w:tc>
              <w:tc>
                <w:tcPr>
                  <w:tcW w:w="1643" w:type="pct"/>
                  <w:vAlign w:val="center"/>
                </w:tcPr>
                <w:p w14:paraId="3EE62ECC">
                  <w:pPr>
                    <w:rPr>
                      <w:szCs w:val="21"/>
                      <w:u w:val="none"/>
                    </w:rPr>
                  </w:pPr>
                  <w:r>
                    <w:rPr>
                      <w:rFonts w:hint="eastAsia"/>
                      <w:szCs w:val="21"/>
                      <w:u w:val="none"/>
                    </w:rPr>
                    <w:t>①本项目符合云南省“三线一单”生态环境准入清单及曲靖市总体准入要求；</w:t>
                  </w:r>
                </w:p>
                <w:p w14:paraId="388FE25B">
                  <w:pPr>
                    <w:rPr>
                      <w:szCs w:val="21"/>
                      <w:u w:val="none"/>
                    </w:rPr>
                  </w:pPr>
                  <w:r>
                    <w:rPr>
                      <w:rFonts w:hint="eastAsia"/>
                      <w:szCs w:val="21"/>
                      <w:u w:val="none"/>
                    </w:rPr>
                    <w:t>②本项目不属于“十小”企业，不属于高耗水、高污染行业和产品；</w:t>
                  </w:r>
                </w:p>
                <w:p w14:paraId="3846880A">
                  <w:pPr>
                    <w:rPr>
                      <w:szCs w:val="21"/>
                      <w:u w:val="none"/>
                    </w:rPr>
                  </w:pPr>
                  <w:r>
                    <w:rPr>
                      <w:rFonts w:hint="eastAsia"/>
                      <w:szCs w:val="21"/>
                      <w:u w:val="none"/>
                    </w:rPr>
                    <w:t>③项目位于羊场产业园区范围内，不在城市复兴区；</w:t>
                  </w:r>
                </w:p>
                <w:p w14:paraId="53A6E8E9">
                  <w:pPr>
                    <w:rPr>
                      <w:szCs w:val="21"/>
                      <w:u w:val="none"/>
                    </w:rPr>
                  </w:pPr>
                  <w:r>
                    <w:rPr>
                      <w:rFonts w:hint="eastAsia"/>
                      <w:szCs w:val="21"/>
                      <w:u w:val="none"/>
                    </w:rPr>
                    <w:t>④本项目为“</w:t>
                  </w:r>
                  <w:r>
                    <w:rPr>
                      <w:szCs w:val="21"/>
                      <w:u w:val="none"/>
                    </w:rPr>
                    <w:t>云南宣威磷电有限责任公司8万t/a黄磷生产项目</w:t>
                  </w:r>
                  <w:r>
                    <w:rPr>
                      <w:rFonts w:hint="eastAsia"/>
                      <w:szCs w:val="21"/>
                      <w:u w:val="none"/>
                    </w:rPr>
                    <w:t>”</w:t>
                  </w:r>
                  <w:r>
                    <w:rPr>
                      <w:szCs w:val="21"/>
                      <w:u w:val="none"/>
                    </w:rPr>
                    <w:t>的原料集运工程</w:t>
                  </w:r>
                  <w:r>
                    <w:rPr>
                      <w:rFonts w:hint="eastAsia"/>
                      <w:szCs w:val="21"/>
                      <w:u w:val="none"/>
                    </w:rPr>
                    <w:t>，属于主导产业的下游产业链产业，符合园区产业导向；</w:t>
                  </w:r>
                </w:p>
                <w:p w14:paraId="5C8CC126">
                  <w:pPr>
                    <w:rPr>
                      <w:szCs w:val="21"/>
                      <w:u w:val="none"/>
                    </w:rPr>
                  </w:pPr>
                  <w:r>
                    <w:rPr>
                      <w:rFonts w:hint="eastAsia"/>
                      <w:szCs w:val="21"/>
                      <w:u w:val="none"/>
                    </w:rPr>
                    <w:t>⑤本项目不占用水塘、河流等地表水体；</w:t>
                  </w:r>
                </w:p>
                <w:p w14:paraId="333E49BE">
                  <w:pPr>
                    <w:rPr>
                      <w:szCs w:val="21"/>
                      <w:u w:val="none"/>
                    </w:rPr>
                  </w:pPr>
                  <w:r>
                    <w:rPr>
                      <w:rFonts w:hint="eastAsia"/>
                      <w:szCs w:val="21"/>
                      <w:u w:val="none"/>
                    </w:rPr>
                    <w:t>⑥本项目排放的大气特征污染物为颗粒物，不涉及限制类污染物排放；</w:t>
                  </w:r>
                </w:p>
                <w:p w14:paraId="42C41D44">
                  <w:pPr>
                    <w:rPr>
                      <w:szCs w:val="21"/>
                      <w:u w:val="none"/>
                    </w:rPr>
                  </w:pPr>
                  <w:r>
                    <w:rPr>
                      <w:rFonts w:hint="eastAsia"/>
                      <w:szCs w:val="21"/>
                      <w:u w:val="none"/>
                    </w:rPr>
                    <w:t>⑦本项目不属于严控和禁止类、搬迁改造或关闭退出类项目；</w:t>
                  </w:r>
                </w:p>
                <w:p w14:paraId="794296BD">
                  <w:pPr>
                    <w:rPr>
                      <w:szCs w:val="21"/>
                      <w:u w:val="none"/>
                    </w:rPr>
                  </w:pPr>
                  <w:r>
                    <w:rPr>
                      <w:rFonts w:hint="eastAsia"/>
                      <w:szCs w:val="21"/>
                      <w:u w:val="none"/>
                    </w:rPr>
                    <w:t>⑧本项目位于园区规划范围内；</w:t>
                  </w:r>
                </w:p>
                <w:p w14:paraId="1906AE71">
                  <w:pPr>
                    <w:rPr>
                      <w:szCs w:val="21"/>
                      <w:u w:val="none"/>
                    </w:rPr>
                  </w:pPr>
                  <w:r>
                    <w:rPr>
                      <w:rFonts w:hint="eastAsia"/>
                      <w:szCs w:val="21"/>
                      <w:u w:val="none"/>
                    </w:rPr>
                    <w:t>⑨本项目不排放异味废气污染物，</w:t>
                  </w:r>
                  <w:r>
                    <w:rPr>
                      <w:bCs/>
                      <w:szCs w:val="21"/>
                      <w:u w:val="none"/>
                    </w:rPr>
                    <w:t>附近500m范围内不涉及居民区、学校</w:t>
                  </w:r>
                  <w:r>
                    <w:rPr>
                      <w:rFonts w:hint="eastAsia"/>
                      <w:szCs w:val="21"/>
                      <w:u w:val="none"/>
                    </w:rPr>
                    <w:t>。</w:t>
                  </w:r>
                </w:p>
              </w:tc>
              <w:tc>
                <w:tcPr>
                  <w:tcW w:w="309" w:type="pct"/>
                  <w:vAlign w:val="center"/>
                </w:tcPr>
                <w:p w14:paraId="751DDAA9">
                  <w:pPr>
                    <w:jc w:val="center"/>
                    <w:rPr>
                      <w:szCs w:val="21"/>
                      <w:u w:val="none"/>
                    </w:rPr>
                  </w:pPr>
                  <w:r>
                    <w:rPr>
                      <w:rFonts w:hint="eastAsia"/>
                      <w:szCs w:val="21"/>
                      <w:u w:val="none"/>
                    </w:rPr>
                    <w:t>符合</w:t>
                  </w:r>
                </w:p>
              </w:tc>
            </w:tr>
            <w:tr w14:paraId="2C30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tcPr>
                <w:p w14:paraId="3A5CF4BD">
                  <w:pPr>
                    <w:rPr>
                      <w:rFonts w:ascii="宋体" w:hAnsi="宋体" w:cs="宋体"/>
                      <w:szCs w:val="21"/>
                      <w:u w:val="none"/>
                    </w:rPr>
                  </w:pPr>
                </w:p>
              </w:tc>
              <w:tc>
                <w:tcPr>
                  <w:tcW w:w="308" w:type="pct"/>
                  <w:vAlign w:val="center"/>
                </w:tcPr>
                <w:p w14:paraId="70B28FD5">
                  <w:pPr>
                    <w:jc w:val="center"/>
                    <w:rPr>
                      <w:rFonts w:ascii="宋体" w:hAnsi="宋体" w:cs="宋体"/>
                      <w:szCs w:val="21"/>
                      <w:u w:val="none"/>
                    </w:rPr>
                  </w:pPr>
                  <w:r>
                    <w:rPr>
                      <w:rFonts w:hint="eastAsia" w:ascii="宋体" w:hAnsi="宋体" w:cs="宋体"/>
                      <w:szCs w:val="21"/>
                      <w:u w:val="none"/>
                    </w:rPr>
                    <w:t>污染物排放管控</w:t>
                  </w:r>
                </w:p>
              </w:tc>
              <w:tc>
                <w:tcPr>
                  <w:tcW w:w="2430" w:type="pct"/>
                </w:tcPr>
                <w:p w14:paraId="30482074">
                  <w:pPr>
                    <w:rPr>
                      <w:szCs w:val="21"/>
                      <w:u w:val="none"/>
                    </w:rPr>
                  </w:pPr>
                  <w:r>
                    <w:rPr>
                      <w:szCs w:val="21"/>
                      <w:u w:val="none"/>
                    </w:rPr>
                    <w:t>①禁止任何生产废水和生活污水直接排入地表水体，必须经园区市政污水管网收集后，排入污水处理厂处理。②新入园的</w:t>
                  </w:r>
                  <w:r>
                    <w:rPr>
                      <w:rFonts w:hint="eastAsia" w:ascii="宋体" w:hAnsi="宋体" w:cs="宋体"/>
                      <w:szCs w:val="21"/>
                      <w:u w:val="none"/>
                    </w:rPr>
                    <w:t>“两高”项</w:t>
                  </w:r>
                  <w:r>
                    <w:rPr>
                      <w:szCs w:val="21"/>
                      <w:u w:val="none"/>
                    </w:rPr>
                    <w:t>目必须根据《关于加强重点行业建设项目区域削减措施监督管理的通知》（环办环评〔2020〕36号）的相关规定，以满足区域、流域控制单元环境质量改善目标管理要求，制定配套区域的污染物削减方案。③完善园区截污系统，完善雨污分流系统，生活污水通过污水管网进入污水处理厂进行处理；以减少入河污染负荷；禁止生活污水不经处理直接外排。④企业废气达标率100%，污水处理达标率100%，工业固废处理率100%，危险废物安全处置率100%，生活垃圾无害化处理率100%，工业固废综合利用率60%，中水回用率30%，污水集中处理率80%，清洁能源使用率60%。</w:t>
                  </w:r>
                </w:p>
              </w:tc>
              <w:tc>
                <w:tcPr>
                  <w:tcW w:w="1643" w:type="pct"/>
                  <w:vAlign w:val="center"/>
                </w:tcPr>
                <w:p w14:paraId="70F5A65C">
                  <w:pPr>
                    <w:rPr>
                      <w:szCs w:val="21"/>
                      <w:u w:val="none"/>
                    </w:rPr>
                  </w:pPr>
                  <w:r>
                    <w:rPr>
                      <w:rFonts w:hint="eastAsia"/>
                      <w:szCs w:val="21"/>
                      <w:u w:val="none"/>
                    </w:rPr>
                    <w:t>①</w:t>
                  </w:r>
                  <w:r>
                    <w:rPr>
                      <w:szCs w:val="21"/>
                      <w:u w:val="none"/>
                    </w:rPr>
                    <w:t>建设单位拟建设1个容积为5</w:t>
                  </w:r>
                  <w:r>
                    <w:rPr>
                      <w:rFonts w:hint="eastAsia"/>
                      <w:szCs w:val="21"/>
                      <w:u w:val="none"/>
                    </w:rPr>
                    <w:t>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的化粪池和1个容积为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w:t>
                  </w:r>
                  <w:r>
                    <w:rPr>
                      <w:szCs w:val="21"/>
                      <w:u w:val="none"/>
                    </w:rPr>
                    <w:t>池。车辆清洗废水和场地雨污水分别经车辆清洗废水沉淀池和场地雨污水收集池处理后全部回用于</w:t>
                  </w:r>
                  <w:r>
                    <w:rPr>
                      <w:rFonts w:hint="eastAsia"/>
                      <w:szCs w:val="21"/>
                      <w:u w:val="none"/>
                    </w:rPr>
                    <w:t>大棚喷雾</w:t>
                  </w:r>
                  <w:r>
                    <w:rPr>
                      <w:szCs w:val="21"/>
                      <w:u w:val="none"/>
                    </w:rPr>
                    <w:t>降尘、车辆清洗。</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。项目无废水外排，对周边地表水环境影响很小</w:t>
                  </w:r>
                  <w:r>
                    <w:rPr>
                      <w:rFonts w:hint="eastAsia"/>
                      <w:szCs w:val="21"/>
                      <w:u w:val="none"/>
                    </w:rPr>
                    <w:t>；</w:t>
                  </w:r>
                </w:p>
                <w:p w14:paraId="5E9C2A2E">
                  <w:pPr>
                    <w:rPr>
                      <w:szCs w:val="21"/>
                      <w:u w:val="none"/>
                    </w:rPr>
                  </w:pPr>
                  <w:r>
                    <w:rPr>
                      <w:rFonts w:hint="eastAsia"/>
                      <w:szCs w:val="21"/>
                      <w:u w:val="none"/>
                    </w:rPr>
                    <w:t>②本项目不属于“两高”项目；</w:t>
                  </w:r>
                </w:p>
                <w:p w14:paraId="6FF379B4">
                  <w:pPr>
                    <w:rPr>
                      <w:szCs w:val="21"/>
                      <w:u w:val="none"/>
                    </w:rPr>
                  </w:pPr>
                  <w:r>
                    <w:rPr>
                      <w:rFonts w:hint="eastAsia"/>
                      <w:szCs w:val="21"/>
                      <w:u w:val="none"/>
                    </w:rPr>
                    <w:t>③本项目所有集运活动位于大棚内，实现雨污分流，废水全部综合利用，不外排；</w:t>
                  </w:r>
                </w:p>
                <w:p w14:paraId="4A850330">
                  <w:pPr>
                    <w:rPr>
                      <w:szCs w:val="21"/>
                      <w:u w:val="none"/>
                    </w:rPr>
                  </w:pPr>
                  <w:r>
                    <w:rPr>
                      <w:rFonts w:hint="eastAsia"/>
                      <w:szCs w:val="21"/>
                      <w:u w:val="none"/>
                    </w:rPr>
                    <w:t>④本环评要求企业废气、噪声100%达标排放；废水全部综合利用，不外排；工业固废处理率100%，生活垃圾无害化处理率100%，全厂用电，100%使用清洁能源。</w:t>
                  </w:r>
                </w:p>
              </w:tc>
              <w:tc>
                <w:tcPr>
                  <w:tcW w:w="309" w:type="pct"/>
                  <w:vAlign w:val="center"/>
                </w:tcPr>
                <w:p w14:paraId="766D37AD">
                  <w:pPr>
                    <w:jc w:val="center"/>
                    <w:rPr>
                      <w:szCs w:val="21"/>
                      <w:u w:val="none"/>
                    </w:rPr>
                  </w:pPr>
                  <w:r>
                    <w:rPr>
                      <w:rFonts w:hint="eastAsia"/>
                      <w:szCs w:val="21"/>
                      <w:u w:val="none"/>
                    </w:rPr>
                    <w:t>符合</w:t>
                  </w:r>
                </w:p>
              </w:tc>
            </w:tr>
            <w:tr w14:paraId="7ED7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 w:type="pct"/>
                  <w:vMerge w:val="continue"/>
                </w:tcPr>
                <w:p w14:paraId="7D0905CC">
                  <w:pPr>
                    <w:rPr>
                      <w:rFonts w:ascii="宋体" w:hAnsi="宋体" w:cs="宋体"/>
                      <w:szCs w:val="21"/>
                      <w:u w:val="none"/>
                    </w:rPr>
                  </w:pPr>
                </w:p>
              </w:tc>
              <w:tc>
                <w:tcPr>
                  <w:tcW w:w="308" w:type="pct"/>
                  <w:vAlign w:val="center"/>
                </w:tcPr>
                <w:p w14:paraId="27CD4BD0">
                  <w:pPr>
                    <w:jc w:val="center"/>
                    <w:rPr>
                      <w:rFonts w:ascii="宋体" w:hAnsi="宋体" w:cs="宋体"/>
                      <w:szCs w:val="21"/>
                      <w:u w:val="none"/>
                    </w:rPr>
                  </w:pPr>
                  <w:r>
                    <w:rPr>
                      <w:rFonts w:hint="eastAsia" w:ascii="宋体" w:hAnsi="宋体" w:cs="宋体"/>
                      <w:szCs w:val="21"/>
                      <w:u w:val="none"/>
                    </w:rPr>
                    <w:t>环境风险防控</w:t>
                  </w:r>
                </w:p>
              </w:tc>
              <w:tc>
                <w:tcPr>
                  <w:tcW w:w="2430" w:type="pct"/>
                </w:tcPr>
                <w:p w14:paraId="221626B3">
                  <w:pPr>
                    <w:rPr>
                      <w:szCs w:val="21"/>
                      <w:u w:val="none"/>
                    </w:rPr>
                  </w:pPr>
                  <w:r>
                    <w:rPr>
                      <w:szCs w:val="21"/>
                      <w:u w:val="none"/>
                    </w:rPr>
                    <w:t>①强化入园企业地下水污染防治措施：做好厂区的分区防渗措施、维护及管理、建立地下水跟踪监测体系、建立企业风险事故应急预案和应急监测体系。②入驻企业生产区须</w:t>
                  </w:r>
                  <w:r>
                    <w:rPr>
                      <w:rFonts w:hint="eastAsia" w:ascii="宋体" w:hAnsi="宋体" w:cs="宋体"/>
                      <w:szCs w:val="21"/>
                      <w:u w:val="none"/>
                    </w:rPr>
                    <w:t>“雨污分流”，</w:t>
                  </w:r>
                  <w:r>
                    <w:rPr>
                      <w:szCs w:val="21"/>
                      <w:u w:val="none"/>
                    </w:rPr>
                    <w:t>并完善排污管网，所有废水必须处理后回用或达标排入园区污水管网，严禁废水事故外排；对于初期雨水也需设置收集设施；对企业原料堆存场地、车间、污水处理设施需进行地面硬化，设置雨污分流设施，</w:t>
                  </w:r>
                  <w:r>
                    <w:rPr>
                      <w:szCs w:val="21"/>
                      <w:u w:val="thick" w:color="FFB03A"/>
                      <w:shd w:val="clear" w:fill="FFEFD7"/>
                    </w:rPr>
                    <w:t>地坪冲洗水</w:t>
                  </w:r>
                  <w:r>
                    <w:rPr>
                      <w:szCs w:val="21"/>
                      <w:u w:val="none"/>
                    </w:rPr>
                    <w:t>、各车间跑冒滴漏废水应做到封闭回用；处理设施确保稳定运行；加强企业内部环境风险三级防护措施，对涉风险的生产和储存设施设置围堰防护。③入驻项目在选址布局时要充分考虑大气防护距离、卫生防护距离和安全防护距离的要求。④强化企业环境风险防范设施设备建设和运行监管，制定突发环境事件应急预案，建立企业隐患排查整治常态化监管机制；加强企业环境应急预案与园区综合环境应急预案的衔接，加强区域应急物资调配管理，组织园区范围内的环境安全隐患排查、应急培训和演练，构建区域环境风险联控机制。⑤涉及易燃易爆、有毒有害物质的企业，进行重点环境风险源监管。</w:t>
                  </w:r>
                </w:p>
              </w:tc>
              <w:tc>
                <w:tcPr>
                  <w:tcW w:w="1643" w:type="pct"/>
                  <w:vAlign w:val="center"/>
                </w:tcPr>
                <w:p w14:paraId="1C52F246">
                  <w:pPr>
                    <w:rPr>
                      <w:szCs w:val="21"/>
                      <w:u w:val="none"/>
                    </w:rPr>
                  </w:pPr>
                  <w:r>
                    <w:rPr>
                      <w:rFonts w:hint="eastAsia"/>
                      <w:szCs w:val="21"/>
                      <w:u w:val="none"/>
                    </w:rPr>
                    <w:t>①本项目所有活动置于大棚内，大棚地面均进行了硬化处理，项目不涉及环境风险源；</w:t>
                  </w:r>
                </w:p>
                <w:p w14:paraId="42D7940B">
                  <w:pPr>
                    <w:rPr>
                      <w:szCs w:val="21"/>
                      <w:u w:val="none"/>
                    </w:rPr>
                  </w:pPr>
                  <w:r>
                    <w:rPr>
                      <w:rFonts w:hint="eastAsia"/>
                      <w:szCs w:val="21"/>
                      <w:u w:val="none"/>
                    </w:rPr>
                    <w:t>②本项目所有活动置于大棚内，做到“雨污分流”，废水全部综合利用；</w:t>
                  </w:r>
                </w:p>
                <w:p w14:paraId="01AC8C22">
                  <w:pPr>
                    <w:rPr>
                      <w:szCs w:val="21"/>
                      <w:u w:val="none"/>
                    </w:rPr>
                  </w:pPr>
                  <w:r>
                    <w:rPr>
                      <w:rFonts w:hint="eastAsia"/>
                      <w:szCs w:val="21"/>
                      <w:u w:val="none"/>
                    </w:rPr>
                    <w:t>③项目周边500m范围内无保护目标，选址布局合理；</w:t>
                  </w:r>
                </w:p>
                <w:p w14:paraId="7617383A">
                  <w:pPr>
                    <w:rPr>
                      <w:szCs w:val="21"/>
                      <w:u w:val="none"/>
                    </w:rPr>
                  </w:pPr>
                  <w:r>
                    <w:rPr>
                      <w:rFonts w:hint="eastAsia"/>
                      <w:szCs w:val="21"/>
                      <w:u w:val="none"/>
                    </w:rPr>
                    <w:t>④本项目集运物资为磷矿石，不涉及风险物质。建设单位通过加强堆存过程管理，建立企业隐患排查整治常态化监管机制；加强企业环境应急预案与园区综合环境应急预案的衔接；</w:t>
                  </w:r>
                </w:p>
                <w:p w14:paraId="7C78E926">
                  <w:pPr>
                    <w:rPr>
                      <w:szCs w:val="21"/>
                      <w:u w:val="none"/>
                    </w:rPr>
                  </w:pPr>
                  <w:r>
                    <w:rPr>
                      <w:rFonts w:hint="eastAsia"/>
                      <w:szCs w:val="21"/>
                      <w:u w:val="none"/>
                    </w:rPr>
                    <w:t>⑤本项目不涉及</w:t>
                  </w:r>
                  <w:r>
                    <w:rPr>
                      <w:szCs w:val="21"/>
                      <w:u w:val="none"/>
                    </w:rPr>
                    <w:t>易燃易爆、有毒有害物质</w:t>
                  </w:r>
                  <w:r>
                    <w:rPr>
                      <w:rFonts w:hint="eastAsia"/>
                      <w:szCs w:val="21"/>
                      <w:u w:val="none"/>
                    </w:rPr>
                    <w:t>。</w:t>
                  </w:r>
                </w:p>
              </w:tc>
              <w:tc>
                <w:tcPr>
                  <w:tcW w:w="309" w:type="pct"/>
                  <w:vAlign w:val="center"/>
                </w:tcPr>
                <w:p w14:paraId="71501839">
                  <w:pPr>
                    <w:jc w:val="center"/>
                    <w:rPr>
                      <w:szCs w:val="21"/>
                      <w:u w:val="none"/>
                    </w:rPr>
                  </w:pPr>
                  <w:r>
                    <w:rPr>
                      <w:rFonts w:hint="eastAsia"/>
                      <w:szCs w:val="21"/>
                      <w:u w:val="none"/>
                    </w:rPr>
                    <w:t>符合</w:t>
                  </w:r>
                </w:p>
              </w:tc>
            </w:tr>
          </w:tbl>
          <w:p w14:paraId="1994632E">
            <w:pPr>
              <w:widowControl/>
              <w:wordWrap w:val="0"/>
              <w:spacing w:line="360" w:lineRule="auto"/>
              <w:ind w:firstLine="482"/>
              <w:jc w:val="left"/>
              <w:rPr>
                <w:rFonts w:ascii="宋体" w:hAnsi="宋体" w:cs="宋体"/>
                <w:b/>
                <w:bCs/>
                <w:kern w:val="0"/>
                <w:sz w:val="24"/>
                <w:u w:val="none"/>
                <w:lang w:bidi="ar"/>
              </w:rPr>
            </w:pPr>
            <w:r>
              <w:rPr>
                <w:rFonts w:hint="eastAsia" w:ascii="宋体" w:hAnsi="宋体" w:cs="宋体"/>
                <w:b/>
                <w:bCs/>
                <w:kern w:val="0"/>
                <w:sz w:val="24"/>
                <w:u w:val="none"/>
                <w:lang w:bidi="ar"/>
              </w:rPr>
              <w:t>（2）与规划环评审查意见的符合性</w:t>
            </w:r>
          </w:p>
          <w:p w14:paraId="7A76D890">
            <w:pPr>
              <w:spacing w:line="360" w:lineRule="auto"/>
              <w:ind w:firstLine="480" w:firstLineChars="200"/>
              <w:rPr>
                <w:sz w:val="24"/>
                <w:u w:val="none"/>
              </w:rPr>
            </w:pPr>
            <w:r>
              <w:rPr>
                <w:bCs/>
                <w:sz w:val="24"/>
                <w:u w:val="none"/>
              </w:rPr>
              <w:t>本项目位于</w:t>
            </w:r>
            <w:r>
              <w:rPr>
                <w:rFonts w:hint="eastAsia"/>
                <w:bCs/>
                <w:sz w:val="24"/>
                <w:u w:val="none"/>
              </w:rPr>
              <w:t>羊场</w:t>
            </w:r>
            <w:r>
              <w:rPr>
                <w:bCs/>
                <w:sz w:val="24"/>
                <w:u w:val="none"/>
              </w:rPr>
              <w:t>产业园内，属于</w:t>
            </w:r>
            <w:r>
              <w:rPr>
                <w:rFonts w:hint="eastAsia"/>
                <w:bCs/>
                <w:sz w:val="24"/>
                <w:u w:val="none"/>
              </w:rPr>
              <w:t>磷矿石储存、转运</w:t>
            </w:r>
            <w:r>
              <w:rPr>
                <w:bCs/>
                <w:sz w:val="24"/>
                <w:u w:val="none"/>
              </w:rPr>
              <w:t>项目。</w:t>
            </w:r>
            <w:r>
              <w:rPr>
                <w:rFonts w:hint="eastAsia"/>
                <w:bCs/>
                <w:sz w:val="24"/>
                <w:u w:val="none"/>
              </w:rPr>
              <w:t>“</w:t>
            </w:r>
            <w:r>
              <w:rPr>
                <w:bCs/>
                <w:sz w:val="24"/>
                <w:u w:val="none"/>
              </w:rPr>
              <w:t>规划环评审查意见</w:t>
            </w:r>
            <w:r>
              <w:rPr>
                <w:rFonts w:hint="eastAsia"/>
                <w:bCs/>
                <w:sz w:val="24"/>
                <w:u w:val="none"/>
              </w:rPr>
              <w:t>”</w:t>
            </w:r>
            <w:r>
              <w:rPr>
                <w:bCs/>
                <w:sz w:val="24"/>
                <w:u w:val="none"/>
              </w:rPr>
              <w:t>相关的要求与本项目相符性分析如下</w:t>
            </w:r>
            <w:r>
              <w:rPr>
                <w:rFonts w:hint="eastAsia"/>
                <w:bCs/>
                <w:sz w:val="24"/>
                <w:u w:val="none"/>
              </w:rPr>
              <w:t>表1-4所示</w:t>
            </w:r>
            <w:r>
              <w:rPr>
                <w:sz w:val="24"/>
                <w:u w:val="none"/>
              </w:rPr>
              <w:t>。</w:t>
            </w:r>
          </w:p>
          <w:p w14:paraId="5714CC94">
            <w:pPr>
              <w:snapToGrid w:val="0"/>
              <w:ind w:left="420" w:hanging="420"/>
              <w:jc w:val="center"/>
              <w:rPr>
                <w:sz w:val="24"/>
                <w:u w:val="none"/>
              </w:rPr>
            </w:pPr>
            <w:r>
              <w:rPr>
                <w:b/>
                <w:bCs/>
                <w:szCs w:val="21"/>
                <w:u w:val="none"/>
              </w:rPr>
              <w:t>表1-</w:t>
            </w:r>
            <w:r>
              <w:rPr>
                <w:rFonts w:hint="eastAsia"/>
                <w:b/>
                <w:bCs/>
                <w:szCs w:val="21"/>
                <w:u w:val="none"/>
              </w:rPr>
              <w:t>4</w:t>
            </w:r>
            <w:r>
              <w:rPr>
                <w:b/>
                <w:bCs/>
                <w:szCs w:val="21"/>
                <w:u w:val="none"/>
              </w:rPr>
              <w:t xml:space="preserve"> </w:t>
            </w:r>
            <w:r>
              <w:rPr>
                <w:rFonts w:hint="eastAsia"/>
                <w:b/>
                <w:bCs/>
                <w:szCs w:val="21"/>
                <w:u w:val="none"/>
              </w:rPr>
              <w:t xml:space="preserve">  </w:t>
            </w:r>
            <w:r>
              <w:rPr>
                <w:b/>
                <w:szCs w:val="21"/>
                <w:u w:val="none"/>
                <w:lang w:val="zh-TW" w:eastAsia="zh-TW"/>
              </w:rPr>
              <w:t>本项目与规划环评审查意见符合性分析一览</w:t>
            </w:r>
            <w:r>
              <w:rPr>
                <w:rFonts w:hint="eastAsia"/>
                <w:b/>
                <w:szCs w:val="21"/>
                <w:u w:val="none"/>
              </w:rPr>
              <w:t>表</w:t>
            </w:r>
          </w:p>
          <w:tbl>
            <w:tblPr>
              <w:tblStyle w:val="3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3309"/>
              <w:gridCol w:w="599"/>
            </w:tblGrid>
            <w:tr w14:paraId="64B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vAlign w:val="center"/>
                </w:tcPr>
                <w:p w14:paraId="4EA081A9">
                  <w:pPr>
                    <w:jc w:val="center"/>
                    <w:rPr>
                      <w:szCs w:val="21"/>
                      <w:u w:val="none"/>
                    </w:rPr>
                  </w:pPr>
                  <w:r>
                    <w:rPr>
                      <w:rFonts w:hint="eastAsia"/>
                      <w:szCs w:val="21"/>
                      <w:u w:val="none"/>
                    </w:rPr>
                    <w:t>审查意见要求</w:t>
                  </w:r>
                </w:p>
              </w:tc>
              <w:tc>
                <w:tcPr>
                  <w:tcW w:w="2396" w:type="pct"/>
                  <w:vAlign w:val="center"/>
                </w:tcPr>
                <w:p w14:paraId="74002509">
                  <w:pPr>
                    <w:jc w:val="center"/>
                    <w:rPr>
                      <w:szCs w:val="21"/>
                      <w:u w:val="none"/>
                    </w:rPr>
                  </w:pPr>
                  <w:r>
                    <w:rPr>
                      <w:rFonts w:hint="eastAsia"/>
                      <w:szCs w:val="21"/>
                      <w:u w:val="none"/>
                    </w:rPr>
                    <w:t>本项目情况</w:t>
                  </w:r>
                </w:p>
              </w:tc>
              <w:tc>
                <w:tcPr>
                  <w:tcW w:w="434" w:type="pct"/>
                  <w:vAlign w:val="center"/>
                </w:tcPr>
                <w:p w14:paraId="32696DC4">
                  <w:pPr>
                    <w:jc w:val="center"/>
                    <w:rPr>
                      <w:szCs w:val="21"/>
                      <w:u w:val="none"/>
                    </w:rPr>
                  </w:pPr>
                  <w:r>
                    <w:rPr>
                      <w:rFonts w:hint="eastAsia"/>
                      <w:szCs w:val="21"/>
                      <w:u w:val="none"/>
                    </w:rPr>
                    <w:t>相符性</w:t>
                  </w:r>
                </w:p>
              </w:tc>
            </w:tr>
            <w:tr w14:paraId="0CB6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tcPr>
                <w:p w14:paraId="1D403E6D">
                  <w:pPr>
                    <w:rPr>
                      <w:szCs w:val="21"/>
                      <w:u w:val="none"/>
                    </w:rPr>
                  </w:pPr>
                  <w:r>
                    <w:rPr>
                      <w:szCs w:val="21"/>
                      <w:u w:val="none"/>
                    </w:rPr>
                    <w:t>羊场产业园区规划为重点发展磷化工，集电、磷、化、建材于一体的工业园。园区地处珠江上游支流的北盘江流域，地表水环境质量不稳定达标，对园区废水外排形成制约。羊场片区</w:t>
                  </w:r>
                  <w:r>
                    <w:rPr>
                      <w:szCs w:val="21"/>
                      <w:u w:val="thick" w:color="FFB03A"/>
                      <w:shd w:val="clear" w:fill="FFEFD7"/>
                    </w:rPr>
                    <w:t>规划</w:t>
                  </w:r>
                  <w:r>
                    <w:rPr>
                      <w:szCs w:val="21"/>
                      <w:u w:val="none"/>
                    </w:rPr>
                    <w:t>为化工片区，水环境风险隐患大。</w:t>
                  </w:r>
                </w:p>
              </w:tc>
              <w:tc>
                <w:tcPr>
                  <w:tcW w:w="2396" w:type="pct"/>
                  <w:vAlign w:val="center"/>
                </w:tcPr>
                <w:p w14:paraId="18C5A66D">
                  <w:pPr>
                    <w:widowControl/>
                    <w:jc w:val="center"/>
                    <w:rPr>
                      <w:szCs w:val="21"/>
                      <w:u w:val="none"/>
                    </w:rPr>
                  </w:pPr>
                  <w:r>
                    <w:rPr>
                      <w:szCs w:val="21"/>
                      <w:u w:val="none"/>
                    </w:rPr>
                    <w:t>本项目</w:t>
                  </w:r>
                  <w:r>
                    <w:rPr>
                      <w:rFonts w:hint="eastAsia"/>
                      <w:szCs w:val="21"/>
                      <w:u w:val="none"/>
                    </w:rPr>
                    <w:t>废水全部综合利用，</w:t>
                  </w:r>
                  <w:r>
                    <w:rPr>
                      <w:szCs w:val="21"/>
                      <w:u w:val="none"/>
                    </w:rPr>
                    <w:t>不存在水环境</w:t>
                  </w:r>
                  <w:r>
                    <w:rPr>
                      <w:rFonts w:hint="eastAsia"/>
                      <w:szCs w:val="21"/>
                      <w:u w:val="none"/>
                    </w:rPr>
                    <w:t>风险</w:t>
                  </w:r>
                  <w:r>
                    <w:rPr>
                      <w:szCs w:val="21"/>
                      <w:u w:val="none"/>
                    </w:rPr>
                    <w:t>隐患和制约</w:t>
                  </w:r>
                  <w:r>
                    <w:rPr>
                      <w:rFonts w:hint="eastAsia"/>
                      <w:szCs w:val="21"/>
                      <w:u w:val="none"/>
                    </w:rPr>
                    <w:t>。</w:t>
                  </w:r>
                </w:p>
              </w:tc>
              <w:tc>
                <w:tcPr>
                  <w:tcW w:w="434" w:type="pct"/>
                  <w:vAlign w:val="center"/>
                </w:tcPr>
                <w:p w14:paraId="21C6B453">
                  <w:pPr>
                    <w:jc w:val="center"/>
                    <w:rPr>
                      <w:szCs w:val="21"/>
                      <w:u w:val="none"/>
                    </w:rPr>
                  </w:pPr>
                  <w:r>
                    <w:rPr>
                      <w:rFonts w:hint="eastAsia"/>
                      <w:szCs w:val="21"/>
                      <w:u w:val="none"/>
                    </w:rPr>
                    <w:t>符合</w:t>
                  </w:r>
                </w:p>
              </w:tc>
            </w:tr>
            <w:tr w14:paraId="7879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vAlign w:val="center"/>
                </w:tcPr>
                <w:p w14:paraId="734E8A5E">
                  <w:pPr>
                    <w:jc w:val="center"/>
                    <w:rPr>
                      <w:szCs w:val="21"/>
                      <w:u w:val="none"/>
                    </w:rPr>
                  </w:pPr>
                  <w:r>
                    <w:rPr>
                      <w:szCs w:val="21"/>
                      <w:u w:val="none"/>
                    </w:rPr>
                    <w:t>严守环境质量底线，严格环境管控单元。入驻企业应采用先进的生产工艺路线、装备、清洁能源与原料，从源头控制污染物的产生，要求采用先进高效的污染防治措施，做好污染物减排工作。全面建设初期雨水收集处</w:t>
                  </w:r>
                  <w:r>
                    <w:rPr>
                      <w:rFonts w:hint="eastAsia" w:ascii="宋体" w:hAnsi="宋体" w:cs="宋体"/>
                      <w:szCs w:val="21"/>
                      <w:u w:val="none"/>
                    </w:rPr>
                    <w:t>理系统，实现“雨污分流”。排放受纳水体超标的“两高”项</w:t>
                  </w:r>
                  <w:r>
                    <w:rPr>
                      <w:szCs w:val="21"/>
                      <w:u w:val="none"/>
                    </w:rPr>
                    <w:t>目，实行流域内现有污染物倍量削减。结合水污染防治方案实施相应的水环境质量改善工作，切实削减总磷等污染物，配合宣威市相关政府部门，加强北盘江（宣威主城区段）河道的水环境综合整治与生态修复工程，切实改善地表水环境质量。</w:t>
                  </w:r>
                </w:p>
              </w:tc>
              <w:tc>
                <w:tcPr>
                  <w:tcW w:w="2396" w:type="pct"/>
                  <w:vAlign w:val="center"/>
                </w:tcPr>
                <w:p w14:paraId="4B91D70E">
                  <w:pPr>
                    <w:jc w:val="center"/>
                    <w:rPr>
                      <w:szCs w:val="21"/>
                      <w:u w:val="none"/>
                    </w:rPr>
                  </w:pPr>
                  <w:r>
                    <w:rPr>
                      <w:szCs w:val="21"/>
                      <w:u w:val="none"/>
                    </w:rPr>
                    <w:t>本项目使用清洁能源电能，磷矿石集运过程排放的污染物为颗粒物，</w:t>
                  </w:r>
                  <w:r>
                    <w:rPr>
                      <w:rFonts w:hint="eastAsia"/>
                      <w:szCs w:val="21"/>
                      <w:u w:val="none"/>
                    </w:rPr>
                    <w:t>通过采取</w:t>
                  </w:r>
                  <w:r>
                    <w:rPr>
                      <w:szCs w:val="21"/>
                      <w:u w:val="thick" w:color="FFB03A"/>
                      <w:shd w:val="clear" w:fill="FFEFD7"/>
                    </w:rPr>
                    <w:t>仓储</w:t>
                  </w:r>
                  <w:r>
                    <w:rPr>
                      <w:szCs w:val="21"/>
                      <w:u w:val="none"/>
                    </w:rPr>
                    <w:t>棚建设为全封闭大棚，仅留设车辆进出口，同时在仓储棚顶部安装喷雾降尘设施，</w:t>
                  </w:r>
                  <w:r>
                    <w:rPr>
                      <w:rFonts w:hint="eastAsia"/>
                      <w:bCs/>
                      <w:spacing w:val="-10"/>
                      <w:szCs w:val="21"/>
                      <w:u w:val="none"/>
                    </w:rPr>
                    <w:t>厂区内地面进行定期洒水、清扫、运输车辆采取密闭运输</w:t>
                  </w:r>
                  <w:r>
                    <w:rPr>
                      <w:szCs w:val="21"/>
                      <w:u w:val="none"/>
                    </w:rPr>
                    <w:t>等措施减少粉尘排放。矿石集运系统置于大棚内，做到雨污分流；本项目不属</w:t>
                  </w:r>
                  <w:r>
                    <w:rPr>
                      <w:rFonts w:hint="eastAsia" w:ascii="宋体" w:hAnsi="宋体" w:cs="宋体"/>
                      <w:szCs w:val="21"/>
                      <w:u w:val="none"/>
                    </w:rPr>
                    <w:t>于“两高”项目</w:t>
                  </w:r>
                  <w:r>
                    <w:rPr>
                      <w:szCs w:val="21"/>
                      <w:u w:val="none"/>
                    </w:rPr>
                    <w:t>，拟建设1个容积为</w:t>
                  </w:r>
                  <w:r>
                    <w:rPr>
                      <w:rFonts w:hint="eastAsia"/>
                      <w:szCs w:val="21"/>
                      <w:u w:val="none"/>
                    </w:rPr>
                    <w:t>54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w:t>
                  </w:r>
                  <w:r>
                    <w:rPr>
                      <w:rFonts w:hint="eastAsia"/>
                      <w:szCs w:val="21"/>
                      <w:u w:val="none"/>
                    </w:rPr>
                    <w:t>和</w:t>
                  </w:r>
                  <w:r>
                    <w:rPr>
                      <w:szCs w:val="21"/>
                      <w:u w:val="none"/>
                    </w:rPr>
                    <w:t>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清水池</w:t>
                  </w:r>
                  <w:r>
                    <w:rPr>
                      <w:szCs w:val="21"/>
                      <w:u w:val="none"/>
                    </w:rPr>
                    <w:t>。车辆清洗废水和场地雨污水分别经车辆清洗废水沉淀池和场地雨污水收集池处理后全部回用于</w:t>
                  </w:r>
                  <w:r>
                    <w:rPr>
                      <w:rFonts w:hint="eastAsia"/>
                      <w:szCs w:val="21"/>
                      <w:u w:val="none"/>
                    </w:rPr>
                    <w:t>大棚喷雾</w:t>
                  </w:r>
                  <w:r>
                    <w:rPr>
                      <w:szCs w:val="21"/>
                      <w:u w:val="none"/>
                    </w:rPr>
                    <w:t>降尘、车辆清洗和绿化。</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。项目废水</w:t>
                  </w:r>
                  <w:r>
                    <w:rPr>
                      <w:rFonts w:hint="eastAsia"/>
                      <w:szCs w:val="21"/>
                      <w:u w:val="none"/>
                    </w:rPr>
                    <w:t>全部综合利用</w:t>
                  </w:r>
                  <w:r>
                    <w:rPr>
                      <w:szCs w:val="21"/>
                      <w:u w:val="none"/>
                    </w:rPr>
                    <w:t>，对周边地表水环境影响很小</w:t>
                  </w:r>
                  <w:r>
                    <w:rPr>
                      <w:rFonts w:hint="eastAsia"/>
                      <w:szCs w:val="21"/>
                      <w:u w:val="none"/>
                    </w:rPr>
                    <w:t>，</w:t>
                  </w:r>
                  <w:r>
                    <w:rPr>
                      <w:szCs w:val="21"/>
                      <w:u w:val="none"/>
                    </w:rPr>
                    <w:t>有利于改善区域水环境质量。</w:t>
                  </w:r>
                </w:p>
              </w:tc>
              <w:tc>
                <w:tcPr>
                  <w:tcW w:w="434" w:type="pct"/>
                  <w:vAlign w:val="center"/>
                </w:tcPr>
                <w:p w14:paraId="7F1A2F49">
                  <w:pPr>
                    <w:jc w:val="center"/>
                    <w:rPr>
                      <w:szCs w:val="21"/>
                      <w:u w:val="none"/>
                    </w:rPr>
                  </w:pPr>
                  <w:r>
                    <w:rPr>
                      <w:szCs w:val="21"/>
                      <w:u w:val="none"/>
                    </w:rPr>
                    <w:t>符合</w:t>
                  </w:r>
                </w:p>
              </w:tc>
            </w:tr>
            <w:tr w14:paraId="0753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tcPr>
                <w:p w14:paraId="0F9A24C0">
                  <w:pPr>
                    <w:rPr>
                      <w:szCs w:val="21"/>
                      <w:u w:val="none"/>
                    </w:rPr>
                  </w:pPr>
                  <w:r>
                    <w:rPr>
                      <w:szCs w:val="21"/>
                      <w:u w:val="none"/>
                    </w:rPr>
                    <w:t>化工、冶炼等项目建设应充分考虑对地下水环境的影响，在泉域保护范围以及岩溶强发育、存在较多落水洞和岩溶漏斗的区域内，不得新建、改建、扩建可能造成地下水污染的建设项目。高度重视园区、村镇的饮水安全，项目布局不得影响居民饮用水安全。</w:t>
                  </w:r>
                </w:p>
              </w:tc>
              <w:tc>
                <w:tcPr>
                  <w:tcW w:w="2396" w:type="pct"/>
                  <w:vAlign w:val="center"/>
                </w:tcPr>
                <w:p w14:paraId="3290C02F">
                  <w:pPr>
                    <w:jc w:val="center"/>
                    <w:rPr>
                      <w:szCs w:val="21"/>
                      <w:u w:val="none"/>
                    </w:rPr>
                  </w:pPr>
                  <w:r>
                    <w:rPr>
                      <w:szCs w:val="21"/>
                      <w:u w:val="none"/>
                    </w:rPr>
                    <w:t>本项目位于宣威市羊场产业园区水泥厂大桥头起，属于磷矿石储运项目，储运场不在泉域保护范围，堆场地面硬化，磷矿入棚堆存，正常</w:t>
                  </w:r>
                  <w:r>
                    <w:rPr>
                      <w:rFonts w:hint="eastAsia"/>
                      <w:szCs w:val="21"/>
                      <w:u w:val="none"/>
                    </w:rPr>
                    <w:t>情况</w:t>
                  </w:r>
                  <w:r>
                    <w:rPr>
                      <w:szCs w:val="21"/>
                      <w:u w:val="none"/>
                    </w:rPr>
                    <w:t>不会造成地下水污染，影响居民饮水安全。</w:t>
                  </w:r>
                </w:p>
              </w:tc>
              <w:tc>
                <w:tcPr>
                  <w:tcW w:w="434" w:type="pct"/>
                  <w:vAlign w:val="center"/>
                </w:tcPr>
                <w:p w14:paraId="48896D4B">
                  <w:pPr>
                    <w:jc w:val="center"/>
                    <w:rPr>
                      <w:szCs w:val="21"/>
                      <w:u w:val="none"/>
                    </w:rPr>
                  </w:pPr>
                  <w:r>
                    <w:rPr>
                      <w:szCs w:val="21"/>
                      <w:u w:val="none"/>
                    </w:rPr>
                    <w:t>符合</w:t>
                  </w:r>
                </w:p>
              </w:tc>
            </w:tr>
            <w:tr w14:paraId="5F28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8" w:type="pct"/>
                  <w:vAlign w:val="center"/>
                </w:tcPr>
                <w:p w14:paraId="48256C10">
                  <w:pPr>
                    <w:jc w:val="center"/>
                    <w:rPr>
                      <w:szCs w:val="21"/>
                      <w:u w:val="none"/>
                    </w:rPr>
                  </w:pPr>
                  <w:r>
                    <w:rPr>
                      <w:szCs w:val="21"/>
                      <w:u w:val="none"/>
                    </w:rPr>
                    <w:t>严格执行环境准入要求，加强入园项目生态环境准入管理。</w:t>
                  </w:r>
                </w:p>
              </w:tc>
              <w:tc>
                <w:tcPr>
                  <w:tcW w:w="2396" w:type="pct"/>
                  <w:vAlign w:val="center"/>
                </w:tcPr>
                <w:p w14:paraId="260DC57D">
                  <w:pPr>
                    <w:jc w:val="center"/>
                    <w:rPr>
                      <w:szCs w:val="21"/>
                      <w:u w:val="none"/>
                    </w:rPr>
                  </w:pPr>
                  <w:r>
                    <w:rPr>
                      <w:szCs w:val="21"/>
                      <w:u w:val="none"/>
                    </w:rPr>
                    <w:t>本项目不属于园区生态环境准入负面清单类项目，满足园区准入要求。</w:t>
                  </w:r>
                </w:p>
              </w:tc>
              <w:tc>
                <w:tcPr>
                  <w:tcW w:w="434" w:type="pct"/>
                  <w:vAlign w:val="center"/>
                </w:tcPr>
                <w:p w14:paraId="07C126FC">
                  <w:pPr>
                    <w:jc w:val="center"/>
                    <w:rPr>
                      <w:szCs w:val="21"/>
                      <w:u w:val="none"/>
                    </w:rPr>
                  </w:pPr>
                  <w:r>
                    <w:rPr>
                      <w:rFonts w:hint="eastAsia"/>
                      <w:szCs w:val="21"/>
                      <w:u w:val="none"/>
                    </w:rPr>
                    <w:t>符合</w:t>
                  </w:r>
                </w:p>
              </w:tc>
            </w:tr>
          </w:tbl>
          <w:p w14:paraId="792752BF">
            <w:pPr>
              <w:autoSpaceDE w:val="0"/>
              <w:autoSpaceDN w:val="0"/>
              <w:adjustRightInd w:val="0"/>
              <w:spacing w:line="360" w:lineRule="auto"/>
              <w:ind w:firstLine="480" w:firstLineChars="200"/>
              <w:rPr>
                <w:kern w:val="0"/>
                <w:szCs w:val="21"/>
                <w:u w:val="none"/>
              </w:rPr>
            </w:pPr>
            <w:r>
              <w:rPr>
                <w:sz w:val="24"/>
                <w:u w:val="none"/>
              </w:rPr>
              <w:t>综上所述，本项目符合《云南宣威经济技术开发区总体规划修编（2020-2035）环境影响报告书》审查意见</w:t>
            </w:r>
            <w:r>
              <w:rPr>
                <w:kern w:val="0"/>
                <w:sz w:val="24"/>
                <w:u w:val="none"/>
                <w:lang w:bidi="ar"/>
              </w:rPr>
              <w:t>中的相关要求。</w:t>
            </w:r>
          </w:p>
        </w:tc>
      </w:tr>
      <w:tr w14:paraId="7B59B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56" w:type="dxa"/>
            <w:vAlign w:val="center"/>
          </w:tcPr>
          <w:p w14:paraId="2A66345F">
            <w:pPr>
              <w:autoSpaceDE w:val="0"/>
              <w:autoSpaceDN w:val="0"/>
              <w:adjustRightInd w:val="0"/>
              <w:snapToGrid w:val="0"/>
              <w:jc w:val="center"/>
              <w:rPr>
                <w:kern w:val="0"/>
                <w:sz w:val="24"/>
                <w:u w:val="none"/>
              </w:rPr>
            </w:pPr>
            <w:r>
              <w:rPr>
                <w:kern w:val="0"/>
                <w:sz w:val="24"/>
                <w:u w:val="none"/>
              </w:rPr>
              <w:t>其他符合性分析</w:t>
            </w:r>
          </w:p>
        </w:tc>
        <w:tc>
          <w:tcPr>
            <w:tcW w:w="7132" w:type="dxa"/>
            <w:gridSpan w:val="3"/>
            <w:vAlign w:val="center"/>
          </w:tcPr>
          <w:p w14:paraId="1812C020">
            <w:pPr>
              <w:pStyle w:val="49"/>
              <w:adjustRightInd/>
              <w:snapToGrid/>
              <w:spacing w:line="360" w:lineRule="auto"/>
              <w:ind w:firstLine="482" w:firstLineChars="200"/>
              <w:jc w:val="both"/>
              <w:rPr>
                <w:b/>
                <w:bCs/>
                <w:u w:val="none"/>
              </w:rPr>
            </w:pPr>
            <w:r>
              <w:rPr>
                <w:rFonts w:hint="eastAsia"/>
                <w:b/>
                <w:bCs/>
                <w:u w:val="none"/>
              </w:rPr>
              <w:t>1</w:t>
            </w:r>
            <w:r>
              <w:rPr>
                <w:b/>
                <w:bCs/>
                <w:u w:val="none"/>
              </w:rPr>
              <w:t>、产业政策符合性分析</w:t>
            </w:r>
          </w:p>
          <w:p w14:paraId="7AD96720">
            <w:pPr>
              <w:pStyle w:val="49"/>
              <w:adjustRightInd/>
              <w:snapToGrid/>
              <w:spacing w:line="360" w:lineRule="auto"/>
              <w:ind w:firstLine="480" w:firstLineChars="200"/>
              <w:jc w:val="both"/>
              <w:rPr>
                <w:u w:val="none"/>
              </w:rPr>
            </w:pPr>
            <w:r>
              <w:rPr>
                <w:u w:val="none"/>
              </w:rPr>
              <w:t>依照国家《产业结构调整指导目录（20</w:t>
            </w:r>
            <w:r>
              <w:rPr>
                <w:rFonts w:hint="eastAsia"/>
                <w:u w:val="none"/>
              </w:rPr>
              <w:t>24</w:t>
            </w:r>
            <w:r>
              <w:rPr>
                <w:u w:val="none"/>
              </w:rPr>
              <w:t>年本）》，本项目</w:t>
            </w:r>
            <w:r>
              <w:rPr>
                <w:rFonts w:hint="eastAsia"/>
                <w:u w:val="none"/>
              </w:rPr>
              <w:t>非金属矿储运</w:t>
            </w:r>
            <w:r>
              <w:rPr>
                <w:u w:val="none"/>
              </w:rPr>
              <w:t>建设项目，</w:t>
            </w:r>
            <w:r>
              <w:rPr>
                <w:rFonts w:hint="eastAsia"/>
                <w:u w:val="none"/>
              </w:rPr>
              <w:t>项目不属于鼓励类、限制类和淘汰类，为允许类。对照《环境保护综合名录（2021年版）》，项目产品不属于“高污染、高环境风险”产品名录中所列产品。</w:t>
            </w:r>
          </w:p>
          <w:p w14:paraId="75834EEA">
            <w:pPr>
              <w:pStyle w:val="49"/>
              <w:adjustRightInd/>
              <w:snapToGrid/>
              <w:spacing w:line="360" w:lineRule="auto"/>
              <w:ind w:firstLine="480" w:firstLineChars="200"/>
              <w:jc w:val="both"/>
              <w:rPr>
                <w:u w:val="none"/>
              </w:rPr>
            </w:pPr>
            <w:r>
              <w:rPr>
                <w:u w:val="none"/>
              </w:rPr>
              <w:t>该项目于202</w:t>
            </w:r>
            <w:r>
              <w:rPr>
                <w:rFonts w:hint="eastAsia"/>
                <w:u w:val="none"/>
              </w:rPr>
              <w:t>4</w:t>
            </w:r>
            <w:r>
              <w:rPr>
                <w:u w:val="none"/>
              </w:rPr>
              <w:t>年</w:t>
            </w:r>
            <w:r>
              <w:rPr>
                <w:rFonts w:hint="eastAsia"/>
                <w:u w:val="none"/>
              </w:rPr>
              <w:t>4</w:t>
            </w:r>
            <w:r>
              <w:rPr>
                <w:u w:val="none"/>
              </w:rPr>
              <w:t>月</w:t>
            </w:r>
            <w:r>
              <w:rPr>
                <w:rFonts w:hint="eastAsia"/>
                <w:u w:val="none"/>
              </w:rPr>
              <w:t>23</w:t>
            </w:r>
            <w:r>
              <w:rPr>
                <w:u w:val="none"/>
              </w:rPr>
              <w:t>日取得项目投资备案证，项目代码：</w:t>
            </w:r>
            <w:r>
              <w:rPr>
                <w:rFonts w:hint="eastAsia"/>
                <w:u w:val="none"/>
              </w:rPr>
              <w:t>2404</w:t>
            </w:r>
            <w:r>
              <w:rPr>
                <w:u w:val="none"/>
              </w:rPr>
              <w:t>-530381-04-0</w:t>
            </w:r>
            <w:r>
              <w:rPr>
                <w:rFonts w:hint="eastAsia"/>
                <w:u w:val="none"/>
              </w:rPr>
              <w:t>5</w:t>
            </w:r>
            <w:r>
              <w:rPr>
                <w:u w:val="none"/>
              </w:rPr>
              <w:t>-</w:t>
            </w:r>
            <w:r>
              <w:rPr>
                <w:rFonts w:hint="eastAsia"/>
                <w:u w:val="none"/>
              </w:rPr>
              <w:t>583559；综上，本项目符合国家有关产业政策。</w:t>
            </w:r>
          </w:p>
          <w:p w14:paraId="3B6A11BD">
            <w:pPr>
              <w:spacing w:line="360" w:lineRule="auto"/>
              <w:ind w:firstLine="482" w:firstLineChars="200"/>
              <w:rPr>
                <w:b/>
                <w:bCs/>
                <w:sz w:val="24"/>
                <w:u w:val="none"/>
              </w:rPr>
            </w:pPr>
            <w:r>
              <w:rPr>
                <w:rFonts w:hint="eastAsia"/>
                <w:b/>
                <w:bCs/>
                <w:sz w:val="24"/>
                <w:u w:val="none"/>
              </w:rPr>
              <w:t>2、</w:t>
            </w:r>
            <w:r>
              <w:rPr>
                <w:rFonts w:hint="eastAsia" w:ascii="宋体" w:hAnsi="宋体" w:cs="宋体"/>
                <w:b/>
                <w:bCs/>
                <w:sz w:val="24"/>
                <w:u w:val="none"/>
              </w:rPr>
              <w:t>“三线一单”</w:t>
            </w:r>
            <w:r>
              <w:rPr>
                <w:b/>
                <w:bCs/>
                <w:sz w:val="24"/>
                <w:u w:val="none"/>
              </w:rPr>
              <w:t>符合性分析</w:t>
            </w:r>
          </w:p>
          <w:p w14:paraId="1AB77E59">
            <w:pPr>
              <w:autoSpaceDE w:val="0"/>
              <w:autoSpaceDN w:val="0"/>
              <w:adjustRightInd w:val="0"/>
              <w:spacing w:line="360" w:lineRule="auto"/>
              <w:ind w:firstLine="480" w:firstLineChars="200"/>
              <w:rPr>
                <w:sz w:val="24"/>
                <w:u w:val="none"/>
              </w:rPr>
            </w:pPr>
            <w:r>
              <w:rPr>
                <w:rFonts w:hint="eastAsia"/>
                <w:sz w:val="24"/>
                <w:u w:val="none"/>
              </w:rPr>
              <w:t>2021年7月30日，曲靖市人民政府印发了《曲靖市“三线一单”生态环境分区管控实施方案》（曲政发〔2021〕27号），全市共划分80个生态环境管控单元，分为优先保护、重点管控和一般管控3类。</w:t>
            </w:r>
          </w:p>
          <w:p w14:paraId="680D1658">
            <w:pPr>
              <w:autoSpaceDE w:val="0"/>
              <w:autoSpaceDN w:val="0"/>
              <w:adjustRightInd w:val="0"/>
              <w:spacing w:line="360" w:lineRule="auto"/>
              <w:ind w:firstLine="480" w:firstLineChars="200"/>
              <w:rPr>
                <w:sz w:val="24"/>
                <w:u w:val="none"/>
              </w:rPr>
            </w:pPr>
            <w:r>
              <w:rPr>
                <w:rFonts w:hint="eastAsia"/>
                <w:sz w:val="24"/>
                <w:u w:val="none"/>
              </w:rPr>
              <w:t>优先保护单元（共27个）：包含生态保护红线和一般生态空间，主要分布在乌蒙山、大海草山、马雄山、菌子山、万峰山及东南部喀斯特地带石漠化防治区、水源保护区等重点生态功能区域。</w:t>
            </w:r>
          </w:p>
          <w:p w14:paraId="0270D6CB">
            <w:pPr>
              <w:autoSpaceDE w:val="0"/>
              <w:autoSpaceDN w:val="0"/>
              <w:adjustRightInd w:val="0"/>
              <w:spacing w:line="360" w:lineRule="auto"/>
              <w:ind w:firstLine="480" w:firstLineChars="200"/>
              <w:rPr>
                <w:sz w:val="24"/>
                <w:u w:val="none"/>
              </w:rPr>
            </w:pPr>
            <w:r>
              <w:rPr>
                <w:rFonts w:hint="eastAsia"/>
                <w:sz w:val="24"/>
                <w:u w:val="none"/>
              </w:rPr>
              <w:t>重点管控单元（共44个）：包含开发强度高、污染物排放强度大、生态环境问题相对集中的区域和大气环境布局敏感、弱扩散区等，主要分布在南盘江上游和北盘江流域、各类开发区和工业集中区、城镇规划区及环境质量改善压力较大的区域。</w:t>
            </w:r>
          </w:p>
          <w:p w14:paraId="269C392F">
            <w:pPr>
              <w:autoSpaceDE w:val="0"/>
              <w:autoSpaceDN w:val="0"/>
              <w:adjustRightInd w:val="0"/>
              <w:spacing w:line="360" w:lineRule="auto"/>
              <w:ind w:firstLine="480" w:firstLineChars="200"/>
              <w:rPr>
                <w:sz w:val="24"/>
                <w:u w:val="none"/>
              </w:rPr>
            </w:pPr>
            <w:r>
              <w:rPr>
                <w:rFonts w:hint="eastAsia"/>
                <w:sz w:val="24"/>
                <w:u w:val="none"/>
              </w:rPr>
              <w:t>一般管控单元（共9个）：为优先保护、重点管控单元之外的区域。</w:t>
            </w:r>
          </w:p>
          <w:p w14:paraId="40D260B6">
            <w:pPr>
              <w:autoSpaceDE w:val="0"/>
              <w:autoSpaceDN w:val="0"/>
              <w:adjustRightInd w:val="0"/>
              <w:spacing w:line="360" w:lineRule="auto"/>
              <w:ind w:firstLine="480" w:firstLineChars="200"/>
              <w:rPr>
                <w:b/>
                <w:bCs/>
                <w:szCs w:val="21"/>
                <w:u w:val="none"/>
              </w:rPr>
            </w:pPr>
            <w:r>
              <w:rPr>
                <w:rFonts w:hint="eastAsia"/>
                <w:sz w:val="24"/>
                <w:u w:val="none"/>
              </w:rPr>
              <w:t>本项目位于</w:t>
            </w:r>
            <w:r>
              <w:rPr>
                <w:sz w:val="24"/>
                <w:u w:val="none"/>
              </w:rPr>
              <w:t>宣威市</w:t>
            </w:r>
            <w:r>
              <w:rPr>
                <w:rFonts w:hint="eastAsia"/>
                <w:sz w:val="24"/>
                <w:u w:val="none"/>
              </w:rPr>
              <w:t>羊场产业园，属于重点管控单元。项目与“</w:t>
            </w:r>
            <w:r>
              <w:rPr>
                <w:sz w:val="24"/>
                <w:u w:val="none"/>
              </w:rPr>
              <w:t>三线一单</w:t>
            </w:r>
            <w:r>
              <w:rPr>
                <w:rFonts w:hint="eastAsia"/>
                <w:sz w:val="24"/>
                <w:u w:val="none"/>
              </w:rPr>
              <w:t>”</w:t>
            </w:r>
            <w:r>
              <w:rPr>
                <w:sz w:val="24"/>
                <w:u w:val="none"/>
              </w:rPr>
              <w:t>符合性分析见表1-</w:t>
            </w:r>
            <w:r>
              <w:rPr>
                <w:rFonts w:hint="eastAsia"/>
                <w:sz w:val="24"/>
                <w:u w:val="none"/>
              </w:rPr>
              <w:t>5。</w:t>
            </w:r>
          </w:p>
          <w:p w14:paraId="020695D0">
            <w:pPr>
              <w:snapToGrid w:val="0"/>
              <w:ind w:firstLine="422" w:firstLineChars="200"/>
              <w:jc w:val="center"/>
              <w:rPr>
                <w:b/>
                <w:bCs/>
                <w:szCs w:val="21"/>
                <w:u w:val="none"/>
              </w:rPr>
            </w:pPr>
            <w:r>
              <w:rPr>
                <w:b/>
                <w:bCs/>
                <w:szCs w:val="21"/>
                <w:u w:val="none"/>
              </w:rPr>
              <w:t>表1-</w:t>
            </w:r>
            <w:r>
              <w:rPr>
                <w:rFonts w:hint="eastAsia"/>
                <w:b/>
                <w:bCs/>
                <w:szCs w:val="21"/>
                <w:u w:val="none"/>
              </w:rPr>
              <w:t xml:space="preserve">5 </w:t>
            </w:r>
            <w:r>
              <w:rPr>
                <w:b/>
                <w:bCs/>
                <w:szCs w:val="21"/>
                <w:u w:val="none"/>
              </w:rPr>
              <w:t xml:space="preserve">  </w:t>
            </w:r>
            <w:r>
              <w:rPr>
                <w:rFonts w:hint="eastAsia"/>
                <w:b/>
                <w:bCs/>
                <w:szCs w:val="21"/>
                <w:u w:val="none"/>
              </w:rPr>
              <w:t>“</w:t>
            </w:r>
            <w:r>
              <w:rPr>
                <w:b/>
                <w:bCs/>
                <w:szCs w:val="21"/>
                <w:u w:val="none"/>
              </w:rPr>
              <w:t>三线一单</w:t>
            </w:r>
            <w:r>
              <w:rPr>
                <w:rFonts w:hint="eastAsia"/>
                <w:b/>
                <w:bCs/>
                <w:szCs w:val="21"/>
                <w:u w:val="none"/>
              </w:rPr>
              <w:t>”</w:t>
            </w:r>
            <w:r>
              <w:rPr>
                <w:b/>
                <w:bCs/>
                <w:szCs w:val="21"/>
                <w:u w:val="none"/>
              </w:rPr>
              <w:t>符合性分析表</w:t>
            </w:r>
          </w:p>
          <w:tbl>
            <w:tblPr>
              <w:tblStyle w:val="3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42"/>
              <w:gridCol w:w="1956"/>
              <w:gridCol w:w="2812"/>
              <w:gridCol w:w="566"/>
            </w:tblGrid>
            <w:tr w14:paraId="6399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552" w:type="pct"/>
                  <w:gridSpan w:val="3"/>
                  <w:vAlign w:val="center"/>
                </w:tcPr>
                <w:p w14:paraId="16BE0546">
                  <w:pPr>
                    <w:snapToGrid w:val="0"/>
                    <w:jc w:val="center"/>
                    <w:rPr>
                      <w:b/>
                      <w:bCs/>
                      <w:szCs w:val="21"/>
                      <w:u w:val="none"/>
                    </w:rPr>
                  </w:pPr>
                  <w:r>
                    <w:rPr>
                      <w:rFonts w:hint="eastAsia"/>
                      <w:b/>
                      <w:bCs/>
                      <w:szCs w:val="21"/>
                      <w:u w:val="none"/>
                    </w:rPr>
                    <w:t>曲政发〔2021〕27号</w:t>
                  </w:r>
                </w:p>
              </w:tc>
              <w:tc>
                <w:tcPr>
                  <w:tcW w:w="2037" w:type="pct"/>
                  <w:vAlign w:val="center"/>
                </w:tcPr>
                <w:p w14:paraId="78F4ABE0">
                  <w:pPr>
                    <w:snapToGrid w:val="0"/>
                    <w:jc w:val="center"/>
                    <w:rPr>
                      <w:b/>
                      <w:bCs/>
                      <w:szCs w:val="21"/>
                      <w:u w:val="none"/>
                    </w:rPr>
                  </w:pPr>
                  <w:r>
                    <w:rPr>
                      <w:rFonts w:hint="eastAsia"/>
                      <w:b/>
                      <w:bCs/>
                      <w:szCs w:val="21"/>
                      <w:u w:val="none"/>
                    </w:rPr>
                    <w:t>项目情况</w:t>
                  </w:r>
                </w:p>
              </w:tc>
              <w:tc>
                <w:tcPr>
                  <w:tcW w:w="410" w:type="pct"/>
                  <w:vAlign w:val="center"/>
                </w:tcPr>
                <w:p w14:paraId="60751909">
                  <w:pPr>
                    <w:snapToGrid w:val="0"/>
                    <w:jc w:val="center"/>
                    <w:rPr>
                      <w:b/>
                      <w:bCs/>
                      <w:szCs w:val="21"/>
                      <w:u w:val="none"/>
                    </w:rPr>
                  </w:pPr>
                  <w:r>
                    <w:rPr>
                      <w:rFonts w:hint="eastAsia"/>
                      <w:b/>
                      <w:bCs/>
                      <w:szCs w:val="21"/>
                      <w:u w:val="none"/>
                    </w:rPr>
                    <w:t>符合</w:t>
                  </w:r>
                  <w:r>
                    <w:rPr>
                      <w:rFonts w:hint="eastAsia"/>
                      <w:b/>
                      <w:bCs/>
                      <w:szCs w:val="21"/>
                      <w:u w:val="none" w:color="auto"/>
                      <w:shd w:val="clear" w:fill="auto"/>
                    </w:rPr>
                    <w:t>性</w:t>
                  </w:r>
                </w:p>
              </w:tc>
            </w:tr>
            <w:tr w14:paraId="6F6C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08" w:type="pct"/>
                  <w:vAlign w:val="center"/>
                </w:tcPr>
                <w:p w14:paraId="0C775424">
                  <w:pPr>
                    <w:snapToGrid w:val="0"/>
                    <w:jc w:val="center"/>
                    <w:rPr>
                      <w:szCs w:val="21"/>
                      <w:u w:val="none"/>
                    </w:rPr>
                  </w:pPr>
                  <w:r>
                    <w:rPr>
                      <w:szCs w:val="21"/>
                      <w:u w:val="none"/>
                    </w:rPr>
                    <w:t>生态保护红线</w:t>
                  </w:r>
                </w:p>
              </w:tc>
              <w:tc>
                <w:tcPr>
                  <w:tcW w:w="2244" w:type="pct"/>
                  <w:gridSpan w:val="2"/>
                  <w:vAlign w:val="center"/>
                </w:tcPr>
                <w:p w14:paraId="781DD3C7">
                  <w:pPr>
                    <w:snapToGrid w:val="0"/>
                    <w:jc w:val="center"/>
                    <w:rPr>
                      <w:szCs w:val="21"/>
                      <w:u w:val="none"/>
                    </w:rPr>
                  </w:pPr>
                  <w:r>
                    <w:rPr>
                      <w:szCs w:val="21"/>
                      <w:u w:val="none"/>
                    </w:rPr>
                    <w:t>执行云南省人民政府发布的生态保护红线，生态保护红线评估调整成果获批后，按照批准成果执行。将未划入生态保护红线的自然保护地、饮用水水源保护区、重要湿地、基本草原、生态公益林、天然林等生态功能重要、生态环境敏感区域划为一般生态空间。</w:t>
                  </w:r>
                </w:p>
              </w:tc>
              <w:tc>
                <w:tcPr>
                  <w:tcW w:w="2037" w:type="pct"/>
                </w:tcPr>
                <w:p w14:paraId="2DC89D26">
                  <w:pPr>
                    <w:wordWrap w:val="0"/>
                    <w:snapToGrid w:val="0"/>
                    <w:rPr>
                      <w:szCs w:val="21"/>
                      <w:u w:val="none"/>
                    </w:rPr>
                  </w:pPr>
                  <w:r>
                    <w:rPr>
                      <w:szCs w:val="21"/>
                      <w:u w:val="none"/>
                    </w:rPr>
                    <w:t>项目位于宣威市羊场产业园内，</w:t>
                  </w:r>
                  <w:r>
                    <w:rPr>
                      <w:rFonts w:hint="eastAsia"/>
                      <w:szCs w:val="21"/>
                      <w:u w:val="none"/>
                    </w:rPr>
                    <w:t>根据与《云南宣威经济技术开发区总体规划修编（2020—2035）》中“生态保护红线衔接图”对比（见附图7），项目建设地块不涉及云南省划定的生态红线范围。根据与《云南宣威经济技术开发区总体规划修编（2020—2035）》中“公益林保护衔接图”（见附图8）和“饮用水水源保护区衔接图”（见附图9）等对比，</w:t>
                  </w:r>
                  <w:r>
                    <w:rPr>
                      <w:szCs w:val="21"/>
                      <w:u w:val="none"/>
                    </w:rPr>
                    <w:t>本项目也不涉及未划入生态保护红线的自然保护地、饮用水水源保护区、重要湿地、基本草原、生态公益林、天然林等生态功能重要、生态环境敏感区域划为一般生态空间。</w:t>
                  </w:r>
                </w:p>
              </w:tc>
              <w:tc>
                <w:tcPr>
                  <w:tcW w:w="410" w:type="pct"/>
                  <w:vAlign w:val="center"/>
                </w:tcPr>
                <w:p w14:paraId="09D8B37A">
                  <w:pPr>
                    <w:wordWrap w:val="0"/>
                    <w:snapToGrid w:val="0"/>
                    <w:jc w:val="center"/>
                    <w:rPr>
                      <w:szCs w:val="21"/>
                      <w:u w:val="none"/>
                    </w:rPr>
                  </w:pPr>
                  <w:r>
                    <w:rPr>
                      <w:rFonts w:hint="eastAsia"/>
                      <w:szCs w:val="21"/>
                      <w:u w:val="none"/>
                    </w:rPr>
                    <w:t>符合</w:t>
                  </w:r>
                </w:p>
              </w:tc>
            </w:tr>
            <w:tr w14:paraId="4021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8" w:type="pct"/>
                  <w:vMerge w:val="restart"/>
                  <w:vAlign w:val="center"/>
                </w:tcPr>
                <w:p w14:paraId="701F95C3">
                  <w:pPr>
                    <w:snapToGrid w:val="0"/>
                    <w:jc w:val="center"/>
                    <w:rPr>
                      <w:szCs w:val="21"/>
                      <w:u w:val="none"/>
                    </w:rPr>
                  </w:pPr>
                  <w:r>
                    <w:rPr>
                      <w:szCs w:val="21"/>
                      <w:u w:val="none"/>
                    </w:rPr>
                    <w:t>环境质量底线</w:t>
                  </w:r>
                </w:p>
              </w:tc>
              <w:tc>
                <w:tcPr>
                  <w:tcW w:w="2244" w:type="pct"/>
                  <w:gridSpan w:val="2"/>
                  <w:vAlign w:val="center"/>
                </w:tcPr>
                <w:p w14:paraId="7D0B630B">
                  <w:pPr>
                    <w:snapToGrid w:val="0"/>
                    <w:jc w:val="center"/>
                    <w:rPr>
                      <w:szCs w:val="21"/>
                      <w:u w:val="none"/>
                    </w:rPr>
                  </w:pPr>
                  <w:r>
                    <w:rPr>
                      <w:szCs w:val="21"/>
                      <w:u w:val="none"/>
                    </w:rPr>
                    <w:t>水环境质量底线。到2025年，全市水环境质量总体优良，集中式饮用水水源地水质保持稳定，纳入国家和省级考核的地表水监测断面水质优良率稳步提升，重点区域、流域水环境质量进一步改善，基本消除劣V类水体，水生态系统功能初步恢复。到2035年，全市地表水体水质优良率全面提升，各监测断面水质达到水环境功能要求，消除劣Ⅴ类水体，集中式饮用水水源地水质稳定达标。</w:t>
                  </w:r>
                </w:p>
              </w:tc>
              <w:tc>
                <w:tcPr>
                  <w:tcW w:w="2037" w:type="pct"/>
                  <w:vAlign w:val="center"/>
                </w:tcPr>
                <w:p w14:paraId="6E84A33A">
                  <w:pPr>
                    <w:wordWrap w:val="0"/>
                    <w:snapToGrid w:val="0"/>
                    <w:jc w:val="center"/>
                    <w:rPr>
                      <w:szCs w:val="21"/>
                      <w:u w:val="none"/>
                    </w:rPr>
                  </w:pPr>
                  <w:r>
                    <w:rPr>
                      <w:szCs w:val="21"/>
                      <w:u w:val="none"/>
                    </w:rPr>
                    <w:t>项目所在地涉及的地表</w:t>
                  </w:r>
                  <w:r>
                    <w:rPr>
                      <w:rFonts w:hint="eastAsia"/>
                      <w:szCs w:val="21"/>
                      <w:u w:val="none"/>
                    </w:rPr>
                    <w:t>水体</w:t>
                  </w:r>
                  <w:r>
                    <w:rPr>
                      <w:szCs w:val="21"/>
                      <w:u w:val="none"/>
                    </w:rPr>
                    <w:t>为</w:t>
                  </w:r>
                  <w:r>
                    <w:rPr>
                      <w:rFonts w:hint="eastAsia"/>
                      <w:szCs w:val="21"/>
                      <w:u w:val="none"/>
                    </w:rPr>
                    <w:t>南侧约5m处的赤那河，赤那河最终汇入北盘江。</w:t>
                  </w:r>
                  <w:r>
                    <w:rPr>
                      <w:szCs w:val="21"/>
                      <w:u w:val="none"/>
                    </w:rPr>
                    <w:t>根据曲靖市生态环境局</w:t>
                  </w:r>
                  <w:r>
                    <w:rPr>
                      <w:rFonts w:hint="eastAsia"/>
                      <w:szCs w:val="21"/>
                      <w:u w:val="none"/>
                    </w:rPr>
                    <w:t>于2024年1月30日在官网上</w:t>
                  </w:r>
                  <w:r>
                    <w:rPr>
                      <w:szCs w:val="21"/>
                      <w:u w:val="none"/>
                    </w:rPr>
                    <w:t>公开发布的《202</w:t>
                  </w:r>
                  <w:r>
                    <w:rPr>
                      <w:rFonts w:hint="eastAsia"/>
                      <w:szCs w:val="21"/>
                      <w:u w:val="none"/>
                    </w:rPr>
                    <w:t>3</w:t>
                  </w:r>
                  <w:r>
                    <w:rPr>
                      <w:szCs w:val="21"/>
                      <w:u w:val="none"/>
                    </w:rPr>
                    <w:t>年水环境质量》，</w:t>
                  </w:r>
                  <w:r>
                    <w:rPr>
                      <w:rFonts w:hint="eastAsia"/>
                      <w:szCs w:val="21"/>
                      <w:u w:val="none"/>
                    </w:rPr>
                    <w:t>省</w:t>
                  </w:r>
                  <w:r>
                    <w:rPr>
                      <w:szCs w:val="21"/>
                      <w:u w:val="none"/>
                    </w:rPr>
                    <w:t>控断面</w:t>
                  </w:r>
                  <w:r>
                    <w:rPr>
                      <w:rFonts w:hint="eastAsia"/>
                      <w:szCs w:val="21"/>
                      <w:u w:val="none"/>
                    </w:rPr>
                    <w:t>亦那河（赤那河）</w:t>
                  </w:r>
                  <w:r>
                    <w:rPr>
                      <w:szCs w:val="21"/>
                      <w:u w:val="none"/>
                    </w:rPr>
                    <w:t>断面水质类别为Ⅲ类。</w:t>
                  </w:r>
                </w:p>
              </w:tc>
              <w:tc>
                <w:tcPr>
                  <w:tcW w:w="410" w:type="pct"/>
                  <w:vAlign w:val="center"/>
                </w:tcPr>
                <w:p w14:paraId="5B88726F">
                  <w:pPr>
                    <w:wordWrap w:val="0"/>
                    <w:snapToGrid w:val="0"/>
                    <w:jc w:val="center"/>
                    <w:rPr>
                      <w:szCs w:val="21"/>
                      <w:u w:val="none"/>
                    </w:rPr>
                  </w:pPr>
                  <w:r>
                    <w:rPr>
                      <w:rFonts w:hint="eastAsia"/>
                      <w:szCs w:val="21"/>
                      <w:u w:val="thick" w:color="FFB03A"/>
                      <w:shd w:val="clear" w:fill="FFEFD7"/>
                    </w:rPr>
                    <w:t>符合</w:t>
                  </w:r>
                </w:p>
              </w:tc>
            </w:tr>
            <w:tr w14:paraId="78D2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8" w:type="pct"/>
                  <w:vMerge w:val="continue"/>
                  <w:vAlign w:val="center"/>
                </w:tcPr>
                <w:p w14:paraId="5F394920">
                  <w:pPr>
                    <w:snapToGrid w:val="0"/>
                    <w:jc w:val="center"/>
                    <w:rPr>
                      <w:szCs w:val="21"/>
                      <w:u w:val="none"/>
                    </w:rPr>
                  </w:pPr>
                </w:p>
              </w:tc>
              <w:tc>
                <w:tcPr>
                  <w:tcW w:w="2244" w:type="pct"/>
                  <w:gridSpan w:val="2"/>
                  <w:vAlign w:val="center"/>
                </w:tcPr>
                <w:p w14:paraId="6436468A">
                  <w:pPr>
                    <w:snapToGrid w:val="0"/>
                    <w:jc w:val="center"/>
                    <w:rPr>
                      <w:szCs w:val="21"/>
                      <w:u w:val="none"/>
                    </w:rPr>
                  </w:pPr>
                  <w:r>
                    <w:rPr>
                      <w:szCs w:val="21"/>
                      <w:u w:val="none"/>
                    </w:rPr>
                    <w:t>大气环境质量底线。到2025年，环境空气质量稳中向好，中心城市和各县（市、区）环境空气质量稳定达到国家二级标准</w:t>
                  </w:r>
                  <w:r>
                    <w:rPr>
                      <w:rFonts w:hint="eastAsia"/>
                      <w:szCs w:val="21"/>
                      <w:u w:val="none"/>
                    </w:rPr>
                    <w:t>。</w:t>
                  </w:r>
                  <w:r>
                    <w:rPr>
                      <w:szCs w:val="21"/>
                      <w:u w:val="none"/>
                    </w:rPr>
                    <w:t>优良率保持稳定，达到省级下达的考核目标要求。到 2035年，环境空气质量全面改善，中心城市和各县（市、区）环境空气质量稳定达到国家二级标准。</w:t>
                  </w:r>
                </w:p>
              </w:tc>
              <w:tc>
                <w:tcPr>
                  <w:tcW w:w="2037" w:type="pct"/>
                  <w:vAlign w:val="center"/>
                </w:tcPr>
                <w:p w14:paraId="794BD31A">
                  <w:pPr>
                    <w:wordWrap w:val="0"/>
                    <w:snapToGrid w:val="0"/>
                    <w:jc w:val="center"/>
                    <w:rPr>
                      <w:szCs w:val="21"/>
                      <w:u w:val="none"/>
                    </w:rPr>
                  </w:pPr>
                  <w:r>
                    <w:rPr>
                      <w:szCs w:val="21"/>
                      <w:u w:val="none"/>
                    </w:rPr>
                    <w:t>根据宣威市革香河水电开发有限公司楼顶环境空气自动监测站202</w:t>
                  </w:r>
                  <w:r>
                    <w:rPr>
                      <w:rFonts w:hint="eastAsia"/>
                      <w:szCs w:val="21"/>
                      <w:u w:val="none"/>
                    </w:rPr>
                    <w:t>2</w:t>
                  </w:r>
                  <w:r>
                    <w:rPr>
                      <w:szCs w:val="21"/>
                      <w:u w:val="none"/>
                    </w:rPr>
                    <w:t>年监测公报，202</w:t>
                  </w:r>
                  <w:r>
                    <w:rPr>
                      <w:rFonts w:hint="eastAsia"/>
                      <w:szCs w:val="21"/>
                      <w:u w:val="none"/>
                    </w:rPr>
                    <w:t>2</w:t>
                  </w:r>
                  <w:r>
                    <w:rPr>
                      <w:szCs w:val="21"/>
                      <w:u w:val="none"/>
                    </w:rPr>
                    <w:t>年，宣威市城区环境空气质量有效监测</w:t>
                  </w:r>
                  <w:r>
                    <w:rPr>
                      <w:rFonts w:hint="eastAsia"/>
                      <w:szCs w:val="21"/>
                      <w:u w:val="none"/>
                    </w:rPr>
                    <w:t>355</w:t>
                  </w:r>
                  <w:r>
                    <w:rPr>
                      <w:szCs w:val="21"/>
                      <w:u w:val="none"/>
                    </w:rPr>
                    <w:t>天，在有效监测天数内，城区环境空气质量优良率100%，6项污染物</w:t>
                  </w:r>
                  <w:r>
                    <w:rPr>
                      <w:rFonts w:hint="eastAsia"/>
                      <w:szCs w:val="21"/>
                      <w:u w:val="none"/>
                    </w:rPr>
                    <w:t>年评价指标满足</w:t>
                  </w:r>
                  <w:r>
                    <w:rPr>
                      <w:szCs w:val="21"/>
                      <w:u w:val="none"/>
                    </w:rPr>
                    <w:t>《环境空气质量标准》（GB</w:t>
                  </w:r>
                  <w:r>
                    <w:rPr>
                      <w:rFonts w:hint="eastAsia"/>
                      <w:szCs w:val="21"/>
                      <w:u w:val="none"/>
                    </w:rPr>
                    <w:t xml:space="preserve"> </w:t>
                  </w:r>
                  <w:r>
                    <w:rPr>
                      <w:szCs w:val="21"/>
                      <w:u w:val="none"/>
                    </w:rPr>
                    <w:t>3095-2012）中二级标准及其修改单要求</w:t>
                  </w:r>
                  <w:r>
                    <w:rPr>
                      <w:rFonts w:hint="eastAsia"/>
                      <w:szCs w:val="21"/>
                      <w:u w:val="none"/>
                    </w:rPr>
                    <w:t>。项目区为达标区。</w:t>
                  </w:r>
                </w:p>
              </w:tc>
              <w:tc>
                <w:tcPr>
                  <w:tcW w:w="410" w:type="pct"/>
                  <w:vAlign w:val="center"/>
                </w:tcPr>
                <w:p w14:paraId="3006FBA6">
                  <w:pPr>
                    <w:wordWrap w:val="0"/>
                    <w:snapToGrid w:val="0"/>
                    <w:jc w:val="center"/>
                    <w:rPr>
                      <w:szCs w:val="21"/>
                      <w:u w:val="none"/>
                    </w:rPr>
                  </w:pPr>
                  <w:r>
                    <w:rPr>
                      <w:rFonts w:hint="eastAsia"/>
                      <w:szCs w:val="21"/>
                      <w:u w:val="thick" w:color="FFB03A"/>
                      <w:shd w:val="clear" w:fill="FFEFD7"/>
                    </w:rPr>
                    <w:t>符合</w:t>
                  </w:r>
                </w:p>
              </w:tc>
            </w:tr>
            <w:tr w14:paraId="4CA3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8" w:type="pct"/>
                  <w:vMerge w:val="continue"/>
                  <w:vAlign w:val="center"/>
                </w:tcPr>
                <w:p w14:paraId="3A410C6E">
                  <w:pPr>
                    <w:snapToGrid w:val="0"/>
                    <w:jc w:val="center"/>
                    <w:rPr>
                      <w:szCs w:val="21"/>
                      <w:u w:val="none"/>
                    </w:rPr>
                  </w:pPr>
                </w:p>
              </w:tc>
              <w:tc>
                <w:tcPr>
                  <w:tcW w:w="2244" w:type="pct"/>
                  <w:gridSpan w:val="2"/>
                  <w:vAlign w:val="center"/>
                </w:tcPr>
                <w:p w14:paraId="54A29EA6">
                  <w:pPr>
                    <w:snapToGrid w:val="0"/>
                    <w:jc w:val="center"/>
                    <w:rPr>
                      <w:szCs w:val="21"/>
                      <w:u w:val="none"/>
                    </w:rPr>
                  </w:pPr>
                  <w:r>
                    <w:rPr>
                      <w:szCs w:val="21"/>
                      <w:u w:val="none"/>
                    </w:rPr>
                    <w:t>土壤环境风险防控底线。到2025年，全市土壤环境风险防范体系进一步完善，农用地和建设用地土壤环境安全基本得到有效保障，受污染耕地安全利用率和污染地块安全利用率进一步提高。到 2035年，全市土壤环境质量稳中向好，农用地和建设用地土壤环境安全得到有效保障，土壤环境风险得到全面管控。</w:t>
                  </w:r>
                </w:p>
              </w:tc>
              <w:tc>
                <w:tcPr>
                  <w:tcW w:w="2037" w:type="pct"/>
                  <w:vAlign w:val="center"/>
                </w:tcPr>
                <w:p w14:paraId="6ADAAB96">
                  <w:pPr>
                    <w:wordWrap w:val="0"/>
                    <w:snapToGrid w:val="0"/>
                    <w:jc w:val="center"/>
                    <w:rPr>
                      <w:szCs w:val="21"/>
                      <w:u w:val="none"/>
                    </w:rPr>
                  </w:pPr>
                  <w:r>
                    <w:rPr>
                      <w:szCs w:val="21"/>
                      <w:u w:val="none"/>
                    </w:rPr>
                    <w:t>本项目</w:t>
                  </w:r>
                  <w:r>
                    <w:rPr>
                      <w:rFonts w:hint="eastAsia"/>
                      <w:szCs w:val="21"/>
                      <w:u w:val="none"/>
                    </w:rPr>
                    <w:t>车辆清洗废水和场地雨污水</w:t>
                  </w:r>
                  <w:r>
                    <w:rPr>
                      <w:szCs w:val="21"/>
                      <w:u w:val="none"/>
                    </w:rPr>
                    <w:t>经沉淀处理后回用，厂区地面要求做好水泥硬化。本项目排放的废气、废水、固废不涉及重金属、酸、碱等有毒有害污染物，对土壤环境的影响很小。</w:t>
                  </w:r>
                </w:p>
              </w:tc>
              <w:tc>
                <w:tcPr>
                  <w:tcW w:w="410" w:type="pct"/>
                  <w:vAlign w:val="center"/>
                </w:tcPr>
                <w:p w14:paraId="2E7BF9AB">
                  <w:pPr>
                    <w:wordWrap w:val="0"/>
                    <w:snapToGrid w:val="0"/>
                    <w:jc w:val="center"/>
                    <w:rPr>
                      <w:szCs w:val="21"/>
                      <w:u w:val="none"/>
                    </w:rPr>
                  </w:pPr>
                  <w:r>
                    <w:rPr>
                      <w:rFonts w:hint="eastAsia"/>
                      <w:szCs w:val="21"/>
                      <w:u w:val="none"/>
                    </w:rPr>
                    <w:t>符合</w:t>
                  </w:r>
                </w:p>
              </w:tc>
            </w:tr>
            <w:tr w14:paraId="52C0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08" w:type="pct"/>
                  <w:vAlign w:val="center"/>
                </w:tcPr>
                <w:p w14:paraId="1D25D02B">
                  <w:pPr>
                    <w:snapToGrid w:val="0"/>
                    <w:jc w:val="center"/>
                    <w:rPr>
                      <w:szCs w:val="21"/>
                      <w:u w:val="none"/>
                    </w:rPr>
                  </w:pPr>
                  <w:r>
                    <w:rPr>
                      <w:szCs w:val="21"/>
                      <w:u w:val="none"/>
                    </w:rPr>
                    <w:t>资源利用上线</w:t>
                  </w:r>
                </w:p>
              </w:tc>
              <w:tc>
                <w:tcPr>
                  <w:tcW w:w="2244" w:type="pct"/>
                  <w:gridSpan w:val="2"/>
                  <w:vAlign w:val="center"/>
                </w:tcPr>
                <w:p w14:paraId="07004A78">
                  <w:pPr>
                    <w:snapToGrid w:val="0"/>
                    <w:jc w:val="center"/>
                    <w:rPr>
                      <w:szCs w:val="21"/>
                      <w:u w:val="none"/>
                    </w:rPr>
                  </w:pPr>
                  <w:r>
                    <w:rPr>
                      <w:szCs w:val="21"/>
                      <w:u w:val="none"/>
                    </w:rPr>
                    <w:t>强化节约集约利用，持续提升资源能源利用效率，</w:t>
                  </w:r>
                  <w:r>
                    <w:rPr>
                      <w:rFonts w:hint="eastAsia"/>
                      <w:szCs w:val="21"/>
                      <w:u w:val="none"/>
                    </w:rPr>
                    <w:t>确保</w:t>
                  </w:r>
                  <w:r>
                    <w:rPr>
                      <w:szCs w:val="21"/>
                      <w:u w:val="none"/>
                    </w:rPr>
                    <w:t>水资源、土地资源、能源消耗完成省级下达的控制目标。</w:t>
                  </w:r>
                </w:p>
              </w:tc>
              <w:tc>
                <w:tcPr>
                  <w:tcW w:w="2037" w:type="pct"/>
                </w:tcPr>
                <w:p w14:paraId="2FA33DB9">
                  <w:pPr>
                    <w:snapToGrid w:val="0"/>
                    <w:rPr>
                      <w:szCs w:val="21"/>
                      <w:u w:val="none"/>
                    </w:rPr>
                  </w:pPr>
                  <w:r>
                    <w:rPr>
                      <w:rFonts w:hint="eastAsia"/>
                      <w:szCs w:val="21"/>
                      <w:u w:val="none"/>
                    </w:rPr>
                    <w:t>本项目为磷矿集运项目，</w:t>
                  </w:r>
                  <w:r>
                    <w:rPr>
                      <w:szCs w:val="21"/>
                      <w:u w:val="none"/>
                    </w:rPr>
                    <w:t>消耗一定量的</w:t>
                  </w:r>
                  <w:r>
                    <w:rPr>
                      <w:rFonts w:hint="eastAsia"/>
                      <w:szCs w:val="21"/>
                      <w:u w:val="none"/>
                    </w:rPr>
                    <w:t>电能</w:t>
                  </w:r>
                  <w:r>
                    <w:rPr>
                      <w:szCs w:val="21"/>
                      <w:u w:val="none"/>
                    </w:rPr>
                    <w:t>，</w:t>
                  </w:r>
                  <w:r>
                    <w:rPr>
                      <w:rFonts w:hint="eastAsia"/>
                      <w:szCs w:val="21"/>
                      <w:u w:val="none"/>
                    </w:rPr>
                    <w:t>为清洁能源。根据与《云南宣威经济技术开发区总体规划修编（2020-2035）》中“永久基本农田衔接图”（见附图10），</w:t>
                  </w:r>
                  <w:r>
                    <w:rPr>
                      <w:szCs w:val="21"/>
                      <w:u w:val="none"/>
                    </w:rPr>
                    <w:t>项目用地不涉及基本农田，项目资源消耗量相对区域资源利用总量较少，不触及资源利用上线。</w:t>
                  </w:r>
                </w:p>
              </w:tc>
              <w:tc>
                <w:tcPr>
                  <w:tcW w:w="410" w:type="pct"/>
                  <w:vAlign w:val="center"/>
                </w:tcPr>
                <w:p w14:paraId="36CAC3E2">
                  <w:pPr>
                    <w:snapToGrid w:val="0"/>
                    <w:jc w:val="center"/>
                    <w:rPr>
                      <w:szCs w:val="21"/>
                      <w:u w:val="none"/>
                    </w:rPr>
                  </w:pPr>
                  <w:r>
                    <w:rPr>
                      <w:rFonts w:hint="eastAsia"/>
                      <w:szCs w:val="21"/>
                      <w:u w:val="none"/>
                    </w:rPr>
                    <w:t>符合</w:t>
                  </w:r>
                </w:p>
              </w:tc>
            </w:tr>
            <w:tr w14:paraId="2F44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308" w:type="pct"/>
                  <w:vMerge w:val="restart"/>
                  <w:vAlign w:val="center"/>
                </w:tcPr>
                <w:p w14:paraId="2D0E23E2">
                  <w:pPr>
                    <w:snapToGrid w:val="0"/>
                    <w:jc w:val="center"/>
                    <w:rPr>
                      <w:szCs w:val="21"/>
                      <w:u w:val="none"/>
                    </w:rPr>
                  </w:pPr>
                  <w:r>
                    <w:rPr>
                      <w:rFonts w:hint="eastAsia"/>
                      <w:szCs w:val="21"/>
                      <w:u w:val="none"/>
                    </w:rPr>
                    <w:t>生态</w:t>
                  </w:r>
                  <w:r>
                    <w:rPr>
                      <w:szCs w:val="21"/>
                      <w:u w:val="none"/>
                    </w:rPr>
                    <w:t>环境准入负面清单</w:t>
                  </w:r>
                </w:p>
              </w:tc>
              <w:tc>
                <w:tcPr>
                  <w:tcW w:w="2244" w:type="pct"/>
                  <w:gridSpan w:val="2"/>
                  <w:vAlign w:val="center"/>
                </w:tcPr>
                <w:p w14:paraId="54AE8AAB">
                  <w:pPr>
                    <w:snapToGrid w:val="0"/>
                    <w:jc w:val="center"/>
                    <w:rPr>
                      <w:szCs w:val="21"/>
                      <w:u w:val="none"/>
                    </w:rPr>
                  </w:pPr>
                  <w:r>
                    <w:rPr>
                      <w:rFonts w:hint="eastAsia"/>
                      <w:szCs w:val="21"/>
                      <w:u w:val="none"/>
                    </w:rPr>
                    <w:t>重点管控单元突出污染物排放控制和环境风险防控，以守住环境质量底线、积极发展社会经济为导向，以推动产业转型升级、强化污染减排、提升资源利用效率为重点，加快解决资源环境负荷大、局部区域生态环境质量差、生态环境风险高等问题。</w:t>
                  </w:r>
                </w:p>
              </w:tc>
              <w:tc>
                <w:tcPr>
                  <w:tcW w:w="2037" w:type="pct"/>
                  <w:vAlign w:val="center"/>
                </w:tcPr>
                <w:p w14:paraId="593E81AA">
                  <w:pPr>
                    <w:wordWrap w:val="0"/>
                    <w:snapToGrid w:val="0"/>
                    <w:jc w:val="center"/>
                    <w:rPr>
                      <w:szCs w:val="21"/>
                      <w:u w:val="none"/>
                    </w:rPr>
                  </w:pPr>
                  <w:r>
                    <w:rPr>
                      <w:rFonts w:hint="eastAsia"/>
                      <w:szCs w:val="21"/>
                      <w:u w:val="none"/>
                    </w:rPr>
                    <w:t>本项目污染物产生量少，通过采取各类污染防治措施，</w:t>
                  </w:r>
                  <w:r>
                    <w:rPr>
                      <w:szCs w:val="21"/>
                      <w:u w:val="none"/>
                    </w:rPr>
                    <w:t>各污染物能够做到达标排放</w:t>
                  </w:r>
                  <w:r>
                    <w:rPr>
                      <w:rFonts w:hint="eastAsia"/>
                      <w:szCs w:val="21"/>
                      <w:u w:val="none"/>
                    </w:rPr>
                    <w:t>和合理处置</w:t>
                  </w:r>
                  <w:r>
                    <w:rPr>
                      <w:szCs w:val="21"/>
                      <w:u w:val="none"/>
                    </w:rPr>
                    <w:t>，对周边的环境影响较小</w:t>
                  </w:r>
                  <w:r>
                    <w:rPr>
                      <w:rFonts w:hint="eastAsia"/>
                      <w:szCs w:val="21"/>
                      <w:u w:val="none"/>
                    </w:rPr>
                    <w:t>；项目</w:t>
                  </w:r>
                  <w:r>
                    <w:rPr>
                      <w:szCs w:val="21"/>
                      <w:u w:val="none"/>
                    </w:rPr>
                    <w:t>为</w:t>
                  </w:r>
                  <w:r>
                    <w:rPr>
                      <w:rFonts w:hint="eastAsia"/>
                      <w:szCs w:val="21"/>
                      <w:u w:val="none"/>
                    </w:rPr>
                    <w:t>“</w:t>
                  </w:r>
                  <w:r>
                    <w:rPr>
                      <w:szCs w:val="21"/>
                      <w:u w:val="none"/>
                    </w:rPr>
                    <w:t>云南宣威磷电有限责任公司8万t/a黄磷生产项目</w:t>
                  </w:r>
                  <w:r>
                    <w:rPr>
                      <w:rFonts w:hint="eastAsia"/>
                      <w:szCs w:val="21"/>
                      <w:u w:val="none"/>
                    </w:rPr>
                    <w:t>”</w:t>
                  </w:r>
                  <w:r>
                    <w:rPr>
                      <w:szCs w:val="21"/>
                      <w:u w:val="none"/>
                    </w:rPr>
                    <w:t>的</w:t>
                  </w:r>
                  <w:r>
                    <w:rPr>
                      <w:rFonts w:hint="eastAsia"/>
                      <w:szCs w:val="21"/>
                      <w:u w:val="none"/>
                    </w:rPr>
                    <w:t>原料集运</w:t>
                  </w:r>
                  <w:r>
                    <w:rPr>
                      <w:szCs w:val="21"/>
                      <w:u w:val="none"/>
                    </w:rPr>
                    <w:t>工程</w:t>
                  </w:r>
                  <w:r>
                    <w:rPr>
                      <w:rFonts w:hint="eastAsia"/>
                      <w:szCs w:val="21"/>
                      <w:u w:val="none"/>
                    </w:rPr>
                    <w:t>，有利于促进资源的综合利用，改善生态环境。</w:t>
                  </w:r>
                </w:p>
              </w:tc>
              <w:tc>
                <w:tcPr>
                  <w:tcW w:w="410" w:type="pct"/>
                  <w:vMerge w:val="restart"/>
                  <w:vAlign w:val="center"/>
                </w:tcPr>
                <w:p w14:paraId="5A4E2531">
                  <w:pPr>
                    <w:wordWrap w:val="0"/>
                    <w:snapToGrid w:val="0"/>
                    <w:jc w:val="center"/>
                    <w:rPr>
                      <w:szCs w:val="21"/>
                      <w:u w:val="none"/>
                    </w:rPr>
                  </w:pPr>
                  <w:r>
                    <w:rPr>
                      <w:rFonts w:hint="eastAsia"/>
                      <w:szCs w:val="21"/>
                      <w:u w:val="none"/>
                    </w:rPr>
                    <w:t>符合</w:t>
                  </w:r>
                </w:p>
              </w:tc>
            </w:tr>
            <w:tr w14:paraId="284A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 w:hRule="atLeast"/>
              </w:trPr>
              <w:tc>
                <w:tcPr>
                  <w:tcW w:w="308" w:type="pct"/>
                  <w:vMerge w:val="continue"/>
                  <w:vAlign w:val="center"/>
                </w:tcPr>
                <w:p w14:paraId="564C1CBD">
                  <w:pPr>
                    <w:snapToGrid w:val="0"/>
                    <w:jc w:val="center"/>
                    <w:rPr>
                      <w:szCs w:val="21"/>
                      <w:u w:val="none"/>
                    </w:rPr>
                  </w:pPr>
                </w:p>
              </w:tc>
              <w:tc>
                <w:tcPr>
                  <w:tcW w:w="827" w:type="pct"/>
                  <w:vAlign w:val="center"/>
                </w:tcPr>
                <w:p w14:paraId="68F6F976">
                  <w:pPr>
                    <w:snapToGrid w:val="0"/>
                    <w:jc w:val="center"/>
                    <w:rPr>
                      <w:szCs w:val="21"/>
                      <w:u w:val="none"/>
                    </w:rPr>
                  </w:pPr>
                  <w:r>
                    <w:rPr>
                      <w:szCs w:val="21"/>
                      <w:u w:val="none"/>
                    </w:rPr>
                    <w:t>曲靖市生态环境管控总体要求</w:t>
                  </w:r>
                </w:p>
              </w:tc>
              <w:tc>
                <w:tcPr>
                  <w:tcW w:w="1416" w:type="pct"/>
                  <w:vAlign w:val="center"/>
                </w:tcPr>
                <w:p w14:paraId="097C0BFC">
                  <w:pPr>
                    <w:snapToGrid w:val="0"/>
                    <w:jc w:val="center"/>
                    <w:rPr>
                      <w:szCs w:val="21"/>
                      <w:u w:val="none"/>
                    </w:rPr>
                  </w:pPr>
                  <w:r>
                    <w:rPr>
                      <w:rFonts w:hint="eastAsia"/>
                      <w:szCs w:val="21"/>
                      <w:u w:val="none"/>
                    </w:rPr>
                    <w:t>空间布局约束、污染物排放管控、环境风险防控和资源利用效率。</w:t>
                  </w:r>
                </w:p>
              </w:tc>
              <w:tc>
                <w:tcPr>
                  <w:tcW w:w="2037" w:type="pct"/>
                  <w:vAlign w:val="center"/>
                </w:tcPr>
                <w:p w14:paraId="5B5ECCA8">
                  <w:pPr>
                    <w:wordWrap w:val="0"/>
                    <w:snapToGrid w:val="0"/>
                    <w:jc w:val="center"/>
                    <w:rPr>
                      <w:szCs w:val="21"/>
                      <w:u w:val="none"/>
                    </w:rPr>
                  </w:pPr>
                  <w:r>
                    <w:rPr>
                      <w:rFonts w:hint="eastAsia"/>
                      <w:szCs w:val="21"/>
                      <w:u w:val="none"/>
                    </w:rPr>
                    <w:t>根据对比“</w:t>
                  </w:r>
                  <w:r>
                    <w:rPr>
                      <w:szCs w:val="21"/>
                      <w:u w:val="none"/>
                    </w:rPr>
                    <w:t>曲靖市生态环境管控总体要求</w:t>
                  </w:r>
                  <w:r>
                    <w:rPr>
                      <w:rFonts w:hint="eastAsia"/>
                      <w:szCs w:val="21"/>
                      <w:u w:val="none"/>
                    </w:rPr>
                    <w:t>”中相关要求，本项目与相关要求相符。</w:t>
                  </w:r>
                </w:p>
              </w:tc>
              <w:tc>
                <w:tcPr>
                  <w:tcW w:w="410" w:type="pct"/>
                  <w:vMerge w:val="continue"/>
                </w:tcPr>
                <w:p w14:paraId="6156BBDB">
                  <w:pPr>
                    <w:wordWrap w:val="0"/>
                    <w:snapToGrid w:val="0"/>
                    <w:rPr>
                      <w:szCs w:val="21"/>
                      <w:u w:val="none"/>
                    </w:rPr>
                  </w:pPr>
                </w:p>
              </w:tc>
            </w:tr>
            <w:tr w14:paraId="7183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3" w:hRule="atLeast"/>
              </w:trPr>
              <w:tc>
                <w:tcPr>
                  <w:tcW w:w="308" w:type="pct"/>
                  <w:vMerge w:val="continue"/>
                  <w:vAlign w:val="center"/>
                </w:tcPr>
                <w:p w14:paraId="6B7C851A">
                  <w:pPr>
                    <w:snapToGrid w:val="0"/>
                    <w:jc w:val="center"/>
                    <w:rPr>
                      <w:szCs w:val="21"/>
                      <w:u w:val="none"/>
                    </w:rPr>
                  </w:pPr>
                </w:p>
              </w:tc>
              <w:tc>
                <w:tcPr>
                  <w:tcW w:w="827" w:type="pct"/>
                  <w:vMerge w:val="restart"/>
                  <w:vAlign w:val="center"/>
                </w:tcPr>
                <w:p w14:paraId="5C8CC510">
                  <w:pPr>
                    <w:snapToGrid w:val="0"/>
                    <w:jc w:val="center"/>
                    <w:rPr>
                      <w:szCs w:val="21"/>
                      <w:u w:val="none"/>
                    </w:rPr>
                  </w:pPr>
                  <w:r>
                    <w:rPr>
                      <w:szCs w:val="21"/>
                      <w:u w:val="none"/>
                    </w:rPr>
                    <w:t>曲靖市重点管控单元生态环境准入清单</w:t>
                  </w:r>
                  <w:r>
                    <w:rPr>
                      <w:rFonts w:hint="eastAsia"/>
                      <w:szCs w:val="21"/>
                      <w:u w:val="none"/>
                    </w:rPr>
                    <w:t>（宣威工业集中区重点管控单元）</w:t>
                  </w:r>
                </w:p>
              </w:tc>
              <w:tc>
                <w:tcPr>
                  <w:tcW w:w="1416" w:type="pct"/>
                </w:tcPr>
                <w:p w14:paraId="100B37B5">
                  <w:pPr>
                    <w:wordWrap w:val="0"/>
                    <w:snapToGrid w:val="0"/>
                    <w:rPr>
                      <w:szCs w:val="21"/>
                      <w:u w:val="none"/>
                    </w:rPr>
                  </w:pPr>
                  <w:r>
                    <w:rPr>
                      <w:rFonts w:hint="eastAsia"/>
                      <w:b/>
                      <w:bCs/>
                      <w:szCs w:val="21"/>
                      <w:u w:val="none"/>
                    </w:rPr>
                    <w:t>污染物排放管控：</w:t>
                  </w:r>
                  <w:r>
                    <w:rPr>
                      <w:rFonts w:hint="eastAsia"/>
                      <w:szCs w:val="21"/>
                      <w:u w:val="none"/>
                    </w:rPr>
                    <w:t>（1）强化工业园区生产废水处理，控制重金属污染物排放。（2）企业建设过程中必须配套建设完善的环保设施，以减少运营过程中对周围大气、水环境的影响。</w:t>
                  </w:r>
                </w:p>
              </w:tc>
              <w:tc>
                <w:tcPr>
                  <w:tcW w:w="2037" w:type="pct"/>
                  <w:vAlign w:val="center"/>
                </w:tcPr>
                <w:p w14:paraId="01088304">
                  <w:pPr>
                    <w:wordWrap w:val="0"/>
                    <w:snapToGrid w:val="0"/>
                    <w:jc w:val="center"/>
                    <w:rPr>
                      <w:szCs w:val="21"/>
                      <w:u w:val="none"/>
                    </w:rPr>
                  </w:pPr>
                  <w:r>
                    <w:rPr>
                      <w:rFonts w:hint="eastAsia"/>
                      <w:szCs w:val="21"/>
                      <w:u w:val="none"/>
                    </w:rPr>
                    <w:t>项目废水全部综合利用，企业配套了完善的环保设施。</w:t>
                  </w:r>
                </w:p>
              </w:tc>
              <w:tc>
                <w:tcPr>
                  <w:tcW w:w="410" w:type="pct"/>
                  <w:vAlign w:val="center"/>
                </w:tcPr>
                <w:p w14:paraId="0727D98B">
                  <w:pPr>
                    <w:wordWrap w:val="0"/>
                    <w:snapToGrid w:val="0"/>
                    <w:jc w:val="center"/>
                    <w:rPr>
                      <w:szCs w:val="21"/>
                      <w:u w:val="none"/>
                    </w:rPr>
                  </w:pPr>
                  <w:r>
                    <w:rPr>
                      <w:rFonts w:hint="eastAsia"/>
                      <w:szCs w:val="21"/>
                      <w:u w:val="none"/>
                    </w:rPr>
                    <w:t>符合</w:t>
                  </w:r>
                </w:p>
              </w:tc>
            </w:tr>
            <w:tr w14:paraId="2F88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08" w:type="pct"/>
                  <w:vMerge w:val="continue"/>
                  <w:vAlign w:val="center"/>
                </w:tcPr>
                <w:p w14:paraId="5170B20C">
                  <w:pPr>
                    <w:snapToGrid w:val="0"/>
                    <w:jc w:val="center"/>
                    <w:rPr>
                      <w:szCs w:val="21"/>
                      <w:u w:val="none"/>
                    </w:rPr>
                  </w:pPr>
                </w:p>
              </w:tc>
              <w:tc>
                <w:tcPr>
                  <w:tcW w:w="827" w:type="pct"/>
                  <w:vMerge w:val="continue"/>
                </w:tcPr>
                <w:p w14:paraId="75C02FF7">
                  <w:pPr>
                    <w:snapToGrid w:val="0"/>
                    <w:jc w:val="center"/>
                    <w:rPr>
                      <w:szCs w:val="21"/>
                      <w:u w:val="none"/>
                    </w:rPr>
                  </w:pPr>
                </w:p>
              </w:tc>
              <w:tc>
                <w:tcPr>
                  <w:tcW w:w="1416" w:type="pct"/>
                </w:tcPr>
                <w:p w14:paraId="115EAFFF">
                  <w:pPr>
                    <w:wordWrap w:val="0"/>
                    <w:snapToGrid w:val="0"/>
                    <w:rPr>
                      <w:szCs w:val="21"/>
                      <w:u w:val="none"/>
                    </w:rPr>
                  </w:pPr>
                  <w:r>
                    <w:rPr>
                      <w:rFonts w:hint="eastAsia"/>
                      <w:b/>
                      <w:bCs/>
                      <w:szCs w:val="21"/>
                      <w:u w:val="none"/>
                    </w:rPr>
                    <w:t>环境风险防控</w:t>
                  </w:r>
                  <w:r>
                    <w:rPr>
                      <w:rFonts w:hint="eastAsia"/>
                      <w:szCs w:val="21"/>
                      <w:u w:val="none" w:color="auto"/>
                      <w:shd w:val="clear" w:fill="auto"/>
                    </w:rPr>
                    <w:t>：</w:t>
                  </w:r>
                  <w:r>
                    <w:rPr>
                      <w:rFonts w:hint="eastAsia"/>
                      <w:szCs w:val="21"/>
                      <w:u w:val="none"/>
                    </w:rPr>
                    <w:t>（1）制定突发环境事件应急预案，完善风险管理机制，加强风险控制防范。（2）</w:t>
                  </w:r>
                  <w:r>
                    <w:rPr>
                      <w:szCs w:val="21"/>
                      <w:u w:val="none"/>
                    </w:rPr>
                    <w:t>建立区域环境监测制度，加强规划实施的跟踪监测与管理。对园区地表水、地下水、空气、土壤、噪声等进行系统监测，适时跟踪环境质量变化情况，根据监测情况，并及时采取相应的环保措施。</w:t>
                  </w:r>
                </w:p>
              </w:tc>
              <w:tc>
                <w:tcPr>
                  <w:tcW w:w="2812" w:type="dxa"/>
                  <w:vAlign w:val="center"/>
                </w:tcPr>
                <w:p w14:paraId="2FF22B20">
                  <w:pPr>
                    <w:wordWrap w:val="0"/>
                    <w:snapToGrid w:val="0"/>
                    <w:jc w:val="center"/>
                    <w:rPr>
                      <w:szCs w:val="21"/>
                      <w:u w:val="none"/>
                    </w:rPr>
                  </w:pPr>
                  <w:r>
                    <w:rPr>
                      <w:szCs w:val="21"/>
                      <w:u w:val="none"/>
                    </w:rPr>
                    <w:t>本项目不涉及环境风险物质</w:t>
                  </w:r>
                  <w:r>
                    <w:rPr>
                      <w:rFonts w:hint="eastAsia"/>
                      <w:szCs w:val="21"/>
                      <w:u w:val="none"/>
                    </w:rPr>
                    <w:t>。</w:t>
                  </w:r>
                </w:p>
              </w:tc>
              <w:tc>
                <w:tcPr>
                  <w:tcW w:w="566" w:type="dxa"/>
                  <w:vAlign w:val="center"/>
                </w:tcPr>
                <w:p w14:paraId="00FB1137">
                  <w:pPr>
                    <w:wordWrap w:val="0"/>
                    <w:snapToGrid w:val="0"/>
                    <w:jc w:val="center"/>
                    <w:rPr>
                      <w:szCs w:val="21"/>
                      <w:u w:val="none"/>
                    </w:rPr>
                  </w:pPr>
                  <w:r>
                    <w:rPr>
                      <w:szCs w:val="21"/>
                      <w:u w:val="none"/>
                    </w:rPr>
                    <w:t>符合</w:t>
                  </w:r>
                </w:p>
              </w:tc>
            </w:tr>
            <w:tr w14:paraId="0259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trPr>
              <w:tc>
                <w:tcPr>
                  <w:tcW w:w="308" w:type="pct"/>
                  <w:vMerge w:val="continue"/>
                  <w:vAlign w:val="center"/>
                </w:tcPr>
                <w:p w14:paraId="2A09F7D0">
                  <w:pPr>
                    <w:snapToGrid w:val="0"/>
                    <w:jc w:val="center"/>
                    <w:rPr>
                      <w:szCs w:val="21"/>
                      <w:u w:val="none"/>
                    </w:rPr>
                  </w:pPr>
                </w:p>
              </w:tc>
              <w:tc>
                <w:tcPr>
                  <w:tcW w:w="827" w:type="pct"/>
                  <w:vMerge w:val="continue"/>
                </w:tcPr>
                <w:p w14:paraId="1A19A6B3">
                  <w:pPr>
                    <w:snapToGrid w:val="0"/>
                    <w:jc w:val="center"/>
                    <w:rPr>
                      <w:szCs w:val="21"/>
                      <w:u w:val="none"/>
                    </w:rPr>
                  </w:pPr>
                </w:p>
              </w:tc>
              <w:tc>
                <w:tcPr>
                  <w:tcW w:w="1416" w:type="pct"/>
                </w:tcPr>
                <w:p w14:paraId="1238B4DC">
                  <w:pPr>
                    <w:wordWrap w:val="0"/>
                    <w:snapToGrid w:val="0"/>
                    <w:rPr>
                      <w:szCs w:val="21"/>
                      <w:u w:val="none"/>
                    </w:rPr>
                  </w:pPr>
                  <w:r>
                    <w:rPr>
                      <w:rFonts w:hint="eastAsia"/>
                      <w:b/>
                      <w:bCs/>
                      <w:szCs w:val="21"/>
                      <w:u w:val="none"/>
                    </w:rPr>
                    <w:t>资源开发效率要求：</w:t>
                  </w:r>
                  <w:r>
                    <w:rPr>
                      <w:rFonts w:hint="eastAsia"/>
                      <w:szCs w:val="21"/>
                      <w:u w:val="none"/>
                    </w:rPr>
                    <w:t>（1）加快园区内污水处理工程的建设和中水回用设施建设，提高工业用水循环重复使用率。提高中水回用率，以降低新鲜水取水量。（2）在开发区内提高煤气、液化气及电等清洁能源的使用率和普及率，削减大气污染物排放。</w:t>
                  </w:r>
                </w:p>
              </w:tc>
              <w:tc>
                <w:tcPr>
                  <w:tcW w:w="2037" w:type="pct"/>
                  <w:vAlign w:val="center"/>
                </w:tcPr>
                <w:p w14:paraId="0EAFC7C4">
                  <w:pPr>
                    <w:wordWrap w:val="0"/>
                    <w:snapToGrid w:val="0"/>
                    <w:jc w:val="center"/>
                    <w:rPr>
                      <w:szCs w:val="21"/>
                      <w:u w:val="none"/>
                    </w:rPr>
                  </w:pPr>
                  <w:r>
                    <w:rPr>
                      <w:rFonts w:hint="eastAsia"/>
                      <w:szCs w:val="21"/>
                      <w:u w:val="none"/>
                    </w:rPr>
                    <w:t>项目废水全部综合利用，使用能源主要为电能，属于清洁能源。</w:t>
                  </w:r>
                </w:p>
              </w:tc>
              <w:tc>
                <w:tcPr>
                  <w:tcW w:w="410" w:type="pct"/>
                  <w:vAlign w:val="center"/>
                </w:tcPr>
                <w:p w14:paraId="793CD473">
                  <w:pPr>
                    <w:wordWrap w:val="0"/>
                    <w:snapToGrid w:val="0"/>
                    <w:jc w:val="center"/>
                    <w:rPr>
                      <w:szCs w:val="21"/>
                      <w:u w:val="none"/>
                    </w:rPr>
                  </w:pPr>
                  <w:r>
                    <w:rPr>
                      <w:rFonts w:hint="eastAsia"/>
                      <w:szCs w:val="21"/>
                      <w:u w:val="none"/>
                    </w:rPr>
                    <w:t>符合</w:t>
                  </w:r>
                </w:p>
              </w:tc>
            </w:tr>
          </w:tbl>
          <w:p w14:paraId="03933671">
            <w:pPr>
              <w:spacing w:line="360" w:lineRule="auto"/>
              <w:ind w:firstLine="482" w:firstLineChars="200"/>
              <w:rPr>
                <w:b/>
                <w:snapToGrid w:val="0"/>
                <w:sz w:val="24"/>
                <w:u w:val="none"/>
              </w:rPr>
            </w:pPr>
            <w:r>
              <w:rPr>
                <w:rFonts w:hint="eastAsia"/>
                <w:b/>
                <w:kern w:val="0"/>
                <w:sz w:val="24"/>
                <w:u w:val="none"/>
              </w:rPr>
              <w:t>3</w:t>
            </w:r>
            <w:r>
              <w:rPr>
                <w:b/>
                <w:snapToGrid w:val="0"/>
                <w:sz w:val="24"/>
                <w:u w:val="none"/>
              </w:rPr>
              <w:t>、</w:t>
            </w:r>
            <w:r>
              <w:rPr>
                <w:b/>
                <w:kern w:val="0"/>
                <w:sz w:val="24"/>
                <w:u w:val="none"/>
              </w:rPr>
              <w:t>与《曲靖市生态环境分区管控动态更新方案（2023年</w:t>
            </w:r>
            <w:r>
              <w:rPr>
                <w:rFonts w:hint="eastAsia"/>
                <w:b/>
                <w:kern w:val="0"/>
                <w:sz w:val="24"/>
                <w:u w:val="none"/>
              </w:rPr>
              <w:t>）</w:t>
            </w:r>
            <w:r>
              <w:rPr>
                <w:b/>
                <w:kern w:val="0"/>
                <w:sz w:val="24"/>
                <w:u w:val="none"/>
              </w:rPr>
              <w:t>》符合性</w:t>
            </w:r>
            <w:r>
              <w:rPr>
                <w:b/>
                <w:snapToGrid w:val="0"/>
                <w:sz w:val="24"/>
                <w:u w:val="none"/>
              </w:rPr>
              <w:t>分析</w:t>
            </w:r>
          </w:p>
          <w:p w14:paraId="444B0840">
            <w:pPr>
              <w:pStyle w:val="49"/>
              <w:adjustRightInd/>
              <w:snapToGrid/>
              <w:spacing w:line="360" w:lineRule="auto"/>
              <w:ind w:firstLine="480" w:firstLineChars="200"/>
              <w:jc w:val="both"/>
              <w:rPr>
                <w:u w:val="none"/>
              </w:rPr>
            </w:pPr>
            <w:r>
              <w:rPr>
                <w:u w:val="none"/>
              </w:rPr>
              <w:t>202</w:t>
            </w:r>
            <w:r>
              <w:rPr>
                <w:rFonts w:hint="eastAsia"/>
                <w:u w:val="none"/>
              </w:rPr>
              <w:t>4</w:t>
            </w:r>
            <w:r>
              <w:rPr>
                <w:u w:val="none"/>
              </w:rPr>
              <w:t>年7月</w:t>
            </w:r>
            <w:r>
              <w:rPr>
                <w:rFonts w:hint="eastAsia"/>
                <w:u w:val="none"/>
              </w:rPr>
              <w:t>15</w:t>
            </w:r>
            <w:r>
              <w:rPr>
                <w:u w:val="none"/>
              </w:rPr>
              <w:t>日，曲靖市</w:t>
            </w:r>
            <w:r>
              <w:rPr>
                <w:rFonts w:hint="eastAsia"/>
                <w:u w:val="none"/>
              </w:rPr>
              <w:t>生态环境局</w:t>
            </w:r>
            <w:r>
              <w:rPr>
                <w:u w:val="none"/>
              </w:rPr>
              <w:t>印发了《曲靖市生态环境分区管控动态更新方案（2023年</w:t>
            </w:r>
            <w:r>
              <w:rPr>
                <w:rFonts w:hint="eastAsia"/>
                <w:u w:val="none"/>
              </w:rPr>
              <w:t>）</w:t>
            </w:r>
            <w:r>
              <w:rPr>
                <w:u w:val="none"/>
              </w:rPr>
              <w:t>》（曲</w:t>
            </w:r>
            <w:r>
              <w:rPr>
                <w:rFonts w:hint="eastAsia"/>
                <w:u w:val="none"/>
              </w:rPr>
              <w:t>环通〔2024〕36号</w:t>
            </w:r>
            <w:r>
              <w:rPr>
                <w:u w:val="none"/>
              </w:rPr>
              <w:t>），依据生态保护红线、环境质量底线、资源利用上线等调整情况，结合全市经济社会发展和生态环境保护实际，更新调整优先保护、重点管控、一般管控三类环境管控单元，分区分类实施精细化管控。更新后，全市共划定91个环境管控单元。其中，优先保护单元27个，重点管控单元55个，一般管控单元9个</w:t>
            </w:r>
            <w:r>
              <w:rPr>
                <w:rFonts w:hint="eastAsia"/>
                <w:u w:val="none"/>
              </w:rPr>
              <w:t>。</w:t>
            </w:r>
            <w:r>
              <w:rPr>
                <w:u w:val="none"/>
              </w:rPr>
              <w:t>本项目选址位于</w:t>
            </w:r>
            <w:r>
              <w:rPr>
                <w:rFonts w:hint="eastAsia"/>
                <w:u w:val="none"/>
              </w:rPr>
              <w:t>宣威市羊场产业园</w:t>
            </w:r>
            <w:r>
              <w:rPr>
                <w:u w:val="none"/>
              </w:rPr>
              <w:t>，属于</w:t>
            </w:r>
            <w:r>
              <w:rPr>
                <w:rFonts w:hint="eastAsia"/>
                <w:u w:val="none"/>
              </w:rPr>
              <w:t>宣威经开区重点管控单元。</w:t>
            </w:r>
          </w:p>
          <w:p w14:paraId="759FCB37">
            <w:pPr>
              <w:spacing w:line="360" w:lineRule="auto"/>
              <w:ind w:firstLine="480" w:firstLineChars="200"/>
              <w:rPr>
                <w:sz w:val="24"/>
                <w:u w:val="none"/>
              </w:rPr>
            </w:pPr>
            <w:r>
              <w:rPr>
                <w:sz w:val="24"/>
                <w:u w:val="none"/>
              </w:rPr>
              <w:t>项目与</w:t>
            </w:r>
            <w:r>
              <w:rPr>
                <w:rFonts w:hint="eastAsia"/>
                <w:sz w:val="24"/>
                <w:u w:val="none"/>
              </w:rPr>
              <w:t>《</w:t>
            </w:r>
            <w:r>
              <w:rPr>
                <w:sz w:val="24"/>
                <w:u w:val="none"/>
              </w:rPr>
              <w:t>曲靖市生态环境分区管控动态更新方案（2023年</w:t>
            </w:r>
            <w:r>
              <w:rPr>
                <w:rFonts w:hint="eastAsia"/>
                <w:sz w:val="24"/>
                <w:u w:val="none"/>
              </w:rPr>
              <w:t>）》</w:t>
            </w:r>
            <w:r>
              <w:rPr>
                <w:sz w:val="24"/>
                <w:u w:val="none"/>
              </w:rPr>
              <w:t>符合性分析见表1-</w:t>
            </w:r>
            <w:r>
              <w:rPr>
                <w:rFonts w:hint="eastAsia"/>
                <w:sz w:val="24"/>
                <w:u w:val="none"/>
              </w:rPr>
              <w:t>6所示</w:t>
            </w:r>
            <w:r>
              <w:rPr>
                <w:sz w:val="24"/>
                <w:u w:val="none"/>
              </w:rPr>
              <w:t>：</w:t>
            </w:r>
          </w:p>
          <w:p w14:paraId="552FFD0E">
            <w:pPr>
              <w:pStyle w:val="48"/>
              <w:adjustRightInd/>
              <w:snapToGrid/>
              <w:spacing w:line="360" w:lineRule="auto"/>
              <w:rPr>
                <w:sz w:val="21"/>
                <w:szCs w:val="21"/>
                <w:u w:val="none"/>
                <w:lang w:val="zh-TW" w:eastAsia="zh-TW"/>
              </w:rPr>
            </w:pPr>
            <w:r>
              <w:rPr>
                <w:sz w:val="21"/>
                <w:szCs w:val="21"/>
                <w:u w:val="none"/>
                <w:lang w:val="zh-TW" w:eastAsia="zh-TW"/>
              </w:rPr>
              <w:t>表1-</w:t>
            </w:r>
            <w:r>
              <w:rPr>
                <w:rFonts w:hint="eastAsia"/>
                <w:sz w:val="21"/>
                <w:szCs w:val="21"/>
                <w:u w:val="none"/>
              </w:rPr>
              <w:t>6</w:t>
            </w:r>
            <w:r>
              <w:rPr>
                <w:sz w:val="21"/>
                <w:szCs w:val="21"/>
                <w:u w:val="none"/>
                <w:lang w:val="zh-TW" w:eastAsia="zh-TW"/>
              </w:rPr>
              <w:t xml:space="preserve">  项目</w:t>
            </w:r>
            <w:r>
              <w:rPr>
                <w:sz w:val="21"/>
                <w:szCs w:val="21"/>
                <w:u w:val="none"/>
                <w:lang w:val="zh-TW"/>
              </w:rPr>
              <w:t>与</w:t>
            </w:r>
            <w:r>
              <w:rPr>
                <w:rFonts w:hint="eastAsia"/>
                <w:sz w:val="21"/>
                <w:szCs w:val="21"/>
                <w:u w:val="none"/>
                <w:lang w:val="zh-TW"/>
              </w:rPr>
              <w:t>《</w:t>
            </w:r>
            <w:r>
              <w:rPr>
                <w:sz w:val="21"/>
                <w:szCs w:val="21"/>
                <w:u w:val="none"/>
                <w:lang w:val="zh-TW"/>
              </w:rPr>
              <w:t>曲靖市生态环境分区管控动态更新方案（2023年</w:t>
            </w:r>
            <w:r>
              <w:rPr>
                <w:rFonts w:hint="eastAsia"/>
                <w:sz w:val="21"/>
                <w:szCs w:val="21"/>
                <w:u w:val="none"/>
                <w:lang w:val="zh-TW"/>
              </w:rPr>
              <w:t>）》</w:t>
            </w:r>
            <w:r>
              <w:rPr>
                <w:sz w:val="21"/>
                <w:szCs w:val="21"/>
                <w:u w:val="none"/>
                <w:lang w:val="zh-TW" w:eastAsia="zh-TW"/>
              </w:rPr>
              <w:t>符合性判定一览表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2746"/>
              <w:gridCol w:w="2664"/>
              <w:gridCol w:w="485"/>
            </w:tblGrid>
            <w:tr w14:paraId="093D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28" w:type="dxa"/>
                  <w:gridSpan w:val="2"/>
                  <w:vAlign w:val="center"/>
                </w:tcPr>
                <w:p w14:paraId="0B8871AC">
                  <w:pPr>
                    <w:snapToGrid w:val="0"/>
                    <w:jc w:val="center"/>
                    <w:rPr>
                      <w:b/>
                      <w:bCs/>
                      <w:szCs w:val="21"/>
                      <w:u w:val="none"/>
                    </w:rPr>
                  </w:pPr>
                  <w:r>
                    <w:rPr>
                      <w:b/>
                      <w:bCs/>
                      <w:szCs w:val="21"/>
                      <w:u w:val="none"/>
                    </w:rPr>
                    <w:t>曲</w:t>
                  </w:r>
                  <w:r>
                    <w:rPr>
                      <w:rFonts w:hint="eastAsia"/>
                      <w:b/>
                      <w:bCs/>
                      <w:szCs w:val="21"/>
                      <w:u w:val="none"/>
                    </w:rPr>
                    <w:t>环通〔2024〕36号</w:t>
                  </w:r>
                </w:p>
              </w:tc>
              <w:tc>
                <w:tcPr>
                  <w:tcW w:w="2835" w:type="dxa"/>
                  <w:vAlign w:val="center"/>
                </w:tcPr>
                <w:p w14:paraId="733F0A2F">
                  <w:pPr>
                    <w:snapToGrid w:val="0"/>
                    <w:jc w:val="center"/>
                    <w:rPr>
                      <w:b/>
                      <w:bCs/>
                      <w:szCs w:val="21"/>
                      <w:u w:val="none"/>
                    </w:rPr>
                  </w:pPr>
                  <w:r>
                    <w:rPr>
                      <w:b/>
                      <w:bCs/>
                      <w:szCs w:val="21"/>
                      <w:u w:val="none"/>
                    </w:rPr>
                    <w:t>项目情况</w:t>
                  </w:r>
                </w:p>
              </w:tc>
              <w:tc>
                <w:tcPr>
                  <w:tcW w:w="497" w:type="dxa"/>
                  <w:vAlign w:val="center"/>
                </w:tcPr>
                <w:p w14:paraId="32EF4F4D">
                  <w:pPr>
                    <w:snapToGrid w:val="0"/>
                    <w:jc w:val="center"/>
                    <w:rPr>
                      <w:b/>
                      <w:bCs/>
                      <w:szCs w:val="21"/>
                      <w:u w:val="none"/>
                    </w:rPr>
                  </w:pPr>
                  <w:r>
                    <w:rPr>
                      <w:b/>
                      <w:bCs/>
                      <w:szCs w:val="21"/>
                      <w:u w:val="none"/>
                    </w:rPr>
                    <w:t>符合</w:t>
                  </w:r>
                  <w:r>
                    <w:rPr>
                      <w:b/>
                      <w:bCs/>
                      <w:szCs w:val="21"/>
                      <w:u w:val="none" w:color="auto"/>
                      <w:shd w:val="clear" w:fill="auto"/>
                    </w:rPr>
                    <w:t>性</w:t>
                  </w:r>
                </w:p>
              </w:tc>
            </w:tr>
            <w:tr w14:paraId="7821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32" w:type="dxa"/>
                  <w:vAlign w:val="center"/>
                </w:tcPr>
                <w:p w14:paraId="241CD697">
                  <w:pPr>
                    <w:snapToGrid w:val="0"/>
                    <w:jc w:val="center"/>
                    <w:rPr>
                      <w:szCs w:val="21"/>
                      <w:u w:val="none"/>
                    </w:rPr>
                  </w:pPr>
                  <w:r>
                    <w:rPr>
                      <w:szCs w:val="21"/>
                      <w:u w:val="none"/>
                    </w:rPr>
                    <w:t>曲靖市生态环境管控总体要求</w:t>
                  </w:r>
                </w:p>
              </w:tc>
              <w:tc>
                <w:tcPr>
                  <w:tcW w:w="3096" w:type="dxa"/>
                  <w:vAlign w:val="center"/>
                </w:tcPr>
                <w:p w14:paraId="67BAB06E">
                  <w:pPr>
                    <w:snapToGrid w:val="0"/>
                    <w:jc w:val="center"/>
                    <w:rPr>
                      <w:szCs w:val="21"/>
                      <w:u w:val="none"/>
                    </w:rPr>
                  </w:pPr>
                  <w:r>
                    <w:rPr>
                      <w:szCs w:val="21"/>
                      <w:u w:val="none"/>
                    </w:rPr>
                    <w:t>空间布局约束、污染物排放管控、环境风险防控和资源利用效率</w:t>
                  </w:r>
                  <w:r>
                    <w:rPr>
                      <w:rFonts w:hint="eastAsia"/>
                      <w:szCs w:val="21"/>
                      <w:u w:val="none"/>
                    </w:rPr>
                    <w:t>。</w:t>
                  </w:r>
                </w:p>
              </w:tc>
              <w:tc>
                <w:tcPr>
                  <w:tcW w:w="2835" w:type="dxa"/>
                  <w:vAlign w:val="center"/>
                </w:tcPr>
                <w:p w14:paraId="189F756A">
                  <w:pPr>
                    <w:wordWrap w:val="0"/>
                    <w:snapToGrid w:val="0"/>
                    <w:jc w:val="center"/>
                    <w:rPr>
                      <w:szCs w:val="21"/>
                      <w:u w:val="none"/>
                    </w:rPr>
                  </w:pPr>
                  <w:r>
                    <w:rPr>
                      <w:szCs w:val="21"/>
                      <w:u w:val="none"/>
                    </w:rPr>
                    <w:t>根据对</w:t>
                  </w:r>
                  <w:r>
                    <w:rPr>
                      <w:rFonts w:hint="eastAsia" w:ascii="宋体" w:hAnsi="宋体" w:cs="宋体"/>
                      <w:szCs w:val="21"/>
                      <w:u w:val="none"/>
                    </w:rPr>
                    <w:t>比“曲靖</w:t>
                  </w:r>
                  <w:r>
                    <w:rPr>
                      <w:szCs w:val="21"/>
                      <w:u w:val="none"/>
                    </w:rPr>
                    <w:t>市生态环境分区管控动态更新方案（2023年</w:t>
                  </w:r>
                  <w:r>
                    <w:rPr>
                      <w:rFonts w:hint="eastAsia"/>
                      <w:szCs w:val="21"/>
                      <w:u w:val="none"/>
                    </w:rPr>
                    <w:t>）</w:t>
                  </w:r>
                  <w:r>
                    <w:rPr>
                      <w:rFonts w:hint="eastAsia" w:ascii="宋体" w:hAnsi="宋体" w:cs="宋体"/>
                      <w:szCs w:val="21"/>
                      <w:u w:val="none"/>
                    </w:rPr>
                    <w:t>”</w:t>
                  </w:r>
                  <w:r>
                    <w:rPr>
                      <w:szCs w:val="21"/>
                      <w:u w:val="none"/>
                    </w:rPr>
                    <w:t>中相关要求，本项目与相关要求相符。</w:t>
                  </w:r>
                </w:p>
              </w:tc>
              <w:tc>
                <w:tcPr>
                  <w:tcW w:w="497" w:type="dxa"/>
                  <w:vAlign w:val="center"/>
                </w:tcPr>
                <w:p w14:paraId="5713B797">
                  <w:pPr>
                    <w:wordWrap w:val="0"/>
                    <w:snapToGrid w:val="0"/>
                    <w:jc w:val="center"/>
                    <w:rPr>
                      <w:szCs w:val="21"/>
                      <w:u w:val="none"/>
                    </w:rPr>
                  </w:pPr>
                  <w:r>
                    <w:rPr>
                      <w:rFonts w:hint="eastAsia"/>
                      <w:szCs w:val="21"/>
                      <w:u w:val="none"/>
                    </w:rPr>
                    <w:t>符</w:t>
                  </w:r>
                </w:p>
                <w:p w14:paraId="519E6754">
                  <w:pPr>
                    <w:wordWrap w:val="0"/>
                    <w:snapToGrid w:val="0"/>
                    <w:jc w:val="center"/>
                    <w:rPr>
                      <w:szCs w:val="21"/>
                      <w:u w:val="none"/>
                    </w:rPr>
                  </w:pPr>
                  <w:r>
                    <w:rPr>
                      <w:rFonts w:hint="eastAsia"/>
                      <w:szCs w:val="21"/>
                      <w:u w:val="none"/>
                    </w:rPr>
                    <w:t>合</w:t>
                  </w:r>
                </w:p>
              </w:tc>
            </w:tr>
            <w:tr w14:paraId="198A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vMerge w:val="restart"/>
                  <w:vAlign w:val="center"/>
                </w:tcPr>
                <w:p w14:paraId="562C9BB8">
                  <w:pPr>
                    <w:snapToGrid w:val="0"/>
                    <w:jc w:val="center"/>
                    <w:rPr>
                      <w:szCs w:val="21"/>
                      <w:u w:val="none"/>
                    </w:rPr>
                  </w:pPr>
                  <w:r>
                    <w:rPr>
                      <w:szCs w:val="21"/>
                      <w:u w:val="none"/>
                    </w:rPr>
                    <w:t>曲靖市</w:t>
                  </w:r>
                  <w:r>
                    <w:rPr>
                      <w:rFonts w:hint="eastAsia"/>
                      <w:szCs w:val="21"/>
                      <w:u w:val="none"/>
                    </w:rPr>
                    <w:t>重点</w:t>
                  </w:r>
                  <w:r>
                    <w:rPr>
                      <w:szCs w:val="21"/>
                      <w:u w:val="none"/>
                    </w:rPr>
                    <w:t>管控单元生态环境准入清单</w:t>
                  </w:r>
                </w:p>
              </w:tc>
              <w:tc>
                <w:tcPr>
                  <w:tcW w:w="3096" w:type="dxa"/>
                </w:tcPr>
                <w:p w14:paraId="5845A8E3">
                  <w:pPr>
                    <w:wordWrap w:val="0"/>
                    <w:snapToGrid w:val="0"/>
                    <w:rPr>
                      <w:szCs w:val="21"/>
                      <w:u w:val="none"/>
                    </w:rPr>
                  </w:pPr>
                  <w:r>
                    <w:rPr>
                      <w:b/>
                      <w:bCs/>
                      <w:szCs w:val="21"/>
                      <w:u w:val="none"/>
                    </w:rPr>
                    <w:t>空间布局约束</w:t>
                  </w:r>
                  <w:r>
                    <w:rPr>
                      <w:szCs w:val="21"/>
                      <w:u w:val="none"/>
                    </w:rPr>
                    <w:t>：</w:t>
                  </w:r>
                </w:p>
                <w:p w14:paraId="10BD71D3">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1.虹桥片区位于城市上风向，禁止引入高排放大气污染项目。</w:t>
                  </w:r>
                </w:p>
                <w:p w14:paraId="391F243B">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2.凤凰山产业园、羊场产业园内与产业定位不相符的企业不得进行技改、扩建。</w:t>
                  </w:r>
                </w:p>
                <w:p w14:paraId="558839B5">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3.凤凰山产业园重点引进污染物排放较少的有色金属精深加工企业，将其布置在靠近自然保护区和周围居民一侧，并保留相应的防护距离，并设置绿化防护带。</w:t>
                  </w:r>
                </w:p>
              </w:tc>
              <w:tc>
                <w:tcPr>
                  <w:tcW w:w="2835" w:type="dxa"/>
                  <w:vAlign w:val="center"/>
                </w:tcPr>
                <w:p w14:paraId="49906DF4">
                  <w:pPr>
                    <w:wordWrap w:val="0"/>
                    <w:snapToGrid w:val="0"/>
                    <w:jc w:val="center"/>
                    <w:rPr>
                      <w:szCs w:val="21"/>
                      <w:u w:val="none"/>
                    </w:rPr>
                  </w:pPr>
                  <w:r>
                    <w:rPr>
                      <w:szCs w:val="21"/>
                      <w:u w:val="none"/>
                    </w:rPr>
                    <w:t>项目位于宣威市羊场产业园区水泥厂大桥头起，属于磷矿石储运项目</w:t>
                  </w:r>
                  <w:r>
                    <w:rPr>
                      <w:rFonts w:hint="eastAsia"/>
                      <w:szCs w:val="21"/>
                      <w:u w:val="none"/>
                    </w:rPr>
                    <w:t>，性质为新建，</w:t>
                  </w:r>
                  <w:r>
                    <w:rPr>
                      <w:szCs w:val="21"/>
                      <w:u w:val="none"/>
                    </w:rPr>
                    <w:t>本项目与羊场产业园</w:t>
                  </w:r>
                  <w:r>
                    <w:rPr>
                      <w:rFonts w:hint="eastAsia"/>
                      <w:szCs w:val="21"/>
                      <w:u w:val="none"/>
                    </w:rPr>
                    <w:t>产业定位</w:t>
                  </w:r>
                  <w:r>
                    <w:rPr>
                      <w:szCs w:val="21"/>
                      <w:u w:val="none"/>
                    </w:rPr>
                    <w:t>相符</w:t>
                  </w:r>
                  <w:r>
                    <w:rPr>
                      <w:rFonts w:hint="eastAsia"/>
                      <w:szCs w:val="21"/>
                      <w:u w:val="none"/>
                    </w:rPr>
                    <w:t>。</w:t>
                  </w:r>
                </w:p>
              </w:tc>
              <w:tc>
                <w:tcPr>
                  <w:tcW w:w="497" w:type="dxa"/>
                  <w:vAlign w:val="center"/>
                </w:tcPr>
                <w:p w14:paraId="12206D86">
                  <w:pPr>
                    <w:wordWrap w:val="0"/>
                    <w:snapToGrid w:val="0"/>
                    <w:jc w:val="center"/>
                    <w:rPr>
                      <w:szCs w:val="21"/>
                      <w:u w:val="none"/>
                    </w:rPr>
                  </w:pPr>
                  <w:r>
                    <w:rPr>
                      <w:rFonts w:hint="eastAsia"/>
                      <w:szCs w:val="21"/>
                      <w:u w:val="none"/>
                    </w:rPr>
                    <w:t>符合</w:t>
                  </w:r>
                </w:p>
              </w:tc>
            </w:tr>
            <w:tr w14:paraId="133C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2" w:type="dxa"/>
                  <w:vMerge w:val="continue"/>
                  <w:vAlign w:val="center"/>
                </w:tcPr>
                <w:p w14:paraId="70E8D53E">
                  <w:pPr>
                    <w:snapToGrid w:val="0"/>
                    <w:jc w:val="center"/>
                    <w:rPr>
                      <w:szCs w:val="21"/>
                      <w:u w:val="none"/>
                    </w:rPr>
                  </w:pPr>
                </w:p>
              </w:tc>
              <w:tc>
                <w:tcPr>
                  <w:tcW w:w="3096" w:type="dxa"/>
                </w:tcPr>
                <w:p w14:paraId="248BB76D">
                  <w:pPr>
                    <w:pStyle w:val="170"/>
                    <w:spacing w:before="111" w:line="223" w:lineRule="auto"/>
                    <w:rPr>
                      <w:rFonts w:ascii="Times New Roman" w:hAnsi="Times New Roman" w:cs="Times New Roman"/>
                      <w:b/>
                      <w:bCs/>
                      <w:sz w:val="21"/>
                      <w:szCs w:val="21"/>
                      <w:u w:val="none"/>
                      <w:lang w:eastAsia="zh-CN"/>
                    </w:rPr>
                  </w:pPr>
                  <w:r>
                    <w:rPr>
                      <w:rFonts w:ascii="Times New Roman" w:hAnsi="Times New Roman" w:cs="Times New Roman"/>
                      <w:b/>
                      <w:bCs/>
                      <w:sz w:val="21"/>
                      <w:szCs w:val="21"/>
                      <w:u w:val="none"/>
                      <w:lang w:eastAsia="zh-CN"/>
                    </w:rPr>
                    <w:t>污染物排放管控</w:t>
                  </w:r>
                  <w:r>
                    <w:rPr>
                      <w:rFonts w:hint="eastAsia" w:ascii="Times New Roman" w:hAnsi="Times New Roman" w:cs="Times New Roman"/>
                      <w:b/>
                      <w:bCs/>
                      <w:sz w:val="21"/>
                      <w:szCs w:val="21"/>
                      <w:u w:val="none"/>
                      <w:lang w:eastAsia="zh-CN"/>
                    </w:rPr>
                    <w:t>要求</w:t>
                  </w:r>
                  <w:r>
                    <w:rPr>
                      <w:rFonts w:ascii="Times New Roman" w:hAnsi="Times New Roman" w:cs="Times New Roman"/>
                      <w:b/>
                      <w:bCs/>
                      <w:sz w:val="21"/>
                      <w:szCs w:val="21"/>
                      <w:u w:val="none"/>
                      <w:lang w:eastAsia="zh-CN"/>
                    </w:rPr>
                    <w:t>：</w:t>
                  </w:r>
                </w:p>
                <w:p w14:paraId="6F860C44">
                  <w:pPr>
                    <w:pStyle w:val="170"/>
                    <w:spacing w:before="111" w:line="223" w:lineRule="auto"/>
                    <w:rPr>
                      <w:rFonts w:ascii="Times New Roman" w:hAnsi="Times New Roman" w:cs="Times New Roman"/>
                      <w:sz w:val="21"/>
                      <w:szCs w:val="21"/>
                      <w:u w:val="none"/>
                      <w:lang w:eastAsia="zh-CN"/>
                    </w:rPr>
                  </w:pPr>
                  <w:r>
                    <w:rPr>
                      <w:rFonts w:hint="eastAsia" w:ascii="Times New Roman" w:hAnsi="Times New Roman" w:cs="Times New Roman"/>
                      <w:sz w:val="21"/>
                      <w:szCs w:val="21"/>
                      <w:u w:val="none"/>
                      <w:lang w:eastAsia="zh-CN"/>
                    </w:rPr>
                    <w:t>1.</w:t>
                  </w:r>
                  <w:r>
                    <w:rPr>
                      <w:rFonts w:ascii="Times New Roman" w:hAnsi="Times New Roman" w:cs="Times New Roman"/>
                      <w:sz w:val="21"/>
                      <w:szCs w:val="21"/>
                      <w:u w:val="none"/>
                      <w:lang w:eastAsia="zh-CN"/>
                    </w:rPr>
                    <w:t>加快建设配套的污水处理厂和再生水水厂，并同步建设污水管网、雨水管网及中水回用管网。做</w:t>
                  </w:r>
                  <w:r>
                    <w:rPr>
                      <w:rFonts w:hint="eastAsia"/>
                      <w:sz w:val="21"/>
                      <w:szCs w:val="21"/>
                      <w:u w:val="none"/>
                      <w:lang w:eastAsia="zh-CN"/>
                    </w:rPr>
                    <w:t>好“雨污分流”“清污分流”</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做好废水及污染雨水收集处理、强化中水回用，积极推进化工园区废气、废水、固体废物规范化处置</w:t>
                  </w:r>
                  <w:r>
                    <w:rPr>
                      <w:rFonts w:hint="eastAsia" w:ascii="Times New Roman" w:hAnsi="Times New Roman" w:cs="Times New Roman"/>
                      <w:sz w:val="21"/>
                      <w:szCs w:val="21"/>
                      <w:u w:val="none"/>
                      <w:lang w:eastAsia="zh-CN"/>
                    </w:rPr>
                    <w:t>。</w:t>
                  </w:r>
                </w:p>
                <w:p w14:paraId="5808340E">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2.以园区的资源环境承载能力为基础</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充分论证、有序发展，严禁引进工艺装备落后</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不符合污染物排放总量控制要求的企业。</w:t>
                  </w:r>
                </w:p>
                <w:p w14:paraId="7F96E0D8">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3.加快污水处理厂建设和提标改造，按要求开展排污口论证，区域水环境质量未达到水质目标前，除城镇污水处理厂入河排污口外</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严格控制新设、改设或者扩大排污口。</w:t>
                  </w:r>
                </w:p>
                <w:p w14:paraId="56026DF1">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4.排放受纳水体超标污染因子的</w:t>
                  </w:r>
                  <w:r>
                    <w:rPr>
                      <w:rFonts w:hint="eastAsia"/>
                      <w:sz w:val="21"/>
                      <w:szCs w:val="21"/>
                      <w:u w:val="none"/>
                      <w:lang w:eastAsia="zh-CN"/>
                    </w:rPr>
                    <w:t>“两高”</w:t>
                  </w:r>
                  <w:r>
                    <w:rPr>
                      <w:rFonts w:ascii="Times New Roman" w:hAnsi="Times New Roman" w:cs="Times New Roman"/>
                      <w:sz w:val="21"/>
                      <w:szCs w:val="21"/>
                      <w:u w:val="none"/>
                      <w:lang w:eastAsia="zh-CN"/>
                    </w:rPr>
                    <w:t>项目，实行流域内现有污染物倍量削减。结合水污染防治方案实施相应的水环境质量改善工程，切实削减总磷等污染物。</w:t>
                  </w:r>
                </w:p>
                <w:p w14:paraId="488DB5A2">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5.加强北盘江</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宣威市主城区段</w:t>
                  </w:r>
                  <w:r>
                    <w:rPr>
                      <w:rFonts w:hint="eastAsia" w:ascii="Times New Roman" w:hAnsi="Times New Roman" w:cs="Times New Roman"/>
                      <w:sz w:val="21"/>
                      <w:szCs w:val="21"/>
                      <w:u w:val="none"/>
                      <w:lang w:eastAsia="zh-CN"/>
                    </w:rPr>
                    <w:t>）</w:t>
                  </w:r>
                  <w:r>
                    <w:rPr>
                      <w:rFonts w:ascii="Times New Roman" w:hAnsi="Times New Roman" w:cs="Times New Roman"/>
                      <w:sz w:val="21"/>
                      <w:szCs w:val="21"/>
                      <w:u w:val="none"/>
                      <w:lang w:eastAsia="zh-CN"/>
                    </w:rPr>
                    <w:t>河道的水环境综合整治与生态修复工程，切实改善地表水环境质量。</w:t>
                  </w:r>
                </w:p>
              </w:tc>
              <w:tc>
                <w:tcPr>
                  <w:tcW w:w="2835" w:type="dxa"/>
                  <w:vAlign w:val="center"/>
                </w:tcPr>
                <w:p w14:paraId="121442E6">
                  <w:pPr>
                    <w:rPr>
                      <w:szCs w:val="21"/>
                      <w:u w:val="none"/>
                    </w:rPr>
                  </w:pPr>
                  <w:r>
                    <w:rPr>
                      <w:rFonts w:hint="eastAsia"/>
                      <w:szCs w:val="21"/>
                      <w:u w:val="none"/>
                    </w:rPr>
                    <w:t>1.</w:t>
                  </w:r>
                  <w:r>
                    <w:rPr>
                      <w:szCs w:val="21"/>
                      <w:u w:val="none"/>
                    </w:rPr>
                    <w:t>车辆清洗废水和场地雨污水分别经车辆清洗废水沉淀池和场地雨污水收集池处理后全部回用于</w:t>
                  </w:r>
                  <w:r>
                    <w:rPr>
                      <w:rFonts w:hint="eastAsia"/>
                      <w:szCs w:val="21"/>
                      <w:u w:val="none"/>
                    </w:rPr>
                    <w:t>大棚喷雾</w:t>
                  </w:r>
                  <w:r>
                    <w:rPr>
                      <w:szCs w:val="21"/>
                      <w:u w:val="none"/>
                    </w:rPr>
                    <w:t>降尘、车辆清洗和绿化。</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。项目废水</w:t>
                  </w:r>
                  <w:r>
                    <w:rPr>
                      <w:rFonts w:hint="eastAsia"/>
                      <w:szCs w:val="21"/>
                      <w:u w:val="none"/>
                    </w:rPr>
                    <w:t>全部综合利用，企业配套了完善的环保设施。</w:t>
                  </w:r>
                </w:p>
                <w:p w14:paraId="0C4D48D6">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2.</w:t>
                  </w:r>
                  <w:r>
                    <w:rPr>
                      <w:rFonts w:hint="eastAsia" w:ascii="Times New Roman" w:hAnsi="Times New Roman" w:cs="Times New Roman"/>
                      <w:sz w:val="21"/>
                      <w:szCs w:val="21"/>
                      <w:u w:val="none"/>
                      <w:lang w:eastAsia="zh-CN"/>
                    </w:rPr>
                    <w:t>本项目主要生产设备为装载机、运输车辆，项目不排放污染物</w:t>
                  </w:r>
                  <w:r>
                    <w:rPr>
                      <w:rFonts w:ascii="Times New Roman" w:hAnsi="Times New Roman" w:cs="Times New Roman"/>
                      <w:sz w:val="21"/>
                      <w:szCs w:val="21"/>
                      <w:u w:val="none"/>
                      <w:lang w:eastAsia="zh-CN"/>
                    </w:rPr>
                    <w:t>。</w:t>
                  </w:r>
                </w:p>
                <w:p w14:paraId="39669B92">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3.</w:t>
                  </w:r>
                  <w:r>
                    <w:rPr>
                      <w:rFonts w:hint="eastAsia" w:ascii="Times New Roman" w:hAnsi="Times New Roman" w:cs="Times New Roman"/>
                      <w:sz w:val="21"/>
                      <w:szCs w:val="21"/>
                      <w:u w:val="none"/>
                      <w:lang w:eastAsia="zh-CN"/>
                    </w:rPr>
                    <w:t>项目废水全部综合利用，不外排</w:t>
                  </w:r>
                  <w:r>
                    <w:rPr>
                      <w:rFonts w:ascii="Times New Roman" w:hAnsi="Times New Roman" w:cs="Times New Roman"/>
                      <w:sz w:val="21"/>
                      <w:szCs w:val="21"/>
                      <w:u w:val="none"/>
                      <w:lang w:eastAsia="zh-CN"/>
                    </w:rPr>
                    <w:t>。</w:t>
                  </w:r>
                </w:p>
                <w:p w14:paraId="5982AB55">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4.</w:t>
                  </w:r>
                  <w:r>
                    <w:rPr>
                      <w:rFonts w:hint="eastAsia" w:ascii="Times New Roman" w:hAnsi="Times New Roman" w:cs="Times New Roman"/>
                      <w:sz w:val="21"/>
                      <w:szCs w:val="21"/>
                      <w:u w:val="none"/>
                      <w:lang w:eastAsia="zh-CN"/>
                    </w:rPr>
                    <w:t>本项目不属</w:t>
                  </w:r>
                  <w:r>
                    <w:rPr>
                      <w:rFonts w:hint="eastAsia"/>
                      <w:sz w:val="21"/>
                      <w:szCs w:val="21"/>
                      <w:u w:val="none"/>
                      <w:lang w:eastAsia="zh-CN"/>
                    </w:rPr>
                    <w:t>于“两高”</w:t>
                  </w:r>
                  <w:r>
                    <w:rPr>
                      <w:rFonts w:ascii="Times New Roman" w:hAnsi="Times New Roman" w:cs="Times New Roman"/>
                      <w:sz w:val="21"/>
                      <w:szCs w:val="21"/>
                      <w:u w:val="none"/>
                      <w:lang w:eastAsia="zh-CN"/>
                    </w:rPr>
                    <w:t>项目。</w:t>
                  </w:r>
                </w:p>
                <w:p w14:paraId="6D8CDE11">
                  <w:pPr>
                    <w:rPr>
                      <w:szCs w:val="21"/>
                      <w:u w:val="none"/>
                    </w:rPr>
                  </w:pPr>
                  <w:r>
                    <w:rPr>
                      <w:szCs w:val="21"/>
                      <w:u w:val="none"/>
                    </w:rPr>
                    <w:t>5.</w:t>
                  </w:r>
                  <w:r>
                    <w:rPr>
                      <w:rFonts w:hint="eastAsia"/>
                      <w:szCs w:val="21"/>
                      <w:u w:val="none"/>
                    </w:rPr>
                    <w:t>项目废水全部综合利用，对周边地表水环境影响很小，有利于改善区域水环境质量</w:t>
                  </w:r>
                  <w:r>
                    <w:rPr>
                      <w:szCs w:val="21"/>
                      <w:u w:val="none"/>
                    </w:rPr>
                    <w:t>。</w:t>
                  </w:r>
                </w:p>
              </w:tc>
              <w:tc>
                <w:tcPr>
                  <w:tcW w:w="497" w:type="dxa"/>
                  <w:vAlign w:val="center"/>
                </w:tcPr>
                <w:p w14:paraId="178C45B8">
                  <w:pPr>
                    <w:wordWrap w:val="0"/>
                    <w:snapToGrid w:val="0"/>
                    <w:jc w:val="center"/>
                    <w:rPr>
                      <w:szCs w:val="21"/>
                      <w:u w:val="none"/>
                    </w:rPr>
                  </w:pPr>
                  <w:r>
                    <w:rPr>
                      <w:szCs w:val="21"/>
                      <w:u w:val="none"/>
                    </w:rPr>
                    <w:t>符合</w:t>
                  </w:r>
                </w:p>
              </w:tc>
            </w:tr>
            <w:tr w14:paraId="5D2A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Merge w:val="continue"/>
                  <w:vAlign w:val="center"/>
                </w:tcPr>
                <w:p w14:paraId="2F010B61">
                  <w:pPr>
                    <w:snapToGrid w:val="0"/>
                    <w:jc w:val="center"/>
                    <w:rPr>
                      <w:szCs w:val="21"/>
                      <w:u w:val="none"/>
                    </w:rPr>
                  </w:pPr>
                </w:p>
              </w:tc>
              <w:tc>
                <w:tcPr>
                  <w:tcW w:w="3096" w:type="dxa"/>
                </w:tcPr>
                <w:p w14:paraId="3946228A">
                  <w:pPr>
                    <w:pStyle w:val="170"/>
                    <w:spacing w:before="95" w:line="223" w:lineRule="auto"/>
                    <w:rPr>
                      <w:rFonts w:ascii="Times New Roman" w:hAnsi="Times New Roman" w:cs="Times New Roman"/>
                      <w:sz w:val="21"/>
                      <w:szCs w:val="21"/>
                      <w:u w:val="none"/>
                      <w:lang w:eastAsia="zh-CN"/>
                    </w:rPr>
                  </w:pPr>
                  <w:r>
                    <w:rPr>
                      <w:rFonts w:ascii="Times New Roman" w:hAnsi="Times New Roman" w:cs="Times New Roman"/>
                      <w:b/>
                      <w:bCs/>
                      <w:sz w:val="21"/>
                      <w:szCs w:val="21"/>
                      <w:u w:val="none"/>
                      <w:lang w:eastAsia="zh-CN"/>
                    </w:rPr>
                    <w:t>环境风险防控</w:t>
                  </w:r>
                  <w:r>
                    <w:rPr>
                      <w:rFonts w:hint="eastAsia" w:ascii="Times New Roman" w:hAnsi="Times New Roman" w:cs="Times New Roman"/>
                      <w:b/>
                      <w:bCs/>
                      <w:sz w:val="21"/>
                      <w:szCs w:val="21"/>
                      <w:u w:val="none"/>
                      <w:lang w:eastAsia="zh-CN"/>
                    </w:rPr>
                    <w:t>要求</w:t>
                  </w:r>
                  <w:r>
                    <w:rPr>
                      <w:rFonts w:ascii="Times New Roman" w:hAnsi="Times New Roman" w:cs="Times New Roman"/>
                      <w:sz w:val="21"/>
                      <w:szCs w:val="21"/>
                      <w:u w:val="none"/>
                      <w:lang w:eastAsia="zh-CN"/>
                    </w:rPr>
                    <w:t>：</w:t>
                  </w:r>
                </w:p>
                <w:p w14:paraId="0C011C79">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1.羊场产业园入驻企业建设之前做好水文地质勘察，应该避开岩溶强烈发育的区域，对于后续废水产生量大、源强高的企业入驻，选址在园区的裂隙含水层分布区，</w:t>
                  </w:r>
                  <w:r>
                    <w:rPr>
                      <w:rFonts w:hint="eastAsia" w:ascii="Times New Roman" w:hAnsi="Times New Roman" w:cs="Times New Roman"/>
                      <w:sz w:val="21"/>
                      <w:szCs w:val="21"/>
                      <w:u w:val="none"/>
                      <w:lang w:eastAsia="zh-CN"/>
                    </w:rPr>
                    <w:t>厂区</w:t>
                  </w:r>
                  <w:r>
                    <w:rPr>
                      <w:rFonts w:ascii="Times New Roman" w:hAnsi="Times New Roman" w:cs="Times New Roman"/>
                      <w:sz w:val="21"/>
                      <w:szCs w:val="21"/>
                      <w:u w:val="none"/>
                      <w:lang w:eastAsia="zh-CN"/>
                    </w:rPr>
                    <w:t>应采取防渗措施，企业应加强地下水跟踪监测，制定地下水污染预警机制</w:t>
                  </w:r>
                  <w:r>
                    <w:rPr>
                      <w:rFonts w:hint="eastAsia" w:ascii="Times New Roman" w:hAnsi="Times New Roman" w:cs="Times New Roman"/>
                      <w:sz w:val="21"/>
                      <w:szCs w:val="21"/>
                      <w:u w:val="none"/>
                      <w:lang w:eastAsia="zh-CN"/>
                    </w:rPr>
                    <w:t>。</w:t>
                  </w:r>
                </w:p>
                <w:p w14:paraId="1EE7C5EE">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2.对入园有色金属冶炼企业贯彻执行园区内工业废水禁排的要求，加大对废水、废气中重金属污染物的监测力度，妥善处理危险废物。</w:t>
                  </w:r>
                </w:p>
              </w:tc>
              <w:tc>
                <w:tcPr>
                  <w:tcW w:w="2835" w:type="dxa"/>
                  <w:vAlign w:val="center"/>
                </w:tcPr>
                <w:p w14:paraId="569AEB84">
                  <w:pPr>
                    <w:wordWrap w:val="0"/>
                    <w:snapToGrid w:val="0"/>
                    <w:rPr>
                      <w:szCs w:val="21"/>
                      <w:u w:val="none"/>
                    </w:rPr>
                  </w:pPr>
                  <w:r>
                    <w:rPr>
                      <w:rFonts w:hint="eastAsia"/>
                      <w:szCs w:val="21"/>
                      <w:u w:val="none"/>
                    </w:rPr>
                    <w:t>1.本项目集运物资为磷矿石，不涉及风险物质；所有活动置于大棚内；大棚地面进行硬化处理，不涉及环境风险源。</w:t>
                  </w:r>
                </w:p>
                <w:p w14:paraId="7D538786">
                  <w:pPr>
                    <w:wordWrap w:val="0"/>
                    <w:snapToGrid w:val="0"/>
                    <w:rPr>
                      <w:szCs w:val="21"/>
                      <w:u w:val="none"/>
                    </w:rPr>
                  </w:pPr>
                  <w:r>
                    <w:rPr>
                      <w:rFonts w:hint="eastAsia"/>
                      <w:szCs w:val="21"/>
                      <w:u w:val="none"/>
                    </w:rPr>
                    <w:t>2.项目不涉及有色金属冶炼，符合入园要求。</w:t>
                  </w:r>
                </w:p>
              </w:tc>
              <w:tc>
                <w:tcPr>
                  <w:tcW w:w="497" w:type="dxa"/>
                  <w:vAlign w:val="center"/>
                </w:tcPr>
                <w:p w14:paraId="4826655A">
                  <w:pPr>
                    <w:wordWrap w:val="0"/>
                    <w:snapToGrid w:val="0"/>
                    <w:jc w:val="center"/>
                    <w:rPr>
                      <w:szCs w:val="21"/>
                      <w:u w:val="none"/>
                    </w:rPr>
                  </w:pPr>
                  <w:r>
                    <w:rPr>
                      <w:szCs w:val="21"/>
                      <w:u w:val="none"/>
                    </w:rPr>
                    <w:t>符合</w:t>
                  </w:r>
                </w:p>
              </w:tc>
            </w:tr>
            <w:tr w14:paraId="4642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132" w:type="dxa"/>
                  <w:vMerge w:val="continue"/>
                  <w:vAlign w:val="center"/>
                </w:tcPr>
                <w:p w14:paraId="6EE19B80">
                  <w:pPr>
                    <w:snapToGrid w:val="0"/>
                    <w:jc w:val="center"/>
                    <w:rPr>
                      <w:szCs w:val="21"/>
                      <w:u w:val="none"/>
                    </w:rPr>
                  </w:pPr>
                </w:p>
              </w:tc>
              <w:tc>
                <w:tcPr>
                  <w:tcW w:w="3096" w:type="dxa"/>
                </w:tcPr>
                <w:p w14:paraId="1DFB5F65">
                  <w:pPr>
                    <w:pStyle w:val="170"/>
                    <w:spacing w:before="149" w:line="223" w:lineRule="auto"/>
                    <w:rPr>
                      <w:rFonts w:ascii="Times New Roman" w:hAnsi="Times New Roman" w:cs="Times New Roman"/>
                      <w:b/>
                      <w:bCs/>
                      <w:sz w:val="21"/>
                      <w:szCs w:val="21"/>
                      <w:u w:val="none"/>
                      <w:lang w:eastAsia="zh-CN"/>
                    </w:rPr>
                  </w:pPr>
                  <w:r>
                    <w:rPr>
                      <w:rFonts w:ascii="Times New Roman" w:hAnsi="Times New Roman" w:cs="Times New Roman"/>
                      <w:b/>
                      <w:bCs/>
                      <w:sz w:val="21"/>
                      <w:szCs w:val="21"/>
                      <w:u w:val="none"/>
                      <w:lang w:eastAsia="zh-CN"/>
                    </w:rPr>
                    <w:t>资源开发效率：</w:t>
                  </w:r>
                </w:p>
                <w:p w14:paraId="4EFC205F">
                  <w:pPr>
                    <w:pStyle w:val="170"/>
                    <w:spacing w:before="111" w:line="223" w:lineRule="auto"/>
                    <w:rPr>
                      <w:rFonts w:ascii="Times New Roman" w:hAnsi="Times New Roman" w:cs="Times New Roman"/>
                      <w:sz w:val="21"/>
                      <w:szCs w:val="21"/>
                      <w:u w:val="none"/>
                      <w:lang w:eastAsia="zh-CN"/>
                    </w:rPr>
                  </w:pPr>
                  <w:r>
                    <w:rPr>
                      <w:rFonts w:hint="eastAsia" w:ascii="Times New Roman" w:hAnsi="Times New Roman" w:cs="Times New Roman"/>
                      <w:sz w:val="21"/>
                      <w:szCs w:val="21"/>
                      <w:u w:val="none"/>
                      <w:lang w:eastAsia="zh-CN"/>
                    </w:rPr>
                    <w:t>1.</w:t>
                  </w:r>
                  <w:r>
                    <w:rPr>
                      <w:rFonts w:ascii="Times New Roman" w:hAnsi="Times New Roman" w:cs="Times New Roman"/>
                      <w:sz w:val="21"/>
                      <w:szCs w:val="21"/>
                      <w:u w:val="none"/>
                      <w:lang w:eastAsia="zh-CN"/>
                    </w:rPr>
                    <w:t>加快园区内污水处理工程的建设和中水回用设施建设，提高工业用水循环重复使用率。提高中水回用率，以降低新鲜水取水量。</w:t>
                  </w:r>
                </w:p>
                <w:p w14:paraId="4C75E14D">
                  <w:pPr>
                    <w:pStyle w:val="170"/>
                    <w:spacing w:before="111" w:line="223" w:lineRule="auto"/>
                    <w:rPr>
                      <w:rFonts w:ascii="Times New Roman" w:hAnsi="Times New Roman" w:cs="Times New Roman"/>
                      <w:sz w:val="21"/>
                      <w:szCs w:val="21"/>
                      <w:u w:val="none"/>
                      <w:lang w:eastAsia="zh-CN"/>
                    </w:rPr>
                  </w:pPr>
                  <w:r>
                    <w:rPr>
                      <w:rFonts w:ascii="Times New Roman" w:hAnsi="Times New Roman" w:cs="Times New Roman"/>
                      <w:sz w:val="21"/>
                      <w:szCs w:val="21"/>
                      <w:u w:val="none"/>
                      <w:lang w:eastAsia="zh-CN"/>
                    </w:rPr>
                    <w:t>2.加大煤气、液化气及电等清洁能源的普及率，削减大气污染物排放，有利于开发区环境质量的提高和改善。</w:t>
                  </w:r>
                </w:p>
              </w:tc>
              <w:tc>
                <w:tcPr>
                  <w:tcW w:w="2835" w:type="dxa"/>
                  <w:vAlign w:val="center"/>
                </w:tcPr>
                <w:p w14:paraId="78862082">
                  <w:pPr>
                    <w:wordWrap w:val="0"/>
                    <w:snapToGrid w:val="0"/>
                    <w:rPr>
                      <w:szCs w:val="21"/>
                      <w:u w:val="none"/>
                    </w:rPr>
                  </w:pPr>
                  <w:r>
                    <w:rPr>
                      <w:rFonts w:hint="eastAsia"/>
                      <w:szCs w:val="21"/>
                      <w:u w:val="none"/>
                    </w:rPr>
                    <w:t>1.</w:t>
                  </w:r>
                  <w:r>
                    <w:rPr>
                      <w:szCs w:val="21"/>
                      <w:u w:val="none"/>
                    </w:rPr>
                    <w:t>车辆清洗废水和场地雨污水分别经车辆清洗废水沉淀池和场地雨污水收集池处理后全部回用于</w:t>
                  </w:r>
                  <w:r>
                    <w:rPr>
                      <w:rFonts w:hint="eastAsia"/>
                      <w:szCs w:val="21"/>
                      <w:u w:val="none"/>
                    </w:rPr>
                    <w:t>大棚喷雾</w:t>
                  </w:r>
                  <w:r>
                    <w:rPr>
                      <w:szCs w:val="21"/>
                      <w:u w:val="none"/>
                    </w:rPr>
                    <w:t>降尘、车辆清洗和绿化。</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。项目废水</w:t>
                  </w:r>
                  <w:r>
                    <w:rPr>
                      <w:rFonts w:hint="eastAsia"/>
                      <w:szCs w:val="21"/>
                      <w:u w:val="none"/>
                    </w:rPr>
                    <w:t>全部综合利用。</w:t>
                  </w:r>
                  <w:r>
                    <w:rPr>
                      <w:szCs w:val="21"/>
                      <w:u w:val="none"/>
                    </w:rPr>
                    <w:t>提高</w:t>
                  </w:r>
                  <w:r>
                    <w:rPr>
                      <w:rFonts w:hint="eastAsia"/>
                      <w:szCs w:val="21"/>
                      <w:u w:val="none"/>
                    </w:rPr>
                    <w:t>了</w:t>
                  </w:r>
                  <w:r>
                    <w:rPr>
                      <w:szCs w:val="21"/>
                      <w:u w:val="none"/>
                    </w:rPr>
                    <w:t>工业用水循环重复使用率。提高</w:t>
                  </w:r>
                  <w:r>
                    <w:rPr>
                      <w:rFonts w:hint="eastAsia"/>
                      <w:szCs w:val="21"/>
                      <w:u w:val="none"/>
                    </w:rPr>
                    <w:t>了</w:t>
                  </w:r>
                  <w:r>
                    <w:rPr>
                      <w:szCs w:val="21"/>
                      <w:u w:val="none"/>
                    </w:rPr>
                    <w:t>中水回用率，降低</w:t>
                  </w:r>
                  <w:r>
                    <w:rPr>
                      <w:rFonts w:hint="eastAsia"/>
                      <w:szCs w:val="21"/>
                      <w:u w:val="none"/>
                    </w:rPr>
                    <w:t>了</w:t>
                  </w:r>
                  <w:r>
                    <w:rPr>
                      <w:szCs w:val="21"/>
                      <w:u w:val="none"/>
                    </w:rPr>
                    <w:t>新鲜水取水量</w:t>
                  </w:r>
                  <w:r>
                    <w:rPr>
                      <w:rFonts w:hint="eastAsia"/>
                      <w:szCs w:val="21"/>
                      <w:u w:val="none"/>
                    </w:rPr>
                    <w:t>。</w:t>
                  </w:r>
                </w:p>
                <w:p w14:paraId="579F498E">
                  <w:pPr>
                    <w:wordWrap w:val="0"/>
                    <w:snapToGrid w:val="0"/>
                    <w:rPr>
                      <w:szCs w:val="21"/>
                      <w:u w:val="none"/>
                    </w:rPr>
                  </w:pPr>
                  <w:r>
                    <w:rPr>
                      <w:rFonts w:hint="eastAsia"/>
                      <w:szCs w:val="21"/>
                      <w:u w:val="none"/>
                    </w:rPr>
                    <w:t>2.全厂用电，100%使用清洁能源</w:t>
                  </w:r>
                  <w:r>
                    <w:rPr>
                      <w:szCs w:val="21"/>
                      <w:u w:val="none"/>
                    </w:rPr>
                    <w:t>，有利于</w:t>
                  </w:r>
                  <w:r>
                    <w:rPr>
                      <w:rFonts w:hint="eastAsia"/>
                      <w:szCs w:val="21"/>
                      <w:u w:val="none"/>
                    </w:rPr>
                    <w:t>羊场产业园区</w:t>
                  </w:r>
                  <w:r>
                    <w:rPr>
                      <w:szCs w:val="21"/>
                      <w:u w:val="none"/>
                    </w:rPr>
                    <w:t>环境质量的提高和改善</w:t>
                  </w:r>
                  <w:r>
                    <w:rPr>
                      <w:rFonts w:hint="eastAsia"/>
                      <w:szCs w:val="21"/>
                      <w:u w:val="none"/>
                    </w:rPr>
                    <w:t>。</w:t>
                  </w:r>
                </w:p>
              </w:tc>
              <w:tc>
                <w:tcPr>
                  <w:tcW w:w="497" w:type="dxa"/>
                  <w:vAlign w:val="center"/>
                </w:tcPr>
                <w:p w14:paraId="0C183835">
                  <w:pPr>
                    <w:wordWrap w:val="0"/>
                    <w:snapToGrid w:val="0"/>
                    <w:jc w:val="center"/>
                    <w:rPr>
                      <w:szCs w:val="21"/>
                      <w:u w:val="none"/>
                    </w:rPr>
                  </w:pPr>
                  <w:r>
                    <w:rPr>
                      <w:szCs w:val="21"/>
                      <w:u w:val="none"/>
                    </w:rPr>
                    <w:t>符合</w:t>
                  </w:r>
                </w:p>
              </w:tc>
            </w:tr>
          </w:tbl>
          <w:p w14:paraId="16856838">
            <w:pPr>
              <w:pStyle w:val="49"/>
              <w:adjustRightInd/>
              <w:snapToGrid/>
              <w:spacing w:line="360" w:lineRule="auto"/>
              <w:ind w:firstLine="482" w:firstLineChars="200"/>
              <w:jc w:val="both"/>
              <w:rPr>
                <w:b/>
                <w:bCs/>
                <w:u w:val="none"/>
              </w:rPr>
            </w:pPr>
            <w:r>
              <w:rPr>
                <w:rFonts w:hint="eastAsia"/>
                <w:b/>
                <w:bCs/>
                <w:u w:val="none"/>
              </w:rPr>
              <w:t>4</w:t>
            </w:r>
            <w:r>
              <w:rPr>
                <w:b/>
                <w:bCs/>
                <w:u w:val="none"/>
              </w:rPr>
              <w:t>、选址</w:t>
            </w:r>
            <w:r>
              <w:rPr>
                <w:b/>
                <w:bCs/>
                <w:u w:val="thick" w:color="FFB03A"/>
                <w:shd w:val="clear" w:fill="FFEFD7"/>
              </w:rPr>
              <w:t>合理性</w:t>
            </w:r>
          </w:p>
          <w:p w14:paraId="286A5F2C">
            <w:pPr>
              <w:autoSpaceDE w:val="0"/>
              <w:autoSpaceDN w:val="0"/>
              <w:adjustRightInd w:val="0"/>
              <w:snapToGrid w:val="0"/>
              <w:spacing w:line="360" w:lineRule="auto"/>
              <w:ind w:firstLine="480" w:firstLineChars="200"/>
              <w:rPr>
                <w:sz w:val="24"/>
                <w:u w:val="none"/>
              </w:rPr>
            </w:pPr>
            <w:r>
              <w:rPr>
                <w:rFonts w:hint="eastAsia"/>
                <w:sz w:val="24"/>
                <w:u w:val="none"/>
              </w:rPr>
              <w:t>项目位于羊场产业园内，位于羊场产业园区“留白弹性区”，根据《云南宣威经济技术开发区总体规划（2020—2035）》土地利用现状图，项目区土地利用现状为工业用地。项目周围没有需要特殊保护的文物、名胜、古迹和文化、自然遗产，不属于自然保护区、风景名胜区和水源保护区的保护范围，</w:t>
            </w:r>
            <w:r>
              <w:rPr>
                <w:sz w:val="24"/>
                <w:u w:val="none"/>
              </w:rPr>
              <w:t>无特殊保护植物和动物</w:t>
            </w:r>
            <w:r>
              <w:rPr>
                <w:rFonts w:hint="eastAsia"/>
                <w:sz w:val="24"/>
                <w:u w:val="none"/>
              </w:rPr>
              <w:t>，周边村庄距离项目区距离均在1km以上。项目为磷矿集运项目，采取设计和环评提出的污染防治措施后，外排废气可达标排放，对区域环境空气影响很小。项目生产过程中产生的废水包括职工办公生活污水、车辆清洗废水和场地雨污水。生活污水经化粪池收集处理后排入1套处理能力为1m</w:t>
            </w:r>
            <w:r>
              <w:rPr>
                <w:rFonts w:hint="eastAsia"/>
                <w:sz w:val="24"/>
                <w:u w:val="none"/>
                <w:vertAlign w:val="superscript"/>
              </w:rPr>
              <w:t>3</w:t>
            </w:r>
            <w:r>
              <w:rPr>
                <w:rFonts w:hint="eastAsia"/>
                <w:sz w:val="24"/>
                <w:u w:val="none"/>
              </w:rPr>
              <w:t>/d的一体化污水处理站处理</w:t>
            </w:r>
            <w:r>
              <w:rPr>
                <w:rFonts w:hint="eastAsia"/>
                <w:sz w:val="24"/>
                <w:u w:val="none"/>
                <w:lang w:val="zh-TW"/>
              </w:rPr>
              <w:t>，处理达</w:t>
            </w:r>
            <w:r>
              <w:rPr>
                <w:rFonts w:hint="eastAsia"/>
                <w:sz w:val="24"/>
                <w:u w:val="none"/>
              </w:rPr>
              <w:t>到</w:t>
            </w:r>
            <w:r>
              <w:rPr>
                <w:rFonts w:hint="eastAsia"/>
                <w:sz w:val="24"/>
                <w:u w:val="none"/>
                <w:lang w:val="zh-TW"/>
              </w:rPr>
              <w:t>《农田灌溉水质标准》（GB</w:t>
            </w:r>
            <w:r>
              <w:rPr>
                <w:rFonts w:hint="eastAsia"/>
                <w:sz w:val="24"/>
                <w:u w:val="none"/>
              </w:rPr>
              <w:t xml:space="preserve"> </w:t>
            </w:r>
            <w:r>
              <w:rPr>
                <w:rFonts w:hint="eastAsia"/>
                <w:sz w:val="24"/>
                <w:u w:val="none"/>
                <w:lang w:val="zh-TW"/>
              </w:rPr>
              <w:t>5084-2021）中蔬菜标准限值后，采用密闭运输工具清运用于周边旱地、种植基地及菜地灌溉</w:t>
            </w:r>
            <w:r>
              <w:rPr>
                <w:rFonts w:hint="eastAsia"/>
                <w:sz w:val="24"/>
                <w:u w:val="none"/>
              </w:rPr>
              <w:t>。车辆清洗废水经车辆清洗废水沉淀池处理后全部回用，不外排；场地雨污水经场地雨污水收集池处理后回用于大棚喷雾降尘、车辆清洗和绿化，对区域地表水环境影响很小。项目生产、职工生活固体废物均能得到妥善处置，对环境的影响不大。因此，</w:t>
            </w:r>
            <w:r>
              <w:rPr>
                <w:sz w:val="24"/>
                <w:u w:val="none"/>
              </w:rPr>
              <w:t>项目选址</w:t>
            </w:r>
            <w:r>
              <w:rPr>
                <w:rFonts w:hint="eastAsia"/>
                <w:sz w:val="24"/>
                <w:u w:val="none"/>
              </w:rPr>
              <w:t>合理</w:t>
            </w:r>
            <w:r>
              <w:rPr>
                <w:sz w:val="24"/>
                <w:u w:val="none"/>
              </w:rPr>
              <w:t>可行。</w:t>
            </w:r>
          </w:p>
          <w:p w14:paraId="49EB13D8">
            <w:pPr>
              <w:spacing w:line="360" w:lineRule="auto"/>
              <w:ind w:firstLine="482" w:firstLineChars="200"/>
              <w:rPr>
                <w:b/>
                <w:snapToGrid w:val="0"/>
                <w:sz w:val="24"/>
                <w:u w:val="none"/>
              </w:rPr>
            </w:pPr>
            <w:r>
              <w:rPr>
                <w:rFonts w:hint="eastAsia"/>
                <w:b/>
                <w:snapToGrid w:val="0"/>
                <w:sz w:val="24"/>
                <w:u w:val="none"/>
              </w:rPr>
              <w:t>5</w:t>
            </w:r>
            <w:r>
              <w:rPr>
                <w:b/>
                <w:snapToGrid w:val="0"/>
                <w:sz w:val="24"/>
                <w:u w:val="none"/>
              </w:rPr>
              <w:t>、项目与《中共中央国务院关于深入打好污染防治攻坚战的意见》符合性分析</w:t>
            </w:r>
          </w:p>
          <w:p w14:paraId="3F9B707A">
            <w:pPr>
              <w:autoSpaceDE w:val="0"/>
              <w:autoSpaceDN w:val="0"/>
              <w:adjustRightInd w:val="0"/>
              <w:snapToGrid w:val="0"/>
              <w:spacing w:line="360" w:lineRule="auto"/>
              <w:ind w:firstLine="480" w:firstLineChars="200"/>
              <w:rPr>
                <w:u w:val="none"/>
              </w:rPr>
            </w:pPr>
            <w:r>
              <w:rPr>
                <w:bCs/>
                <w:kern w:val="0"/>
                <w:sz w:val="24"/>
                <w:u w:val="none"/>
              </w:rPr>
              <w:t>2021年11月2日发布了《中共中央国务院关于深入打好污染防治攻坚战的意见》，项目与其符合性分析如下：</w:t>
            </w:r>
          </w:p>
          <w:p w14:paraId="38421426">
            <w:pPr>
              <w:pStyle w:val="48"/>
              <w:adjustRightInd/>
              <w:snapToGrid/>
              <w:spacing w:line="360" w:lineRule="auto"/>
              <w:rPr>
                <w:sz w:val="21"/>
                <w:szCs w:val="21"/>
                <w:u w:val="none"/>
                <w:lang w:val="zh-TW" w:eastAsia="zh-TW"/>
              </w:rPr>
            </w:pPr>
            <w:r>
              <w:rPr>
                <w:sz w:val="21"/>
                <w:szCs w:val="21"/>
                <w:u w:val="none"/>
                <w:lang w:val="zh-TW" w:eastAsia="zh-TW"/>
              </w:rPr>
              <w:t>表1-</w:t>
            </w:r>
            <w:r>
              <w:rPr>
                <w:rFonts w:hint="eastAsia"/>
                <w:sz w:val="21"/>
                <w:szCs w:val="21"/>
                <w:u w:val="none"/>
              </w:rPr>
              <w:t xml:space="preserve">7   </w:t>
            </w:r>
            <w:r>
              <w:rPr>
                <w:sz w:val="21"/>
                <w:szCs w:val="21"/>
                <w:u w:val="none"/>
                <w:lang w:val="zh-TW" w:eastAsia="zh-TW"/>
              </w:rPr>
              <w:t>与《中共中央国务院关于深入打好污染防治攻坚战的意见》</w:t>
            </w:r>
            <w:r>
              <w:rPr>
                <w:bCs/>
                <w:kern w:val="0"/>
                <w:sz w:val="21"/>
                <w:szCs w:val="21"/>
                <w:u w:val="none"/>
              </w:rPr>
              <w:t>符合性分析</w:t>
            </w:r>
          </w:p>
          <w:tbl>
            <w:tblPr>
              <w:tblStyle w:val="3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375"/>
              <w:gridCol w:w="2437"/>
              <w:gridCol w:w="1099"/>
            </w:tblGrid>
            <w:tr w14:paraId="304919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3906061F">
                  <w:pPr>
                    <w:adjustRightInd w:val="0"/>
                    <w:snapToGrid w:val="0"/>
                    <w:jc w:val="center"/>
                    <w:rPr>
                      <w:b/>
                      <w:bCs/>
                      <w:szCs w:val="21"/>
                      <w:u w:val="none"/>
                    </w:rPr>
                  </w:pPr>
                  <w:r>
                    <w:rPr>
                      <w:b/>
                      <w:bCs/>
                      <w:szCs w:val="21"/>
                      <w:u w:val="none"/>
                    </w:rPr>
                    <w:t>相关要求</w:t>
                  </w:r>
                </w:p>
              </w:tc>
              <w:tc>
                <w:tcPr>
                  <w:tcW w:w="2437" w:type="dxa"/>
                  <w:vAlign w:val="center"/>
                </w:tcPr>
                <w:p w14:paraId="2DC4633C">
                  <w:pPr>
                    <w:adjustRightInd w:val="0"/>
                    <w:snapToGrid w:val="0"/>
                    <w:jc w:val="center"/>
                    <w:rPr>
                      <w:b/>
                      <w:bCs/>
                      <w:szCs w:val="21"/>
                      <w:u w:val="none"/>
                    </w:rPr>
                  </w:pPr>
                  <w:r>
                    <w:rPr>
                      <w:b/>
                      <w:bCs/>
                      <w:szCs w:val="21"/>
                      <w:u w:val="none"/>
                    </w:rPr>
                    <w:t>本项目情况</w:t>
                  </w:r>
                </w:p>
              </w:tc>
              <w:tc>
                <w:tcPr>
                  <w:tcW w:w="1099" w:type="dxa"/>
                  <w:vAlign w:val="center"/>
                </w:tcPr>
                <w:p w14:paraId="73A6A605">
                  <w:pPr>
                    <w:adjustRightInd w:val="0"/>
                    <w:snapToGrid w:val="0"/>
                    <w:jc w:val="center"/>
                    <w:rPr>
                      <w:b/>
                      <w:bCs/>
                      <w:szCs w:val="21"/>
                      <w:u w:val="none"/>
                    </w:rPr>
                  </w:pPr>
                  <w:r>
                    <w:rPr>
                      <w:b/>
                      <w:bCs/>
                      <w:szCs w:val="21"/>
                      <w:u w:val="none"/>
                    </w:rPr>
                    <w:t>是否相符</w:t>
                  </w:r>
                </w:p>
              </w:tc>
            </w:tr>
            <w:tr w14:paraId="3E54D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715A4C8F">
                  <w:pPr>
                    <w:adjustRightInd w:val="0"/>
                    <w:snapToGrid w:val="0"/>
                    <w:jc w:val="center"/>
                    <w:rPr>
                      <w:szCs w:val="21"/>
                      <w:u w:val="none"/>
                    </w:rPr>
                  </w:pPr>
                  <w:r>
                    <w:rPr>
                      <w:szCs w:val="21"/>
                      <w:u w:val="none"/>
                    </w:rPr>
                    <w:t>（六）推动能源清洁低碳转型。在保障能源安全的前提下，加快煤炭减量步伐，实施可再生能源替代行动。</w:t>
                  </w:r>
                  <w:r>
                    <w:rPr>
                      <w:rFonts w:hint="eastAsia" w:ascii="宋体" w:hAnsi="宋体" w:cs="宋体"/>
                      <w:szCs w:val="21"/>
                      <w:u w:val="none"/>
                    </w:rPr>
                    <w:t>“十四五”时</w:t>
                  </w:r>
                  <w:r>
                    <w:rPr>
                      <w:szCs w:val="21"/>
                      <w:u w:val="none"/>
                    </w:rPr>
                    <w:t>期，严控煤炭消费增长，非化石能源消费比重提高到20%左右，京津冀及周边地区、长三角地区煤炭消费量分别下降10%、5%左右，汾渭平原煤炭消费量实现负增长。</w:t>
                  </w:r>
                </w:p>
              </w:tc>
              <w:tc>
                <w:tcPr>
                  <w:tcW w:w="2437" w:type="dxa"/>
                  <w:vAlign w:val="center"/>
                </w:tcPr>
                <w:p w14:paraId="120A88A9">
                  <w:pPr>
                    <w:adjustRightInd w:val="0"/>
                    <w:snapToGrid w:val="0"/>
                    <w:jc w:val="center"/>
                    <w:rPr>
                      <w:szCs w:val="21"/>
                      <w:u w:val="none"/>
                    </w:rPr>
                  </w:pPr>
                  <w:r>
                    <w:rPr>
                      <w:szCs w:val="21"/>
                      <w:u w:val="none"/>
                    </w:rPr>
                    <w:t>项目使用</w:t>
                  </w:r>
                  <w:r>
                    <w:rPr>
                      <w:rFonts w:hint="eastAsia"/>
                      <w:szCs w:val="21"/>
                      <w:u w:val="none"/>
                    </w:rPr>
                    <w:t>电能为清洁能源</w:t>
                  </w:r>
                  <w:r>
                    <w:rPr>
                      <w:szCs w:val="21"/>
                      <w:u w:val="none"/>
                    </w:rPr>
                    <w:t>。</w:t>
                  </w:r>
                </w:p>
              </w:tc>
              <w:tc>
                <w:tcPr>
                  <w:tcW w:w="1099" w:type="dxa"/>
                  <w:vAlign w:val="center"/>
                </w:tcPr>
                <w:p w14:paraId="39647664">
                  <w:pPr>
                    <w:adjustRightInd w:val="0"/>
                    <w:snapToGrid w:val="0"/>
                    <w:jc w:val="center"/>
                    <w:rPr>
                      <w:szCs w:val="21"/>
                      <w:u w:val="none"/>
                    </w:rPr>
                  </w:pPr>
                  <w:r>
                    <w:rPr>
                      <w:szCs w:val="21"/>
                      <w:u w:val="none"/>
                    </w:rPr>
                    <w:t>符合</w:t>
                  </w:r>
                </w:p>
              </w:tc>
            </w:tr>
            <w:tr w14:paraId="2F022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35FF986F">
                  <w:pPr>
                    <w:adjustRightInd w:val="0"/>
                    <w:snapToGrid w:val="0"/>
                    <w:jc w:val="center"/>
                    <w:rPr>
                      <w:szCs w:val="21"/>
                      <w:u w:val="none"/>
                    </w:rPr>
                  </w:pPr>
                  <w:r>
                    <w:rPr>
                      <w:szCs w:val="21"/>
                      <w:u w:val="none"/>
                    </w:rPr>
                    <w:t>（八）推进清洁生产和能源资源节约高效利用。引导重点行业深入实施清洁生产改造，依法开展自愿性清洁生产评价认证。大力推行绿色制造，构建资源循环利用体系。推动煤炭等化石能源清洁高效利用。加强重点领域节能，提高能源使用效率。实施国家节水行动，强化农业节水增效、工业节水减排、城镇节水降损。推进污水资源化利用和海水淡化规模化利用。</w:t>
                  </w:r>
                </w:p>
              </w:tc>
              <w:tc>
                <w:tcPr>
                  <w:tcW w:w="2437" w:type="dxa"/>
                  <w:vAlign w:val="center"/>
                </w:tcPr>
                <w:p w14:paraId="52F65375">
                  <w:pPr>
                    <w:adjustRightInd w:val="0"/>
                    <w:snapToGrid w:val="0"/>
                    <w:jc w:val="center"/>
                    <w:rPr>
                      <w:szCs w:val="21"/>
                      <w:u w:val="none"/>
                    </w:rPr>
                  </w:pPr>
                  <w:r>
                    <w:rPr>
                      <w:szCs w:val="21"/>
                      <w:u w:val="none"/>
                    </w:rPr>
                    <w:t>项目使用水和电，</w:t>
                  </w:r>
                  <w:r>
                    <w:rPr>
                      <w:rFonts w:hint="eastAsia"/>
                      <w:szCs w:val="21"/>
                      <w:u w:val="none"/>
                    </w:rPr>
                    <w:t>水和电能为清洁能源</w:t>
                  </w:r>
                  <w:r>
                    <w:rPr>
                      <w:szCs w:val="21"/>
                      <w:u w:val="none"/>
                    </w:rPr>
                    <w:t>；建设单位拟建设1个容积为5</w:t>
                  </w:r>
                  <w:r>
                    <w:rPr>
                      <w:rFonts w:hint="eastAsia"/>
                      <w:szCs w:val="21"/>
                      <w:u w:val="none"/>
                    </w:rPr>
                    <w:t>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w:t>
                  </w:r>
                  <w:r>
                    <w:rPr>
                      <w:rFonts w:hint="eastAsia"/>
                      <w:szCs w:val="21"/>
                      <w:u w:val="none"/>
                    </w:rPr>
                    <w:t>和</w:t>
                  </w:r>
                  <w:r>
                    <w:rPr>
                      <w:szCs w:val="21"/>
                      <w:u w:val="none"/>
                    </w:rPr>
                    <w:t>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w:t>
                  </w:r>
                  <w:r>
                    <w:rPr>
                      <w:szCs w:val="21"/>
                      <w:u w:val="none"/>
                    </w:rPr>
                    <w:t>池。车辆清洗废水和场地雨污水分别经车辆清洗废水沉淀池和场地雨污水收集池处理后全部回用于</w:t>
                  </w:r>
                  <w:r>
                    <w:rPr>
                      <w:rFonts w:hint="eastAsia"/>
                      <w:szCs w:val="21"/>
                      <w:u w:val="none"/>
                    </w:rPr>
                    <w:t>大棚喷雾</w:t>
                  </w:r>
                  <w:r>
                    <w:rPr>
                      <w:szCs w:val="21"/>
                      <w:u w:val="none"/>
                    </w:rPr>
                    <w:t>降尘、车辆清洗。</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。项目无废水外排</w:t>
                  </w:r>
                  <w:r>
                    <w:rPr>
                      <w:rFonts w:hint="eastAsia"/>
                      <w:szCs w:val="21"/>
                      <w:u w:val="none"/>
                    </w:rPr>
                    <w:t>。</w:t>
                  </w:r>
                </w:p>
              </w:tc>
              <w:tc>
                <w:tcPr>
                  <w:tcW w:w="1099" w:type="dxa"/>
                  <w:vAlign w:val="center"/>
                </w:tcPr>
                <w:p w14:paraId="12D59779">
                  <w:pPr>
                    <w:adjustRightInd w:val="0"/>
                    <w:snapToGrid w:val="0"/>
                    <w:jc w:val="center"/>
                    <w:rPr>
                      <w:szCs w:val="21"/>
                      <w:u w:val="none"/>
                    </w:rPr>
                  </w:pPr>
                  <w:r>
                    <w:rPr>
                      <w:szCs w:val="21"/>
                      <w:u w:val="none"/>
                    </w:rPr>
                    <w:t>符合</w:t>
                  </w:r>
                </w:p>
              </w:tc>
            </w:tr>
            <w:tr w14:paraId="41AB45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3A9C0A7F">
                  <w:pPr>
                    <w:adjustRightInd w:val="0"/>
                    <w:snapToGrid w:val="0"/>
                    <w:jc w:val="center"/>
                    <w:rPr>
                      <w:szCs w:val="21"/>
                      <w:u w:val="none"/>
                    </w:rPr>
                  </w:pPr>
                  <w:r>
                    <w:rPr>
                      <w:szCs w:val="21"/>
                      <w:u w:val="none"/>
                    </w:rPr>
                    <w:t>（十四）加强大气面源和噪声污染治理。强化施工、道路、堆场、裸露地面等扬尘管控，加强城市保洁和清扫。实施噪声污染防治行动，加快解决群众关心的突出噪声问题。到2025年，地级及以上城市全面实现功能区声环境质量自动监测，全国声环境功能区夜间达标率达到85%。</w:t>
                  </w:r>
                </w:p>
              </w:tc>
              <w:tc>
                <w:tcPr>
                  <w:tcW w:w="2437" w:type="dxa"/>
                  <w:vAlign w:val="center"/>
                </w:tcPr>
                <w:p w14:paraId="7FAA7BFA">
                  <w:pPr>
                    <w:adjustRightInd w:val="0"/>
                    <w:snapToGrid w:val="0"/>
                    <w:jc w:val="center"/>
                    <w:rPr>
                      <w:szCs w:val="21"/>
                      <w:u w:val="none"/>
                    </w:rPr>
                  </w:pPr>
                  <w:r>
                    <w:rPr>
                      <w:szCs w:val="21"/>
                      <w:u w:val="none"/>
                    </w:rPr>
                    <w:t>项目施工期</w:t>
                  </w:r>
                  <w:r>
                    <w:rPr>
                      <w:rFonts w:hint="eastAsia"/>
                      <w:szCs w:val="21"/>
                      <w:u w:val="none"/>
                    </w:rPr>
                    <w:t>采取</w:t>
                  </w:r>
                  <w:r>
                    <w:rPr>
                      <w:szCs w:val="21"/>
                      <w:u w:val="none"/>
                    </w:rPr>
                    <w:t>施工车辆限速行驶</w:t>
                  </w:r>
                  <w:r>
                    <w:rPr>
                      <w:rFonts w:hint="eastAsia"/>
                      <w:szCs w:val="21"/>
                      <w:u w:val="none"/>
                    </w:rPr>
                    <w:t>；土石方</w:t>
                  </w:r>
                  <w:r>
                    <w:rPr>
                      <w:szCs w:val="21"/>
                      <w:u w:val="none"/>
                    </w:rPr>
                    <w:t>统一堆放，</w:t>
                  </w:r>
                  <w:r>
                    <w:rPr>
                      <w:rFonts w:hint="eastAsia"/>
                      <w:szCs w:val="21"/>
                      <w:u w:val="none"/>
                    </w:rPr>
                    <w:t>设置</w:t>
                  </w:r>
                  <w:r>
                    <w:rPr>
                      <w:szCs w:val="21"/>
                      <w:u w:val="none"/>
                    </w:rPr>
                    <w:t>防尘措施；砂石料等建筑材料堆场设置围挡，防风、防流失；</w:t>
                  </w:r>
                  <w:r>
                    <w:rPr>
                      <w:rFonts w:hint="eastAsia"/>
                      <w:szCs w:val="21"/>
                      <w:u w:val="none"/>
                    </w:rPr>
                    <w:t>施工人员生活垃圾和施工</w:t>
                  </w:r>
                  <w:r>
                    <w:rPr>
                      <w:szCs w:val="21"/>
                      <w:u w:val="none"/>
                    </w:rPr>
                    <w:t>垃圾及时清运；在施工场地安排专门员工对施工场地洒水</w:t>
                  </w:r>
                  <w:r>
                    <w:rPr>
                      <w:rFonts w:hint="eastAsia"/>
                      <w:szCs w:val="21"/>
                      <w:u w:val="none"/>
                    </w:rPr>
                    <w:t>等措施控制施工粉尘。</w:t>
                  </w:r>
                  <w:r>
                    <w:rPr>
                      <w:szCs w:val="21"/>
                      <w:u w:val="none"/>
                    </w:rPr>
                    <w:t>运营期通过厂房隔声</w:t>
                  </w:r>
                  <w:r>
                    <w:rPr>
                      <w:rFonts w:hint="eastAsia"/>
                      <w:szCs w:val="21"/>
                      <w:u w:val="none"/>
                    </w:rPr>
                    <w:t>；</w:t>
                  </w:r>
                  <w:r>
                    <w:rPr>
                      <w:szCs w:val="21"/>
                      <w:u w:val="none"/>
                    </w:rPr>
                    <w:t>仓储</w:t>
                  </w:r>
                  <w:r>
                    <w:rPr>
                      <w:rFonts w:hint="eastAsia"/>
                      <w:szCs w:val="21"/>
                      <w:u w:val="none"/>
                    </w:rPr>
                    <w:t>大</w:t>
                  </w:r>
                  <w:r>
                    <w:rPr>
                      <w:szCs w:val="21"/>
                      <w:u w:val="none"/>
                    </w:rPr>
                    <w:t>棚建设为全封闭大棚，仅留设车辆进出口，同时在仓储棚顶部安装喷雾降尘设施，</w:t>
                  </w:r>
                  <w:r>
                    <w:rPr>
                      <w:rFonts w:hint="eastAsia"/>
                      <w:bCs/>
                      <w:spacing w:val="-10"/>
                      <w:szCs w:val="21"/>
                      <w:u w:val="none"/>
                    </w:rPr>
                    <w:t>厂区内地面进行定期洒水、清扫、运输车辆采取密闭运输等措施</w:t>
                  </w:r>
                  <w:r>
                    <w:rPr>
                      <w:u w:val="none"/>
                    </w:rPr>
                    <w:t>。</w:t>
                  </w:r>
                  <w:r>
                    <w:rPr>
                      <w:szCs w:val="21"/>
                      <w:u w:val="none"/>
                    </w:rPr>
                    <w:t>废气、噪声能达标排放，对周围环境影响小。</w:t>
                  </w:r>
                </w:p>
              </w:tc>
              <w:tc>
                <w:tcPr>
                  <w:tcW w:w="1099" w:type="dxa"/>
                  <w:vAlign w:val="center"/>
                </w:tcPr>
                <w:p w14:paraId="5A3068E1">
                  <w:pPr>
                    <w:adjustRightInd w:val="0"/>
                    <w:snapToGrid w:val="0"/>
                    <w:jc w:val="center"/>
                    <w:rPr>
                      <w:szCs w:val="21"/>
                      <w:u w:val="none"/>
                    </w:rPr>
                  </w:pPr>
                  <w:r>
                    <w:rPr>
                      <w:szCs w:val="21"/>
                      <w:u w:val="none"/>
                    </w:rPr>
                    <w:t>符合</w:t>
                  </w:r>
                </w:p>
              </w:tc>
            </w:tr>
            <w:tr w14:paraId="00059E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31CC0FEF">
                  <w:pPr>
                    <w:adjustRightInd w:val="0"/>
                    <w:snapToGrid w:val="0"/>
                    <w:jc w:val="center"/>
                    <w:rPr>
                      <w:szCs w:val="21"/>
                      <w:u w:val="none"/>
                    </w:rPr>
                  </w:pPr>
                  <w:r>
                    <w:rPr>
                      <w:szCs w:val="21"/>
                      <w:u w:val="none"/>
                    </w:rPr>
                    <w:t>（十五）持续打好城市黑臭水体治理攻坚战。统筹好上下游、左右岸、干支流、城市和乡村，系统推进城市黑臭水体治理。加强农业农村和工业企业污染防治，有效控制入河污染物排放。强化溯源整治，杜绝污水直接排入雨水管网。</w:t>
                  </w:r>
                </w:p>
              </w:tc>
              <w:tc>
                <w:tcPr>
                  <w:tcW w:w="2437" w:type="dxa"/>
                  <w:vAlign w:val="center"/>
                </w:tcPr>
                <w:p w14:paraId="07D4661F">
                  <w:pPr>
                    <w:wordWrap w:val="0"/>
                    <w:adjustRightInd w:val="0"/>
                    <w:snapToGrid w:val="0"/>
                    <w:jc w:val="center"/>
                    <w:rPr>
                      <w:szCs w:val="21"/>
                      <w:u w:val="none"/>
                    </w:rPr>
                  </w:pPr>
                  <w:r>
                    <w:rPr>
                      <w:szCs w:val="21"/>
                      <w:u w:val="none"/>
                    </w:rPr>
                    <w:t>项目采用雨污分流排水体制，建设雨水管和污水管。建设单位拟建设1个容积为5</w:t>
                  </w:r>
                  <w:r>
                    <w:rPr>
                      <w:rFonts w:hint="eastAsia"/>
                      <w:szCs w:val="21"/>
                      <w:u w:val="none"/>
                    </w:rPr>
                    <w:t>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w:t>
                  </w:r>
                  <w:r>
                    <w:rPr>
                      <w:rFonts w:hint="eastAsia"/>
                      <w:szCs w:val="21"/>
                      <w:u w:val="none"/>
                    </w:rPr>
                    <w:t>和</w:t>
                  </w:r>
                  <w:r>
                    <w:rPr>
                      <w:szCs w:val="21"/>
                      <w:u w:val="none"/>
                    </w:rPr>
                    <w:t>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w:t>
                  </w:r>
                  <w:r>
                    <w:rPr>
                      <w:szCs w:val="21"/>
                      <w:u w:val="none"/>
                    </w:rPr>
                    <w:t>池。车辆清洗废水和场地雨污水分别经车辆清洗废水沉淀池和场地雨污水收集池处理后全部回用于</w:t>
                  </w:r>
                  <w:r>
                    <w:rPr>
                      <w:rFonts w:hint="eastAsia"/>
                      <w:szCs w:val="21"/>
                      <w:u w:val="none"/>
                    </w:rPr>
                    <w:t>大棚喷雾</w:t>
                  </w:r>
                  <w:r>
                    <w:rPr>
                      <w:szCs w:val="21"/>
                      <w:u w:val="none"/>
                    </w:rPr>
                    <w:t>降尘、车辆清洗</w:t>
                  </w:r>
                  <w:r>
                    <w:rPr>
                      <w:rFonts w:hint="eastAsia"/>
                      <w:szCs w:val="21"/>
                      <w:u w:val="none"/>
                    </w:rPr>
                    <w:t>。</w:t>
                  </w:r>
                </w:p>
              </w:tc>
              <w:tc>
                <w:tcPr>
                  <w:tcW w:w="1099" w:type="dxa"/>
                  <w:vAlign w:val="center"/>
                </w:tcPr>
                <w:p w14:paraId="2383608B">
                  <w:pPr>
                    <w:adjustRightInd w:val="0"/>
                    <w:snapToGrid w:val="0"/>
                    <w:jc w:val="center"/>
                    <w:rPr>
                      <w:szCs w:val="21"/>
                      <w:u w:val="none"/>
                    </w:rPr>
                  </w:pPr>
                  <w:r>
                    <w:rPr>
                      <w:szCs w:val="21"/>
                      <w:u w:val="none"/>
                    </w:rPr>
                    <w:t>符合</w:t>
                  </w:r>
                </w:p>
              </w:tc>
            </w:tr>
            <w:tr w14:paraId="39E51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3376" w:type="dxa"/>
                  <w:vAlign w:val="center"/>
                </w:tcPr>
                <w:p w14:paraId="0BBB95CC">
                  <w:pPr>
                    <w:adjustRightInd w:val="0"/>
                    <w:snapToGrid w:val="0"/>
                    <w:jc w:val="center"/>
                    <w:rPr>
                      <w:szCs w:val="21"/>
                      <w:u w:val="none"/>
                    </w:rPr>
                  </w:pPr>
                  <w:r>
                    <w:rPr>
                      <w:szCs w:val="21"/>
                      <w:u w:val="none"/>
                    </w:rPr>
                    <w:t>（三十一）严密防控环境风险。开展涉危险废物</w:t>
                  </w:r>
                  <w:r>
                    <w:rPr>
                      <w:rFonts w:hint="eastAsia"/>
                      <w:szCs w:val="21"/>
                      <w:u w:val="none"/>
                    </w:rPr>
                    <w:t>、</w:t>
                  </w:r>
                  <w:r>
                    <w:rPr>
                      <w:szCs w:val="21"/>
                      <w:u w:val="none"/>
                    </w:rPr>
                    <w:t>涉重金属企业、化工园区等重点领域环境风险调查评估，完</w:t>
                  </w:r>
                  <w:r>
                    <w:rPr>
                      <w:rFonts w:hint="eastAsia" w:ascii="宋体" w:hAnsi="宋体" w:cs="宋体"/>
                      <w:szCs w:val="21"/>
                      <w:u w:val="none"/>
                    </w:rPr>
                    <w:t>成重点河流突发水污染事件“一河一策一图”全</w:t>
                  </w:r>
                  <w:r>
                    <w:rPr>
                      <w:szCs w:val="21"/>
                      <w:u w:val="none"/>
                    </w:rPr>
                    <w:t>覆盖。开展涉铊企业排查整治行动。加强重金属污染防控，到2025年，全国重点行业重点重金属污染物排放量比2020年下降5%。强化生态环境与健康管理。健全国家环境应急指挥平台，推进流域及地方环境应急物资库建设，完善环境应急管理体系。</w:t>
                  </w:r>
                </w:p>
              </w:tc>
              <w:tc>
                <w:tcPr>
                  <w:tcW w:w="2437" w:type="dxa"/>
                  <w:vAlign w:val="center"/>
                </w:tcPr>
                <w:p w14:paraId="7F5ABADB">
                  <w:pPr>
                    <w:adjustRightInd w:val="0"/>
                    <w:snapToGrid w:val="0"/>
                    <w:jc w:val="center"/>
                    <w:rPr>
                      <w:szCs w:val="21"/>
                      <w:u w:val="none"/>
                    </w:rPr>
                  </w:pPr>
                  <w:r>
                    <w:rPr>
                      <w:szCs w:val="21"/>
                      <w:u w:val="none"/>
                    </w:rPr>
                    <w:t>本项目不涉及环境风险物质</w:t>
                  </w:r>
                  <w:r>
                    <w:rPr>
                      <w:rFonts w:hint="eastAsia"/>
                      <w:szCs w:val="21"/>
                      <w:u w:val="none"/>
                    </w:rPr>
                    <w:t>。</w:t>
                  </w:r>
                </w:p>
              </w:tc>
              <w:tc>
                <w:tcPr>
                  <w:tcW w:w="1099" w:type="dxa"/>
                  <w:vAlign w:val="center"/>
                </w:tcPr>
                <w:p w14:paraId="65A81343">
                  <w:pPr>
                    <w:adjustRightInd w:val="0"/>
                    <w:snapToGrid w:val="0"/>
                    <w:jc w:val="center"/>
                    <w:rPr>
                      <w:szCs w:val="21"/>
                      <w:u w:val="none"/>
                    </w:rPr>
                  </w:pPr>
                  <w:r>
                    <w:rPr>
                      <w:szCs w:val="21"/>
                      <w:u w:val="none"/>
                    </w:rPr>
                    <w:t>符合</w:t>
                  </w:r>
                </w:p>
              </w:tc>
            </w:tr>
          </w:tbl>
          <w:p w14:paraId="102F04D3">
            <w:pPr>
              <w:autoSpaceDE w:val="0"/>
              <w:autoSpaceDN w:val="0"/>
              <w:adjustRightInd w:val="0"/>
              <w:snapToGrid w:val="0"/>
              <w:spacing w:line="360" w:lineRule="auto"/>
              <w:ind w:firstLine="482" w:firstLineChars="200"/>
              <w:rPr>
                <w:b/>
                <w:bCs/>
                <w:kern w:val="0"/>
                <w:sz w:val="24"/>
                <w:u w:val="none"/>
              </w:rPr>
            </w:pPr>
            <w:r>
              <w:rPr>
                <w:rFonts w:hint="eastAsia"/>
                <w:b/>
                <w:bCs/>
                <w:sz w:val="24"/>
                <w:u w:val="none"/>
              </w:rPr>
              <w:t>6、项目</w:t>
            </w:r>
            <w:r>
              <w:rPr>
                <w:b/>
                <w:bCs/>
                <w:kern w:val="0"/>
                <w:sz w:val="24"/>
                <w:u w:val="none"/>
              </w:rPr>
              <w:t>与</w:t>
            </w:r>
            <w:r>
              <w:rPr>
                <w:rFonts w:hint="eastAsia"/>
                <w:b/>
                <w:bCs/>
                <w:kern w:val="0"/>
                <w:sz w:val="24"/>
                <w:u w:val="none"/>
              </w:rPr>
              <w:t>《中共云南省委、云南省人民政府关于深入打好污染防治攻坚战的实施意见</w:t>
            </w:r>
            <w:r>
              <w:rPr>
                <w:b/>
                <w:bCs/>
                <w:kern w:val="0"/>
                <w:sz w:val="24"/>
                <w:u w:val="none"/>
              </w:rPr>
              <w:t>》符合性分析</w:t>
            </w:r>
          </w:p>
          <w:p w14:paraId="66961F5D">
            <w:pPr>
              <w:autoSpaceDE w:val="0"/>
              <w:autoSpaceDN w:val="0"/>
              <w:adjustRightInd w:val="0"/>
              <w:snapToGrid w:val="0"/>
              <w:spacing w:line="360" w:lineRule="auto"/>
              <w:ind w:firstLine="480" w:firstLineChars="200"/>
              <w:rPr>
                <w:bCs/>
                <w:kern w:val="0"/>
                <w:sz w:val="24"/>
                <w:u w:val="none"/>
              </w:rPr>
            </w:pPr>
            <w:r>
              <w:rPr>
                <w:bCs/>
                <w:kern w:val="0"/>
                <w:sz w:val="24"/>
                <w:u w:val="none"/>
              </w:rPr>
              <w:t>202</w:t>
            </w:r>
            <w:r>
              <w:rPr>
                <w:rFonts w:hint="eastAsia"/>
                <w:bCs/>
                <w:kern w:val="0"/>
                <w:sz w:val="24"/>
                <w:u w:val="none"/>
              </w:rPr>
              <w:t>2</w:t>
            </w:r>
            <w:r>
              <w:rPr>
                <w:bCs/>
                <w:kern w:val="0"/>
                <w:sz w:val="24"/>
                <w:u w:val="none"/>
              </w:rPr>
              <w:t>年</w:t>
            </w:r>
            <w:r>
              <w:rPr>
                <w:rFonts w:hint="eastAsia"/>
                <w:bCs/>
                <w:kern w:val="0"/>
                <w:sz w:val="24"/>
                <w:u w:val="none"/>
              </w:rPr>
              <w:t>7</w:t>
            </w:r>
            <w:r>
              <w:rPr>
                <w:bCs/>
                <w:kern w:val="0"/>
                <w:sz w:val="24"/>
                <w:u w:val="none"/>
              </w:rPr>
              <w:t>月2</w:t>
            </w:r>
            <w:r>
              <w:rPr>
                <w:rFonts w:hint="eastAsia"/>
                <w:bCs/>
                <w:kern w:val="0"/>
                <w:sz w:val="24"/>
                <w:u w:val="none"/>
              </w:rPr>
              <w:t>7</w:t>
            </w:r>
            <w:r>
              <w:rPr>
                <w:bCs/>
                <w:kern w:val="0"/>
                <w:sz w:val="24"/>
                <w:u w:val="none"/>
              </w:rPr>
              <w:t>日</w:t>
            </w:r>
            <w:r>
              <w:rPr>
                <w:rFonts w:hint="eastAsia"/>
                <w:bCs/>
                <w:kern w:val="0"/>
                <w:sz w:val="24"/>
                <w:u w:val="none"/>
              </w:rPr>
              <w:t>，中共云南省委、云南省人民政府</w:t>
            </w:r>
            <w:r>
              <w:rPr>
                <w:bCs/>
                <w:kern w:val="0"/>
                <w:sz w:val="24"/>
                <w:u w:val="none"/>
              </w:rPr>
              <w:t>发布了《</w:t>
            </w:r>
            <w:r>
              <w:rPr>
                <w:rFonts w:hint="eastAsia"/>
                <w:bCs/>
                <w:kern w:val="0"/>
                <w:sz w:val="24"/>
                <w:u w:val="none"/>
              </w:rPr>
              <w:t>中共云南省委、云南省人民政府关于深入打好污染防治攻坚战的实施意见</w:t>
            </w:r>
            <w:r>
              <w:rPr>
                <w:bCs/>
                <w:kern w:val="0"/>
                <w:sz w:val="24"/>
                <w:u w:val="none"/>
              </w:rPr>
              <w:t>》，项目与其符合性分析如下：</w:t>
            </w:r>
          </w:p>
          <w:p w14:paraId="2C924806">
            <w:pPr>
              <w:autoSpaceDE w:val="0"/>
              <w:autoSpaceDN w:val="0"/>
              <w:adjustRightInd w:val="0"/>
              <w:snapToGrid w:val="0"/>
              <w:jc w:val="center"/>
              <w:rPr>
                <w:kern w:val="0"/>
                <w:szCs w:val="21"/>
                <w:u w:val="none"/>
              </w:rPr>
            </w:pPr>
            <w:r>
              <w:rPr>
                <w:b/>
                <w:bCs/>
                <w:kern w:val="0"/>
                <w:szCs w:val="21"/>
                <w:u w:val="none"/>
              </w:rPr>
              <w:t>表1-</w:t>
            </w:r>
            <w:r>
              <w:rPr>
                <w:rFonts w:hint="eastAsia"/>
                <w:b/>
                <w:bCs/>
                <w:kern w:val="0"/>
                <w:szCs w:val="21"/>
                <w:u w:val="none"/>
              </w:rPr>
              <w:t>8</w:t>
            </w:r>
            <w:r>
              <w:rPr>
                <w:b/>
                <w:bCs/>
                <w:kern w:val="0"/>
                <w:szCs w:val="21"/>
                <w:u w:val="none"/>
              </w:rPr>
              <w:t xml:space="preserve">  与《</w:t>
            </w:r>
            <w:r>
              <w:rPr>
                <w:rFonts w:hint="eastAsia"/>
                <w:b/>
                <w:bCs/>
                <w:kern w:val="0"/>
                <w:szCs w:val="21"/>
                <w:u w:val="none"/>
              </w:rPr>
              <w:t>中共云南省委、云南省人民政府关于深入打好污染防治攻坚战的实施意见</w:t>
            </w:r>
            <w:r>
              <w:rPr>
                <w:b/>
                <w:bCs/>
                <w:kern w:val="0"/>
                <w:szCs w:val="21"/>
                <w:u w:val="none"/>
              </w:rPr>
              <w:t>》符合性分析</w:t>
            </w:r>
          </w:p>
          <w:tbl>
            <w:tblPr>
              <w:tblStyle w:val="37"/>
              <w:tblW w:w="499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73"/>
              <w:gridCol w:w="1978"/>
              <w:gridCol w:w="2143"/>
              <w:gridCol w:w="810"/>
            </w:tblGrid>
            <w:tr w14:paraId="304AB9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2861" w:type="pct"/>
                  <w:gridSpan w:val="2"/>
                  <w:vAlign w:val="center"/>
                </w:tcPr>
                <w:p w14:paraId="44F51D97">
                  <w:pPr>
                    <w:wordWrap w:val="0"/>
                    <w:adjustRightInd w:val="0"/>
                    <w:snapToGrid w:val="0"/>
                    <w:jc w:val="center"/>
                    <w:rPr>
                      <w:szCs w:val="21"/>
                      <w:u w:val="none"/>
                    </w:rPr>
                  </w:pPr>
                  <w:r>
                    <w:rPr>
                      <w:szCs w:val="21"/>
                      <w:u w:val="none"/>
                    </w:rPr>
                    <w:t>相关要求</w:t>
                  </w:r>
                </w:p>
              </w:tc>
              <w:tc>
                <w:tcPr>
                  <w:tcW w:w="1552" w:type="pct"/>
                  <w:vAlign w:val="center"/>
                </w:tcPr>
                <w:p w14:paraId="2D230786">
                  <w:pPr>
                    <w:wordWrap w:val="0"/>
                    <w:adjustRightInd w:val="0"/>
                    <w:snapToGrid w:val="0"/>
                    <w:jc w:val="center"/>
                    <w:rPr>
                      <w:szCs w:val="21"/>
                      <w:u w:val="none"/>
                    </w:rPr>
                  </w:pPr>
                  <w:r>
                    <w:rPr>
                      <w:szCs w:val="21"/>
                      <w:u w:val="none"/>
                    </w:rPr>
                    <w:t>本项目情况</w:t>
                  </w:r>
                </w:p>
              </w:tc>
              <w:tc>
                <w:tcPr>
                  <w:tcW w:w="586" w:type="pct"/>
                  <w:vAlign w:val="center"/>
                </w:tcPr>
                <w:p w14:paraId="28664CE2">
                  <w:pPr>
                    <w:wordWrap w:val="0"/>
                    <w:adjustRightInd w:val="0"/>
                    <w:snapToGrid w:val="0"/>
                    <w:jc w:val="center"/>
                    <w:rPr>
                      <w:szCs w:val="21"/>
                      <w:u w:val="none"/>
                    </w:rPr>
                  </w:pPr>
                  <w:r>
                    <w:rPr>
                      <w:szCs w:val="21"/>
                      <w:u w:val="none"/>
                    </w:rPr>
                    <w:t>是否相符</w:t>
                  </w:r>
                </w:p>
              </w:tc>
            </w:tr>
            <w:tr w14:paraId="3564D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1429" w:type="pct"/>
                  <w:vMerge w:val="restart"/>
                  <w:vAlign w:val="center"/>
                </w:tcPr>
                <w:p w14:paraId="09E0CA78">
                  <w:pPr>
                    <w:wordWrap w:val="0"/>
                    <w:adjustRightInd w:val="0"/>
                    <w:snapToGrid w:val="0"/>
                    <w:jc w:val="center"/>
                    <w:rPr>
                      <w:szCs w:val="21"/>
                      <w:u w:val="none"/>
                    </w:rPr>
                  </w:pPr>
                  <w:r>
                    <w:rPr>
                      <w:szCs w:val="21"/>
                      <w:u w:val="none"/>
                    </w:rPr>
                    <w:t>二、加快推动绿色低碳发展</w:t>
                  </w:r>
                </w:p>
              </w:tc>
              <w:tc>
                <w:tcPr>
                  <w:tcW w:w="1431" w:type="pct"/>
                  <w:vAlign w:val="center"/>
                </w:tcPr>
                <w:p w14:paraId="3AA18768">
                  <w:pPr>
                    <w:wordWrap w:val="0"/>
                    <w:adjustRightInd w:val="0"/>
                    <w:snapToGrid w:val="0"/>
                    <w:jc w:val="center"/>
                    <w:rPr>
                      <w:szCs w:val="21"/>
                      <w:u w:val="none"/>
                    </w:rPr>
                  </w:pPr>
                  <w:r>
                    <w:rPr>
                      <w:szCs w:val="21"/>
                      <w:u w:val="none"/>
                    </w:rPr>
                    <w:t>（三）坚决遏制高耗能高排放项目盲目发展。坚决停批停建不符合规定的项目，深入推进产业补链延链强链、绿色低碳转型。严格落实产能置换和产能控制政策，实施粗钢产能清理整顿。</w:t>
                  </w:r>
                </w:p>
              </w:tc>
              <w:tc>
                <w:tcPr>
                  <w:tcW w:w="1552" w:type="pct"/>
                  <w:vAlign w:val="center"/>
                </w:tcPr>
                <w:p w14:paraId="421FCF19">
                  <w:pPr>
                    <w:wordWrap w:val="0"/>
                    <w:adjustRightInd w:val="0"/>
                    <w:snapToGrid w:val="0"/>
                    <w:jc w:val="center"/>
                    <w:rPr>
                      <w:szCs w:val="21"/>
                      <w:u w:val="none"/>
                    </w:rPr>
                  </w:pPr>
                  <w:r>
                    <w:rPr>
                      <w:szCs w:val="21"/>
                      <w:u w:val="none"/>
                    </w:rPr>
                    <w:t>项目</w:t>
                  </w:r>
                  <w:r>
                    <w:rPr>
                      <w:rFonts w:hint="eastAsia"/>
                      <w:szCs w:val="21"/>
                      <w:u w:val="none"/>
                    </w:rPr>
                    <w:t>为磷矿集运项目，</w:t>
                  </w:r>
                  <w:r>
                    <w:rPr>
                      <w:szCs w:val="21"/>
                      <w:u w:val="none"/>
                    </w:rPr>
                    <w:t>不属于高耗能</w:t>
                  </w:r>
                  <w:r>
                    <w:rPr>
                      <w:rFonts w:hint="eastAsia"/>
                      <w:szCs w:val="21"/>
                      <w:u w:val="none"/>
                    </w:rPr>
                    <w:t>、</w:t>
                  </w:r>
                  <w:r>
                    <w:rPr>
                      <w:szCs w:val="21"/>
                      <w:u w:val="none"/>
                    </w:rPr>
                    <w:t>高排放项目</w:t>
                  </w:r>
                  <w:r>
                    <w:rPr>
                      <w:rFonts w:hint="eastAsia"/>
                      <w:szCs w:val="21"/>
                      <w:u w:val="none"/>
                    </w:rPr>
                    <w:t>；</w:t>
                  </w:r>
                  <w:r>
                    <w:rPr>
                      <w:szCs w:val="21"/>
                      <w:u w:val="none"/>
                    </w:rPr>
                    <w:t>项目已取得发改部门项目投资备案证，符合国家及地方产业政策。</w:t>
                  </w:r>
                </w:p>
              </w:tc>
              <w:tc>
                <w:tcPr>
                  <w:tcW w:w="586" w:type="pct"/>
                  <w:vAlign w:val="center"/>
                </w:tcPr>
                <w:p w14:paraId="2D900301">
                  <w:pPr>
                    <w:wordWrap w:val="0"/>
                    <w:adjustRightInd w:val="0"/>
                    <w:snapToGrid w:val="0"/>
                    <w:jc w:val="center"/>
                    <w:rPr>
                      <w:szCs w:val="21"/>
                      <w:u w:val="none"/>
                    </w:rPr>
                  </w:pPr>
                  <w:r>
                    <w:rPr>
                      <w:rFonts w:hint="eastAsia"/>
                      <w:szCs w:val="21"/>
                      <w:u w:val="none"/>
                    </w:rPr>
                    <w:t>符合</w:t>
                  </w:r>
                </w:p>
              </w:tc>
            </w:tr>
            <w:tr w14:paraId="54FAF7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429" w:type="pct"/>
                  <w:vMerge w:val="continue"/>
                  <w:vAlign w:val="center"/>
                </w:tcPr>
                <w:p w14:paraId="10414387">
                  <w:pPr>
                    <w:wordWrap w:val="0"/>
                    <w:adjustRightInd w:val="0"/>
                    <w:snapToGrid w:val="0"/>
                    <w:jc w:val="center"/>
                    <w:rPr>
                      <w:szCs w:val="21"/>
                      <w:u w:val="none"/>
                    </w:rPr>
                  </w:pPr>
                </w:p>
              </w:tc>
              <w:tc>
                <w:tcPr>
                  <w:tcW w:w="1431" w:type="pct"/>
                  <w:vAlign w:val="center"/>
                </w:tcPr>
                <w:p w14:paraId="1A11E4AD">
                  <w:pPr>
                    <w:wordWrap w:val="0"/>
                    <w:adjustRightInd w:val="0"/>
                    <w:snapToGrid w:val="0"/>
                    <w:jc w:val="center"/>
                    <w:rPr>
                      <w:szCs w:val="21"/>
                      <w:u w:val="none"/>
                    </w:rPr>
                  </w:pPr>
                  <w:r>
                    <w:rPr>
                      <w:rFonts w:hint="eastAsia"/>
                      <w:szCs w:val="21"/>
                      <w:u w:val="none"/>
                    </w:rPr>
                    <w:t>（四）推进清洁生产和能源资源节约高效利用。深入实施清洁生产改造，依法开展清洁生产审核。推进绿色能源与绿色制造融合发展。强化能源和水资源“双控”，加强重点领域节能，实施节水行动。</w:t>
                  </w:r>
                </w:p>
              </w:tc>
              <w:tc>
                <w:tcPr>
                  <w:tcW w:w="1552" w:type="pct"/>
                  <w:vAlign w:val="center"/>
                </w:tcPr>
                <w:p w14:paraId="5AF5EA35">
                  <w:pPr>
                    <w:wordWrap w:val="0"/>
                    <w:adjustRightInd w:val="0"/>
                    <w:snapToGrid w:val="0"/>
                    <w:jc w:val="center"/>
                    <w:rPr>
                      <w:szCs w:val="21"/>
                      <w:u w:val="none"/>
                    </w:rPr>
                  </w:pPr>
                  <w:r>
                    <w:rPr>
                      <w:szCs w:val="21"/>
                      <w:u w:val="none"/>
                    </w:rPr>
                    <w:t>项目使用电</w:t>
                  </w:r>
                  <w:r>
                    <w:rPr>
                      <w:rFonts w:hint="eastAsia"/>
                      <w:szCs w:val="21"/>
                      <w:u w:val="none"/>
                    </w:rPr>
                    <w:t>能为清洁能源；项目废水经过处理后全部综合利用。</w:t>
                  </w:r>
                </w:p>
              </w:tc>
              <w:tc>
                <w:tcPr>
                  <w:tcW w:w="586" w:type="pct"/>
                  <w:vAlign w:val="center"/>
                </w:tcPr>
                <w:p w14:paraId="47013340">
                  <w:pPr>
                    <w:wordWrap w:val="0"/>
                    <w:adjustRightInd w:val="0"/>
                    <w:snapToGrid w:val="0"/>
                    <w:jc w:val="center"/>
                    <w:rPr>
                      <w:szCs w:val="21"/>
                      <w:u w:val="none"/>
                    </w:rPr>
                  </w:pPr>
                  <w:r>
                    <w:rPr>
                      <w:rFonts w:hint="eastAsia"/>
                      <w:szCs w:val="21"/>
                      <w:u w:val="thick" w:color="FFB03A"/>
                      <w:shd w:val="clear" w:fill="FFEFD7"/>
                    </w:rPr>
                    <w:t>符合</w:t>
                  </w:r>
                </w:p>
              </w:tc>
            </w:tr>
            <w:tr w14:paraId="3E1AA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429" w:type="pct"/>
                  <w:vMerge w:val="restart"/>
                  <w:vAlign w:val="center"/>
                </w:tcPr>
                <w:p w14:paraId="2D8BD471">
                  <w:pPr>
                    <w:wordWrap w:val="0"/>
                    <w:adjustRightInd w:val="0"/>
                    <w:snapToGrid w:val="0"/>
                    <w:jc w:val="center"/>
                    <w:rPr>
                      <w:szCs w:val="21"/>
                      <w:u w:val="none"/>
                    </w:rPr>
                  </w:pPr>
                  <w:r>
                    <w:rPr>
                      <w:szCs w:val="21"/>
                      <w:u w:val="none"/>
                    </w:rPr>
                    <w:t>三、深入打好蓝天保卫战</w:t>
                  </w:r>
                </w:p>
              </w:tc>
              <w:tc>
                <w:tcPr>
                  <w:tcW w:w="1431" w:type="pct"/>
                  <w:vAlign w:val="center"/>
                </w:tcPr>
                <w:p w14:paraId="043A8556">
                  <w:pPr>
                    <w:wordWrap w:val="0"/>
                    <w:adjustRightInd w:val="0"/>
                    <w:snapToGrid w:val="0"/>
                    <w:jc w:val="center"/>
                    <w:rPr>
                      <w:szCs w:val="21"/>
                      <w:u w:val="none"/>
                    </w:rPr>
                  </w:pPr>
                  <w:r>
                    <w:rPr>
                      <w:rFonts w:hint="eastAsia"/>
                      <w:szCs w:val="21"/>
                      <w:u w:val="none"/>
                    </w:rPr>
                    <w:t>（二）深入打好建筑施工工地扬尘污染防治攻坚战。全面推行绿色施工，落实施工工地“六个百分之百”工作要求，推动扬尘精细化管控。加强建筑渣土运输管理，严格落实密闭运输措施。强化施工、道路、堆场、裸露地面等扬尘管控。</w:t>
                  </w:r>
                </w:p>
              </w:tc>
              <w:tc>
                <w:tcPr>
                  <w:tcW w:w="1552" w:type="pct"/>
                  <w:vAlign w:val="center"/>
                </w:tcPr>
                <w:p w14:paraId="142E250F">
                  <w:pPr>
                    <w:wordWrap w:val="0"/>
                    <w:adjustRightInd w:val="0"/>
                    <w:snapToGrid w:val="0"/>
                    <w:jc w:val="center"/>
                    <w:rPr>
                      <w:szCs w:val="21"/>
                      <w:u w:val="none"/>
                    </w:rPr>
                  </w:pPr>
                  <w:r>
                    <w:rPr>
                      <w:szCs w:val="21"/>
                      <w:u w:val="none"/>
                    </w:rPr>
                    <w:t>项目施工期</w:t>
                  </w:r>
                  <w:r>
                    <w:rPr>
                      <w:rFonts w:hint="eastAsia"/>
                      <w:szCs w:val="21"/>
                      <w:u w:val="none"/>
                    </w:rPr>
                    <w:t>采取</w:t>
                  </w:r>
                  <w:r>
                    <w:rPr>
                      <w:szCs w:val="21"/>
                      <w:u w:val="none"/>
                    </w:rPr>
                    <w:t>施工车辆限速行驶</w:t>
                  </w:r>
                  <w:r>
                    <w:rPr>
                      <w:rFonts w:hint="eastAsia"/>
                      <w:szCs w:val="21"/>
                      <w:u w:val="none"/>
                    </w:rPr>
                    <w:t>；土石方</w:t>
                  </w:r>
                  <w:r>
                    <w:rPr>
                      <w:szCs w:val="21"/>
                      <w:u w:val="none"/>
                    </w:rPr>
                    <w:t>统一堆放，</w:t>
                  </w:r>
                  <w:r>
                    <w:rPr>
                      <w:rFonts w:hint="eastAsia"/>
                      <w:szCs w:val="21"/>
                      <w:u w:val="none"/>
                    </w:rPr>
                    <w:t>设置</w:t>
                  </w:r>
                  <w:r>
                    <w:rPr>
                      <w:szCs w:val="21"/>
                      <w:u w:val="none"/>
                    </w:rPr>
                    <w:t>防尘措施；砂石料等建筑材料堆场设置围挡，防风、防流失；</w:t>
                  </w:r>
                  <w:r>
                    <w:rPr>
                      <w:rFonts w:hint="eastAsia"/>
                      <w:szCs w:val="21"/>
                      <w:u w:val="none"/>
                    </w:rPr>
                    <w:t>施工人员生活垃圾和施工</w:t>
                  </w:r>
                  <w:r>
                    <w:rPr>
                      <w:szCs w:val="21"/>
                      <w:u w:val="none"/>
                    </w:rPr>
                    <w:t>垃圾及时清运；在施工场地安排专门员工对施工场地洒水</w:t>
                  </w:r>
                  <w:r>
                    <w:rPr>
                      <w:rFonts w:hint="eastAsia"/>
                      <w:szCs w:val="21"/>
                      <w:u w:val="none"/>
                    </w:rPr>
                    <w:t>等措施控制施工粉尘</w:t>
                  </w:r>
                  <w:r>
                    <w:rPr>
                      <w:szCs w:val="21"/>
                      <w:u w:val="none"/>
                    </w:rPr>
                    <w:t>。</w:t>
                  </w:r>
                </w:p>
              </w:tc>
              <w:tc>
                <w:tcPr>
                  <w:tcW w:w="586" w:type="pct"/>
                  <w:vAlign w:val="center"/>
                </w:tcPr>
                <w:p w14:paraId="3F3C570B">
                  <w:pPr>
                    <w:wordWrap w:val="0"/>
                    <w:adjustRightInd w:val="0"/>
                    <w:snapToGrid w:val="0"/>
                    <w:jc w:val="center"/>
                    <w:rPr>
                      <w:szCs w:val="21"/>
                      <w:u w:val="none"/>
                    </w:rPr>
                  </w:pPr>
                  <w:r>
                    <w:rPr>
                      <w:szCs w:val="21"/>
                      <w:u w:val="none"/>
                    </w:rPr>
                    <w:t>符合</w:t>
                  </w:r>
                </w:p>
              </w:tc>
            </w:tr>
            <w:tr w14:paraId="0EBE71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9" w:type="pct"/>
                  <w:vMerge w:val="continue"/>
                  <w:vAlign w:val="center"/>
                </w:tcPr>
                <w:p w14:paraId="5CABFE80">
                  <w:pPr>
                    <w:wordWrap w:val="0"/>
                    <w:adjustRightInd w:val="0"/>
                    <w:snapToGrid w:val="0"/>
                    <w:jc w:val="center"/>
                    <w:rPr>
                      <w:szCs w:val="21"/>
                      <w:u w:val="none"/>
                    </w:rPr>
                  </w:pPr>
                </w:p>
              </w:tc>
              <w:tc>
                <w:tcPr>
                  <w:tcW w:w="1431" w:type="pct"/>
                  <w:vAlign w:val="center"/>
                </w:tcPr>
                <w:p w14:paraId="4086B0B1">
                  <w:pPr>
                    <w:wordWrap w:val="0"/>
                    <w:adjustRightInd w:val="0"/>
                    <w:snapToGrid w:val="0"/>
                    <w:jc w:val="center"/>
                    <w:rPr>
                      <w:szCs w:val="21"/>
                      <w:u w:val="none"/>
                    </w:rPr>
                  </w:pPr>
                  <w:r>
                    <w:rPr>
                      <w:szCs w:val="21"/>
                      <w:u w:val="none"/>
                    </w:rPr>
                    <w:t>（四）改善区域大气和声环境质量。持续开展春夏季攻坚行动，提升滇西南、滇南环境空气质量。完善滇中地区大气污染联防联控机制。加大餐饮油烟污染、恶臭异味治理力度。实施噪声污染防治行动，解决群众关心的噪声污染问题。</w:t>
                  </w:r>
                </w:p>
              </w:tc>
              <w:tc>
                <w:tcPr>
                  <w:tcW w:w="1552" w:type="pct"/>
                  <w:vAlign w:val="center"/>
                </w:tcPr>
                <w:p w14:paraId="17E93577">
                  <w:pPr>
                    <w:wordWrap w:val="0"/>
                    <w:adjustRightInd w:val="0"/>
                    <w:snapToGrid w:val="0"/>
                    <w:jc w:val="center"/>
                    <w:rPr>
                      <w:szCs w:val="21"/>
                      <w:u w:val="none"/>
                    </w:rPr>
                  </w:pPr>
                  <w:r>
                    <w:rPr>
                      <w:szCs w:val="21"/>
                      <w:u w:val="none"/>
                    </w:rPr>
                    <w:t>项目</w:t>
                  </w:r>
                  <w:r>
                    <w:rPr>
                      <w:rFonts w:hint="eastAsia"/>
                      <w:szCs w:val="21"/>
                      <w:u w:val="none"/>
                    </w:rPr>
                    <w:t>通过</w:t>
                  </w:r>
                  <w:r>
                    <w:rPr>
                      <w:szCs w:val="21"/>
                      <w:u w:val="none"/>
                    </w:rPr>
                    <w:t>仓储</w:t>
                  </w:r>
                  <w:r>
                    <w:rPr>
                      <w:rFonts w:hint="eastAsia"/>
                      <w:szCs w:val="21"/>
                      <w:u w:val="none"/>
                    </w:rPr>
                    <w:t>大</w:t>
                  </w:r>
                  <w:r>
                    <w:rPr>
                      <w:szCs w:val="21"/>
                      <w:u w:val="none"/>
                    </w:rPr>
                    <w:t>棚建设为全封闭大棚，仅留设车辆进出口，同时在仓储棚顶部安装喷雾降尘设施，</w:t>
                  </w:r>
                  <w:r>
                    <w:rPr>
                      <w:rFonts w:hint="eastAsia"/>
                      <w:bCs/>
                      <w:spacing w:val="-10"/>
                      <w:szCs w:val="21"/>
                      <w:u w:val="none"/>
                    </w:rPr>
                    <w:t>厂区内地面进行定期洒水、清扫、运输车辆采取密闭运输等措施，</w:t>
                  </w:r>
                  <w:r>
                    <w:rPr>
                      <w:szCs w:val="21"/>
                      <w:u w:val="none"/>
                    </w:rPr>
                    <w:t>颗粒物周界外浓度最高点能够满足《大气污染物综合排放标准》（GB16297-1996）中相关要求</w:t>
                  </w:r>
                  <w:r>
                    <w:rPr>
                      <w:rFonts w:hint="eastAsia"/>
                      <w:szCs w:val="21"/>
                      <w:u w:val="none"/>
                    </w:rPr>
                    <w:t>。项目采取</w:t>
                  </w:r>
                  <w:r>
                    <w:rPr>
                      <w:szCs w:val="21"/>
                      <w:u w:val="none"/>
                    </w:rPr>
                    <w:t>厂房隔声</w:t>
                  </w:r>
                  <w:r>
                    <w:rPr>
                      <w:rFonts w:hint="eastAsia"/>
                      <w:szCs w:val="21"/>
                      <w:u w:val="none"/>
                    </w:rPr>
                    <w:t>，厂界噪声可达标排放。</w:t>
                  </w:r>
                </w:p>
              </w:tc>
              <w:tc>
                <w:tcPr>
                  <w:tcW w:w="586" w:type="pct"/>
                  <w:vAlign w:val="center"/>
                </w:tcPr>
                <w:p w14:paraId="78FB7F3F">
                  <w:pPr>
                    <w:wordWrap w:val="0"/>
                    <w:adjustRightInd w:val="0"/>
                    <w:snapToGrid w:val="0"/>
                    <w:jc w:val="center"/>
                    <w:rPr>
                      <w:szCs w:val="21"/>
                      <w:u w:val="none"/>
                    </w:rPr>
                  </w:pPr>
                  <w:r>
                    <w:rPr>
                      <w:rFonts w:hint="eastAsia"/>
                      <w:szCs w:val="21"/>
                      <w:u w:val="thick" w:color="FFB03A"/>
                      <w:shd w:val="clear" w:fill="FFEFD7"/>
                    </w:rPr>
                    <w:t>符合</w:t>
                  </w:r>
                </w:p>
              </w:tc>
            </w:tr>
            <w:tr w14:paraId="79186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429" w:type="pct"/>
                  <w:vAlign w:val="center"/>
                </w:tcPr>
                <w:p w14:paraId="03B82994">
                  <w:pPr>
                    <w:wordWrap w:val="0"/>
                    <w:adjustRightInd w:val="0"/>
                    <w:snapToGrid w:val="0"/>
                    <w:jc w:val="center"/>
                    <w:rPr>
                      <w:szCs w:val="21"/>
                      <w:u w:val="none"/>
                    </w:rPr>
                  </w:pPr>
                  <w:r>
                    <w:rPr>
                      <w:rFonts w:hint="eastAsia"/>
                      <w:szCs w:val="21"/>
                      <w:u w:val="none"/>
                    </w:rPr>
                    <w:t>四、深入打好碧水保卫战</w:t>
                  </w:r>
                </w:p>
              </w:tc>
              <w:tc>
                <w:tcPr>
                  <w:tcW w:w="1431" w:type="pct"/>
                  <w:vAlign w:val="center"/>
                </w:tcPr>
                <w:p w14:paraId="65086FBE">
                  <w:pPr>
                    <w:wordWrap w:val="0"/>
                    <w:adjustRightInd w:val="0"/>
                    <w:snapToGrid w:val="0"/>
                    <w:jc w:val="center"/>
                    <w:rPr>
                      <w:szCs w:val="21"/>
                      <w:u w:val="none"/>
                    </w:rPr>
                  </w:pPr>
                  <w:r>
                    <w:rPr>
                      <w:szCs w:val="21"/>
                      <w:u w:val="none"/>
                    </w:rPr>
                    <w:t>（三）深入打好珠江流域（云南段）保护治理攻坚战。强化南盘江总磷超标治理，持续推进重金属行业企业排查整治。加强南盘江干流及重要支流水生态环境综合治理。</w:t>
                  </w:r>
                </w:p>
              </w:tc>
              <w:tc>
                <w:tcPr>
                  <w:tcW w:w="1552" w:type="pct"/>
                  <w:vAlign w:val="center"/>
                </w:tcPr>
                <w:p w14:paraId="7D0CBB1C">
                  <w:pPr>
                    <w:adjustRightInd w:val="0"/>
                    <w:snapToGrid w:val="0"/>
                    <w:rPr>
                      <w:snapToGrid w:val="0"/>
                      <w:u w:val="none"/>
                    </w:rPr>
                  </w:pPr>
                  <w:r>
                    <w:rPr>
                      <w:rFonts w:hint="eastAsia"/>
                      <w:szCs w:val="21"/>
                      <w:u w:val="none"/>
                    </w:rPr>
                    <w:t>项目不属于涉重金属企业。</w:t>
                  </w:r>
                  <w:r>
                    <w:rPr>
                      <w:szCs w:val="21"/>
                      <w:u w:val="none"/>
                    </w:rPr>
                    <w:t>建设单位拟建设1个容积为5</w:t>
                  </w:r>
                  <w:r>
                    <w:rPr>
                      <w:rFonts w:hint="eastAsia"/>
                      <w:szCs w:val="21"/>
                      <w:u w:val="none"/>
                    </w:rPr>
                    <w:t>4</w:t>
                  </w:r>
                  <w:r>
                    <w:rPr>
                      <w:szCs w:val="21"/>
                      <w:u w:val="none"/>
                    </w:rPr>
                    <w:t>m</w:t>
                  </w:r>
                  <w:r>
                    <w:rPr>
                      <w:szCs w:val="21"/>
                      <w:u w:val="none"/>
                      <w:vertAlign w:val="superscript"/>
                    </w:rPr>
                    <w:t>3</w:t>
                  </w:r>
                  <w:r>
                    <w:rPr>
                      <w:szCs w:val="21"/>
                      <w:u w:val="none"/>
                    </w:rPr>
                    <w:t>的车辆清洗废水沉淀池、1个容积为</w:t>
                  </w:r>
                  <w:r>
                    <w:rPr>
                      <w:rFonts w:hint="eastAsia"/>
                      <w:szCs w:val="21"/>
                      <w:u w:val="none"/>
                    </w:rPr>
                    <w:t>144</w:t>
                  </w:r>
                  <w:r>
                    <w:rPr>
                      <w:szCs w:val="21"/>
                      <w:u w:val="none"/>
                    </w:rPr>
                    <w:t>m</w:t>
                  </w:r>
                  <w:r>
                    <w:rPr>
                      <w:szCs w:val="21"/>
                      <w:u w:val="none"/>
                      <w:vertAlign w:val="superscript"/>
                    </w:rPr>
                    <w:t>3</w:t>
                  </w:r>
                  <w:r>
                    <w:rPr>
                      <w:szCs w:val="21"/>
                      <w:u w:val="none"/>
                    </w:rPr>
                    <w:t>的场地雨污水收集池</w:t>
                  </w:r>
                  <w:r>
                    <w:rPr>
                      <w:rFonts w:hint="eastAsia"/>
                      <w:szCs w:val="21"/>
                      <w:u w:val="none"/>
                    </w:rPr>
                    <w:t>、</w:t>
                  </w:r>
                  <w:r>
                    <w:rPr>
                      <w:szCs w:val="21"/>
                      <w:u w:val="none"/>
                    </w:rPr>
                    <w:t>1个容积为5m</w:t>
                  </w:r>
                  <w:r>
                    <w:rPr>
                      <w:szCs w:val="21"/>
                      <w:u w:val="none"/>
                      <w:vertAlign w:val="superscript"/>
                    </w:rPr>
                    <w:t>3</w:t>
                  </w:r>
                  <w:r>
                    <w:rPr>
                      <w:szCs w:val="21"/>
                      <w:u w:val="none"/>
                    </w:rPr>
                    <w:t>的化粪池</w:t>
                  </w:r>
                  <w:r>
                    <w:rPr>
                      <w:rFonts w:hint="eastAsia"/>
                      <w:szCs w:val="21"/>
                      <w:u w:val="none"/>
                    </w:rPr>
                    <w:t>和</w:t>
                  </w:r>
                  <w:r>
                    <w:rPr>
                      <w:szCs w:val="21"/>
                      <w:u w:val="none"/>
                    </w:rPr>
                    <w:t>1个容积为</w:t>
                  </w:r>
                  <w:r>
                    <w:rPr>
                      <w:rFonts w:hint="eastAsia"/>
                      <w:szCs w:val="21"/>
                      <w:u w:val="none"/>
                    </w:rPr>
                    <w:t>1.</w:t>
                  </w:r>
                  <w:r>
                    <w:rPr>
                      <w:szCs w:val="21"/>
                      <w:u w:val="none"/>
                    </w:rPr>
                    <w:t>5m</w:t>
                  </w:r>
                  <w:r>
                    <w:rPr>
                      <w:szCs w:val="21"/>
                      <w:u w:val="none"/>
                      <w:vertAlign w:val="superscript"/>
                    </w:rPr>
                    <w:t>3</w:t>
                  </w:r>
                  <w:r>
                    <w:rPr>
                      <w:szCs w:val="21"/>
                      <w:u w:val="none"/>
                    </w:rPr>
                    <w:t>的</w:t>
                  </w:r>
                  <w:r>
                    <w:rPr>
                      <w:rFonts w:hint="eastAsia"/>
                      <w:szCs w:val="21"/>
                      <w:u w:val="none"/>
                    </w:rPr>
                    <w:t>清水</w:t>
                  </w:r>
                  <w:r>
                    <w:rPr>
                      <w:szCs w:val="21"/>
                      <w:u w:val="none"/>
                    </w:rPr>
                    <w:t>池。车辆清洗废水和场地雨污水分别经车辆清洗废水沉淀池和场地雨污水收集池处理后全部回用于</w:t>
                  </w:r>
                  <w:r>
                    <w:rPr>
                      <w:rFonts w:hint="eastAsia"/>
                      <w:szCs w:val="21"/>
                      <w:u w:val="none"/>
                    </w:rPr>
                    <w:t>大棚喷雾</w:t>
                  </w:r>
                  <w:r>
                    <w:rPr>
                      <w:szCs w:val="21"/>
                      <w:u w:val="none"/>
                    </w:rPr>
                    <w:t>降尘、车辆清洗。</w:t>
                  </w:r>
                  <w:r>
                    <w:rPr>
                      <w:rFonts w:hint="eastAsia"/>
                      <w:u w:val="none"/>
                    </w:rPr>
                    <w:t>生活污水经化粪池收集处理后</w:t>
                  </w:r>
                  <w:r>
                    <w:rPr>
                      <w:rFonts w:hint="eastAsia"/>
                      <w:szCs w:val="21"/>
                      <w:u w:val="none"/>
                    </w:rPr>
                    <w:t>排入1套处理能力为1m</w:t>
                  </w:r>
                  <w:r>
                    <w:rPr>
                      <w:rFonts w:hint="eastAsia"/>
                      <w:szCs w:val="21"/>
                      <w:u w:val="none"/>
                      <w:vertAlign w:val="superscript"/>
                    </w:rPr>
                    <w:t>3</w:t>
                  </w:r>
                  <w:r>
                    <w:rPr>
                      <w:rFonts w:hint="eastAsia"/>
                      <w:szCs w:val="21"/>
                      <w:u w:val="none"/>
                    </w:rPr>
                    <w:t>/d的一体化污水处理站处理</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szCs w:val="21"/>
                      <w:u w:val="none"/>
                    </w:rPr>
                    <w:t>。项目无废水外排，对周边地表水环境影响很小。</w:t>
                  </w:r>
                </w:p>
              </w:tc>
              <w:tc>
                <w:tcPr>
                  <w:tcW w:w="586" w:type="pct"/>
                  <w:vAlign w:val="center"/>
                </w:tcPr>
                <w:p w14:paraId="0A78CA19">
                  <w:pPr>
                    <w:wordWrap w:val="0"/>
                    <w:adjustRightInd w:val="0"/>
                    <w:snapToGrid w:val="0"/>
                    <w:jc w:val="center"/>
                    <w:rPr>
                      <w:szCs w:val="21"/>
                      <w:u w:val="none"/>
                    </w:rPr>
                  </w:pPr>
                  <w:r>
                    <w:rPr>
                      <w:rFonts w:hint="eastAsia"/>
                      <w:szCs w:val="21"/>
                      <w:u w:val="none"/>
                    </w:rPr>
                    <w:t>符合</w:t>
                  </w:r>
                </w:p>
              </w:tc>
            </w:tr>
            <w:tr w14:paraId="7F688D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429" w:type="pct"/>
                  <w:vAlign w:val="center"/>
                </w:tcPr>
                <w:p w14:paraId="45562852">
                  <w:pPr>
                    <w:wordWrap w:val="0"/>
                    <w:adjustRightInd w:val="0"/>
                    <w:snapToGrid w:val="0"/>
                    <w:jc w:val="center"/>
                    <w:rPr>
                      <w:szCs w:val="21"/>
                      <w:u w:val="none"/>
                    </w:rPr>
                  </w:pPr>
                  <w:r>
                    <w:rPr>
                      <w:rFonts w:hint="eastAsia"/>
                      <w:szCs w:val="21"/>
                      <w:u w:val="none"/>
                    </w:rPr>
                    <w:t>五、深入打好净土保卫战</w:t>
                  </w:r>
                </w:p>
              </w:tc>
              <w:tc>
                <w:tcPr>
                  <w:tcW w:w="1431" w:type="pct"/>
                  <w:vAlign w:val="center"/>
                </w:tcPr>
                <w:p w14:paraId="7C174989">
                  <w:pPr>
                    <w:wordWrap w:val="0"/>
                    <w:adjustRightInd w:val="0"/>
                    <w:snapToGrid w:val="0"/>
                    <w:jc w:val="center"/>
                    <w:rPr>
                      <w:szCs w:val="21"/>
                      <w:u w:val="none"/>
                    </w:rPr>
                  </w:pPr>
                  <w:r>
                    <w:rPr>
                      <w:rFonts w:hint="eastAsia"/>
                      <w:szCs w:val="21"/>
                      <w:u w:val="none"/>
                    </w:rPr>
                    <w:t>（六）进一步加强重金属污染防控。完善重金属污染物排放全口径清单动态调整机制。依法依规推动有色金属矿采选、冶炼行业落后和低效产能退出。深入开展重点行业重金属污染治理。</w:t>
                  </w:r>
                </w:p>
              </w:tc>
              <w:tc>
                <w:tcPr>
                  <w:tcW w:w="1552" w:type="pct"/>
                  <w:vAlign w:val="center"/>
                </w:tcPr>
                <w:p w14:paraId="19FABDAF">
                  <w:pPr>
                    <w:wordWrap w:val="0"/>
                    <w:adjustRightInd w:val="0"/>
                    <w:snapToGrid w:val="0"/>
                    <w:jc w:val="center"/>
                    <w:rPr>
                      <w:szCs w:val="21"/>
                      <w:u w:val="none"/>
                    </w:rPr>
                  </w:pPr>
                  <w:r>
                    <w:rPr>
                      <w:szCs w:val="21"/>
                      <w:u w:val="none"/>
                    </w:rPr>
                    <w:t>项目运营过程不涉及重金属污染物的产生及排放，不属于有色金属矿采选、冶炼行业。</w:t>
                  </w:r>
                </w:p>
              </w:tc>
              <w:tc>
                <w:tcPr>
                  <w:tcW w:w="586" w:type="pct"/>
                  <w:vAlign w:val="center"/>
                </w:tcPr>
                <w:p w14:paraId="5B3399A0">
                  <w:pPr>
                    <w:wordWrap w:val="0"/>
                    <w:adjustRightInd w:val="0"/>
                    <w:snapToGrid w:val="0"/>
                    <w:jc w:val="center"/>
                    <w:rPr>
                      <w:szCs w:val="21"/>
                      <w:u w:val="none"/>
                    </w:rPr>
                  </w:pPr>
                  <w:r>
                    <w:rPr>
                      <w:rFonts w:hint="eastAsia"/>
                      <w:szCs w:val="21"/>
                      <w:u w:val="none"/>
                    </w:rPr>
                    <w:t>符合</w:t>
                  </w:r>
                </w:p>
              </w:tc>
            </w:tr>
          </w:tbl>
          <w:p w14:paraId="71DE080E">
            <w:pPr>
              <w:autoSpaceDE w:val="0"/>
              <w:autoSpaceDN w:val="0"/>
              <w:adjustRightInd w:val="0"/>
              <w:snapToGrid w:val="0"/>
              <w:spacing w:line="360" w:lineRule="auto"/>
              <w:ind w:firstLine="480" w:firstLineChars="200"/>
              <w:rPr>
                <w:bCs/>
                <w:kern w:val="0"/>
                <w:sz w:val="24"/>
                <w:u w:val="none"/>
              </w:rPr>
            </w:pPr>
            <w:r>
              <w:rPr>
                <w:bCs/>
                <w:kern w:val="0"/>
                <w:sz w:val="24"/>
                <w:u w:val="none"/>
              </w:rPr>
              <w:t>综上，项目符合《</w:t>
            </w:r>
            <w:r>
              <w:rPr>
                <w:rFonts w:hint="eastAsia"/>
                <w:bCs/>
                <w:kern w:val="0"/>
                <w:sz w:val="24"/>
                <w:u w:val="none"/>
              </w:rPr>
              <w:t>中共云南省委、云南省人民政府关于深入打好污染防治攻坚战的实施意见</w:t>
            </w:r>
            <w:r>
              <w:rPr>
                <w:bCs/>
                <w:kern w:val="0"/>
                <w:sz w:val="24"/>
                <w:u w:val="none"/>
              </w:rPr>
              <w:t>》相关要求。</w:t>
            </w:r>
          </w:p>
          <w:p w14:paraId="727D7CB1">
            <w:pPr>
              <w:pStyle w:val="15"/>
              <w:widowControl w:val="0"/>
              <w:wordWrap w:val="0"/>
              <w:snapToGrid/>
              <w:spacing w:after="0" w:line="360" w:lineRule="auto"/>
              <w:ind w:firstLine="482" w:firstLineChars="200"/>
              <w:rPr>
                <w:b/>
                <w:bCs/>
                <w:sz w:val="24"/>
                <w:szCs w:val="24"/>
                <w:u w:val="none"/>
              </w:rPr>
            </w:pPr>
            <w:r>
              <w:rPr>
                <w:rFonts w:hint="eastAsia"/>
                <w:b/>
                <w:bCs/>
                <w:sz w:val="24"/>
                <w:szCs w:val="24"/>
                <w:u w:val="none"/>
              </w:rPr>
              <w:t>7、与《云南省生态功能区划》协调性分析</w:t>
            </w:r>
          </w:p>
          <w:p w14:paraId="084DCCF9">
            <w:pPr>
              <w:pStyle w:val="15"/>
              <w:widowControl w:val="0"/>
              <w:wordWrap w:val="0"/>
              <w:snapToGrid/>
              <w:spacing w:after="0" w:line="360" w:lineRule="auto"/>
              <w:ind w:firstLine="480" w:firstLineChars="200"/>
              <w:rPr>
                <w:sz w:val="24"/>
                <w:szCs w:val="24"/>
                <w:u w:val="none"/>
              </w:rPr>
            </w:pPr>
            <w:r>
              <w:rPr>
                <w:sz w:val="24"/>
                <w:szCs w:val="24"/>
                <w:u w:val="none"/>
              </w:rPr>
              <w:t>根据《云南省生态功能区划》，本项目所在区域属于生态功能区划中的Ⅲ高原亚热带北部常绿阔叶林生态区Ⅲ4 滇东北高中山暖性针叶林、亚高山草甸生态亚区Ⅲ4-5 宣威岩溶峰丘农业生态功能区；该区地貌以岩溶峰丘地貌为主，地势较为平缓，年降水量1000</w:t>
            </w:r>
            <w:r>
              <w:rPr>
                <w:rFonts w:hint="eastAsia"/>
                <w:sz w:val="24"/>
                <w:szCs w:val="24"/>
                <w:u w:val="none"/>
              </w:rPr>
              <w:t>mm～</w:t>
            </w:r>
            <w:r>
              <w:rPr>
                <w:sz w:val="24"/>
                <w:szCs w:val="24"/>
                <w:u w:val="none"/>
              </w:rPr>
              <w:t>1500mm，现存主要植被多为云南松林，土壤大部分为红壤和黄壤。主要生态环境问题是森林覆盖率低、土地复垦过度；生态敏感性为石漠化中高度敏感；主要生态系统服务功能为岩溶峰丘地区的水源涵养与生态农业建设；保护措施及发展方向为调整产业结构，防止农田污染，预防石漠化，注意露天煤矿开采后的生态恢复，推行煤</w:t>
            </w:r>
            <w:r>
              <w:rPr>
                <w:rFonts w:hint="eastAsia"/>
                <w:sz w:val="24"/>
                <w:szCs w:val="24"/>
                <w:u w:val="none"/>
              </w:rPr>
              <w:t>化工</w:t>
            </w:r>
            <w:r>
              <w:rPr>
                <w:sz w:val="24"/>
                <w:szCs w:val="24"/>
                <w:u w:val="none"/>
              </w:rPr>
              <w:t>企业循环经济。项目在云南省生态功能区划</w:t>
            </w:r>
            <w:r>
              <w:rPr>
                <w:rFonts w:hint="eastAsia"/>
                <w:sz w:val="24"/>
                <w:szCs w:val="24"/>
                <w:u w:val="none"/>
              </w:rPr>
              <w:t>中</w:t>
            </w:r>
            <w:r>
              <w:rPr>
                <w:sz w:val="24"/>
                <w:szCs w:val="24"/>
                <w:u w:val="none"/>
              </w:rPr>
              <w:t>的位置关系见附图</w:t>
            </w:r>
            <w:r>
              <w:rPr>
                <w:rFonts w:hint="eastAsia"/>
                <w:sz w:val="24"/>
                <w:szCs w:val="24"/>
                <w:u w:val="none"/>
              </w:rPr>
              <w:t>13。</w:t>
            </w:r>
          </w:p>
          <w:p w14:paraId="7802C3C0">
            <w:pPr>
              <w:pStyle w:val="15"/>
              <w:widowControl w:val="0"/>
              <w:wordWrap w:val="0"/>
              <w:snapToGrid/>
              <w:spacing w:after="0" w:line="360" w:lineRule="auto"/>
              <w:ind w:firstLine="480" w:firstLineChars="200"/>
              <w:rPr>
                <w:sz w:val="24"/>
                <w:szCs w:val="24"/>
                <w:u w:val="none"/>
              </w:rPr>
            </w:pPr>
            <w:r>
              <w:rPr>
                <w:rFonts w:hint="eastAsia"/>
                <w:sz w:val="24"/>
                <w:szCs w:val="24"/>
                <w:u w:val="none"/>
              </w:rPr>
              <w:t>本项目位于云南省曲靖市宣威市羊场产业园区水泥厂大桥头起，不占用</w:t>
            </w:r>
            <w:r>
              <w:rPr>
                <w:sz w:val="24"/>
                <w:szCs w:val="24"/>
                <w:u w:val="none"/>
              </w:rPr>
              <w:t>基本农田、不涉及生态红线</w:t>
            </w:r>
            <w:r>
              <w:rPr>
                <w:rFonts w:hint="eastAsia"/>
                <w:sz w:val="24"/>
                <w:szCs w:val="24"/>
                <w:u w:val="none"/>
              </w:rPr>
              <w:t>。根据分析，项目</w:t>
            </w:r>
            <w:r>
              <w:rPr>
                <w:sz w:val="24"/>
                <w:szCs w:val="24"/>
                <w:u w:val="none"/>
              </w:rPr>
              <w:t>施工期做好围挡及截排水措施，可有效控制水土流失，项目施工对周围生态环境影响微小</w:t>
            </w:r>
            <w:r>
              <w:rPr>
                <w:rFonts w:hint="eastAsia"/>
                <w:sz w:val="24"/>
                <w:szCs w:val="24"/>
                <w:u w:val="none"/>
              </w:rPr>
              <w:t>。项目运营期间废气、噪声等均能达标排放，废水不外排，固废能得到妥善处置，不会降低区域环境功能，符合该片区的生态功能区保护措施与发展方向。</w:t>
            </w:r>
            <w:r>
              <w:rPr>
                <w:sz w:val="24"/>
                <w:szCs w:val="24"/>
                <w:u w:val="none"/>
              </w:rPr>
              <w:t>综上，项目施工</w:t>
            </w:r>
            <w:r>
              <w:rPr>
                <w:rFonts w:hint="eastAsia"/>
                <w:sz w:val="24"/>
                <w:szCs w:val="24"/>
                <w:u w:val="none"/>
              </w:rPr>
              <w:t>期</w:t>
            </w:r>
            <w:r>
              <w:rPr>
                <w:sz w:val="24"/>
                <w:szCs w:val="24"/>
                <w:u w:val="none"/>
              </w:rPr>
              <w:t>和运营期对周围生态环境影响微小。因此，项目建设符合区域生态环境功能区划</w:t>
            </w:r>
            <w:r>
              <w:rPr>
                <w:rFonts w:hint="eastAsia"/>
                <w:sz w:val="24"/>
                <w:szCs w:val="24"/>
                <w:u w:val="none"/>
              </w:rPr>
              <w:t>。</w:t>
            </w:r>
          </w:p>
          <w:p w14:paraId="536ED2A8">
            <w:pPr>
              <w:pStyle w:val="15"/>
              <w:widowControl w:val="0"/>
              <w:wordWrap w:val="0"/>
              <w:snapToGrid/>
              <w:spacing w:after="0" w:line="360" w:lineRule="auto"/>
              <w:ind w:firstLine="482" w:firstLineChars="200"/>
              <w:rPr>
                <w:b/>
                <w:bCs/>
                <w:sz w:val="24"/>
                <w:szCs w:val="24"/>
                <w:u w:val="none"/>
              </w:rPr>
            </w:pPr>
            <w:r>
              <w:rPr>
                <w:rFonts w:hint="eastAsia"/>
                <w:b/>
                <w:bCs/>
                <w:sz w:val="24"/>
                <w:szCs w:val="24"/>
                <w:u w:val="none"/>
              </w:rPr>
              <w:t>8、与《云南省主体功能区规划》符合性分析</w:t>
            </w:r>
          </w:p>
          <w:p w14:paraId="3D8E77EA">
            <w:pPr>
              <w:pStyle w:val="15"/>
              <w:widowControl w:val="0"/>
              <w:wordWrap w:val="0"/>
              <w:snapToGrid/>
              <w:spacing w:after="0" w:line="360" w:lineRule="auto"/>
              <w:ind w:firstLine="480" w:firstLineChars="200"/>
              <w:rPr>
                <w:sz w:val="24"/>
                <w:szCs w:val="24"/>
                <w:u w:val="none"/>
              </w:rPr>
            </w:pPr>
            <w:r>
              <w:rPr>
                <w:rFonts w:hint="eastAsia"/>
                <w:sz w:val="24"/>
                <w:szCs w:val="24"/>
                <w:u w:val="none"/>
              </w:rPr>
              <w:t>根据2014年1月6日云南省人民政府关于印发《云南省主体功能区规划》的通知（云政发〔2014〕1号），本项目位于云南省曲靖市</w:t>
            </w:r>
            <w:r>
              <w:rPr>
                <w:rFonts w:hint="eastAsia"/>
                <w:sz w:val="24"/>
                <w:u w:val="none"/>
              </w:rPr>
              <w:t>宣威市羊场产业园区水泥厂大桥头起</w:t>
            </w:r>
            <w:r>
              <w:rPr>
                <w:rFonts w:hint="eastAsia"/>
                <w:sz w:val="24"/>
                <w:szCs w:val="24"/>
                <w:u w:val="none"/>
              </w:rPr>
              <w:t>，属于规划中国家重点开发区域，不在禁止开发区范围内。该区域的功能定位为：我国面向西南开放重要桥头堡建设的核心区，连接东南亚、南亚国家的陆路交通枢纽，面向东南亚、南亚对外开放的重要门户；全国重要的烟草、旅游、文化、能源和商贸物流基地，以化工、有色冶炼加工、生物为重点的区域性资源深加工基地，承接产业转移基地和外向型特色优势产业基地；我国城市化发展格局中特色鲜明的高原生态宜居城市群；全省跨越发展的引擎，我国西南地区重要的经济增长极。</w:t>
            </w:r>
            <w:r>
              <w:rPr>
                <w:sz w:val="24"/>
                <w:szCs w:val="24"/>
                <w:u w:val="none"/>
              </w:rPr>
              <w:t>项目在云南省主体功能区规划</w:t>
            </w:r>
            <w:r>
              <w:rPr>
                <w:rFonts w:hint="eastAsia"/>
                <w:sz w:val="24"/>
                <w:szCs w:val="24"/>
                <w:u w:val="none"/>
              </w:rPr>
              <w:t>中</w:t>
            </w:r>
            <w:r>
              <w:rPr>
                <w:sz w:val="24"/>
                <w:szCs w:val="24"/>
                <w:u w:val="none"/>
              </w:rPr>
              <w:t>的位置关系见附图</w:t>
            </w:r>
            <w:r>
              <w:rPr>
                <w:rFonts w:hint="eastAsia"/>
                <w:sz w:val="24"/>
                <w:szCs w:val="24"/>
                <w:u w:val="none"/>
              </w:rPr>
              <w:t>12</w:t>
            </w:r>
            <w:r>
              <w:rPr>
                <w:sz w:val="24"/>
                <w:szCs w:val="24"/>
                <w:u w:val="none"/>
              </w:rPr>
              <w:t>。</w:t>
            </w:r>
          </w:p>
          <w:p w14:paraId="5883B360">
            <w:pPr>
              <w:pStyle w:val="15"/>
              <w:widowControl w:val="0"/>
              <w:wordWrap w:val="0"/>
              <w:snapToGrid/>
              <w:spacing w:after="0" w:line="360" w:lineRule="auto"/>
              <w:ind w:firstLine="480" w:firstLineChars="200"/>
              <w:rPr>
                <w:sz w:val="24"/>
                <w:szCs w:val="24"/>
                <w:u w:val="none"/>
              </w:rPr>
            </w:pPr>
            <w:r>
              <w:rPr>
                <w:rFonts w:hint="eastAsia"/>
                <w:sz w:val="24"/>
                <w:szCs w:val="24"/>
                <w:u w:val="none"/>
              </w:rPr>
              <w:t>本项目为磷矿集运项目，供给项目西侧的云南宣威磷电有限责任公司</w:t>
            </w:r>
            <w:r>
              <w:rPr>
                <w:rFonts w:hint="eastAsia"/>
                <w:bCs/>
                <w:sz w:val="24"/>
                <w:szCs w:val="24"/>
                <w:u w:val="none"/>
              </w:rPr>
              <w:t>作为</w:t>
            </w:r>
            <w:r>
              <w:rPr>
                <w:rFonts w:hint="eastAsia"/>
                <w:sz w:val="24"/>
                <w:szCs w:val="24"/>
                <w:u w:val="none"/>
              </w:rPr>
              <w:t>其“8万t/a黄磷生产项目”的原料，为磷矿资源深加工项目的辅助项目，本项目位于云南省曲靖市</w:t>
            </w:r>
            <w:r>
              <w:rPr>
                <w:rFonts w:hint="eastAsia"/>
                <w:sz w:val="24"/>
                <w:u w:val="none"/>
              </w:rPr>
              <w:t>宣威市羊场产业园区水泥厂大桥头起</w:t>
            </w:r>
            <w:r>
              <w:rPr>
                <w:sz w:val="24"/>
                <w:szCs w:val="24"/>
                <w:u w:val="none"/>
              </w:rPr>
              <w:t>，根据</w:t>
            </w:r>
            <w:r>
              <w:rPr>
                <w:sz w:val="24"/>
                <w:szCs w:val="24"/>
                <w:u w:val="none" w:color="auto"/>
                <w:shd w:val="clear" w:fill="auto"/>
              </w:rPr>
              <w:t>叠</w:t>
            </w:r>
            <w:r>
              <w:rPr>
                <w:sz w:val="24"/>
                <w:szCs w:val="24"/>
                <w:u w:val="none"/>
              </w:rPr>
              <w:t>图分析，该项目不在自然保护区、国家公园、三江并流世界自然遗产地、风景名胜区、森林公园、地质公园、地质遗迹、水源保护区、矿产资源规划禁止区等重要地区范围内，本项目不涉及《云南省主体功能区规划》中的361处禁止开发区，项目所在区域属于国家级重点开发区域，符合《云南省主体功能区规划》</w:t>
            </w:r>
            <w:r>
              <w:rPr>
                <w:rFonts w:hint="eastAsia"/>
                <w:sz w:val="24"/>
                <w:szCs w:val="24"/>
                <w:u w:val="none"/>
              </w:rPr>
              <w:t>。</w:t>
            </w:r>
          </w:p>
          <w:p w14:paraId="3BF11296">
            <w:pPr>
              <w:autoSpaceDE w:val="0"/>
              <w:autoSpaceDN w:val="0"/>
              <w:adjustRightInd w:val="0"/>
              <w:snapToGrid w:val="0"/>
              <w:spacing w:line="360" w:lineRule="auto"/>
              <w:ind w:firstLine="482" w:firstLineChars="200"/>
              <w:rPr>
                <w:b/>
                <w:kern w:val="0"/>
                <w:sz w:val="24"/>
                <w:u w:val="none"/>
              </w:rPr>
            </w:pPr>
            <w:r>
              <w:rPr>
                <w:rFonts w:hint="eastAsia"/>
                <w:b/>
                <w:kern w:val="0"/>
                <w:sz w:val="24"/>
                <w:u w:val="none"/>
              </w:rPr>
              <w:t>9</w:t>
            </w:r>
            <w:r>
              <w:rPr>
                <w:b/>
                <w:kern w:val="0"/>
                <w:sz w:val="24"/>
                <w:u w:val="none"/>
              </w:rPr>
              <w:t>、与《中华人民共和国大气污染防治法》符合性分析</w:t>
            </w:r>
          </w:p>
          <w:p w14:paraId="7B4D8DDC">
            <w:pPr>
              <w:spacing w:line="360" w:lineRule="auto"/>
              <w:ind w:firstLine="480" w:firstLineChars="200"/>
              <w:rPr>
                <w:sz w:val="24"/>
                <w:u w:val="none"/>
              </w:rPr>
            </w:pPr>
            <w:r>
              <w:rPr>
                <w:sz w:val="24"/>
                <w:u w:val="none"/>
              </w:rPr>
              <w:t>项目建设与《中华人民共和国大气污染防治法》要求的符合性分析</w:t>
            </w:r>
            <w:r>
              <w:rPr>
                <w:rFonts w:hint="eastAsia"/>
                <w:sz w:val="24"/>
                <w:u w:val="none"/>
              </w:rPr>
              <w:t>如下</w:t>
            </w:r>
            <w:r>
              <w:rPr>
                <w:sz w:val="24"/>
                <w:u w:val="none"/>
              </w:rPr>
              <w:t>表1-</w:t>
            </w:r>
            <w:r>
              <w:rPr>
                <w:rFonts w:hint="eastAsia"/>
                <w:sz w:val="24"/>
                <w:u w:val="none"/>
              </w:rPr>
              <w:t>9</w:t>
            </w:r>
            <w:r>
              <w:rPr>
                <w:sz w:val="24"/>
                <w:u w:val="none"/>
              </w:rPr>
              <w:t>所示。</w:t>
            </w:r>
          </w:p>
          <w:p w14:paraId="0053226F">
            <w:pPr>
              <w:snapToGrid w:val="0"/>
              <w:rPr>
                <w:b/>
                <w:bCs/>
                <w:szCs w:val="21"/>
                <w:u w:val="none"/>
                <w:lang w:val="zh-TW"/>
              </w:rPr>
            </w:pPr>
            <w:r>
              <w:rPr>
                <w:b/>
                <w:bCs/>
                <w:szCs w:val="21"/>
                <w:u w:val="none"/>
                <w:lang w:val="zh-TW"/>
              </w:rPr>
              <w:t>表</w:t>
            </w:r>
            <w:r>
              <w:rPr>
                <w:b/>
                <w:bCs/>
                <w:szCs w:val="21"/>
                <w:u w:val="none"/>
              </w:rPr>
              <w:t>1-</w:t>
            </w:r>
            <w:r>
              <w:rPr>
                <w:rFonts w:hint="eastAsia"/>
                <w:b/>
                <w:bCs/>
                <w:szCs w:val="21"/>
                <w:u w:val="none"/>
              </w:rPr>
              <w:t>9</w:t>
            </w:r>
            <w:r>
              <w:rPr>
                <w:b/>
                <w:bCs/>
                <w:szCs w:val="21"/>
                <w:u w:val="none"/>
              </w:rPr>
              <w:t xml:space="preserve"> 项目与《中华人民共和国大气污染防治法》相关要求</w:t>
            </w:r>
            <w:r>
              <w:rPr>
                <w:rFonts w:hint="eastAsia"/>
                <w:b/>
                <w:bCs/>
                <w:szCs w:val="21"/>
                <w:u w:val="none"/>
              </w:rPr>
              <w:t>的</w:t>
            </w:r>
            <w:r>
              <w:rPr>
                <w:b/>
                <w:bCs/>
                <w:szCs w:val="21"/>
                <w:u w:val="none"/>
                <w:lang w:val="zh-TW"/>
              </w:rPr>
              <w:t>符合性分析表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2672"/>
              <w:gridCol w:w="2864"/>
              <w:gridCol w:w="752"/>
            </w:tblGrid>
            <w:tr w14:paraId="47BD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2" w:type="dxa"/>
                  <w:gridSpan w:val="2"/>
                  <w:vAlign w:val="center"/>
                </w:tcPr>
                <w:p w14:paraId="17F0C512">
                  <w:pPr>
                    <w:pStyle w:val="141"/>
                    <w:jc w:val="center"/>
                    <w:rPr>
                      <w:rFonts w:ascii="Times New Roman" w:hAnsi="Times New Roman"/>
                      <w:b/>
                      <w:bCs/>
                      <w:sz w:val="21"/>
                      <w:szCs w:val="21"/>
                      <w:u w:val="none"/>
                      <w:lang w:eastAsia="zh-CN"/>
                    </w:rPr>
                  </w:pPr>
                  <w:r>
                    <w:rPr>
                      <w:rFonts w:ascii="Times New Roman" w:hAnsi="Times New Roman"/>
                      <w:b/>
                      <w:bCs/>
                      <w:sz w:val="21"/>
                      <w:szCs w:val="21"/>
                      <w:u w:val="none"/>
                      <w:lang w:eastAsia="zh-CN"/>
                    </w:rPr>
                    <w:t>相关要求</w:t>
                  </w:r>
                </w:p>
              </w:tc>
              <w:tc>
                <w:tcPr>
                  <w:tcW w:w="2865" w:type="dxa"/>
                  <w:vAlign w:val="center"/>
                </w:tcPr>
                <w:p w14:paraId="27061416">
                  <w:pPr>
                    <w:pStyle w:val="141"/>
                    <w:jc w:val="center"/>
                    <w:rPr>
                      <w:rFonts w:ascii="Times New Roman" w:hAnsi="Times New Roman"/>
                      <w:b/>
                      <w:bCs/>
                      <w:sz w:val="21"/>
                      <w:szCs w:val="21"/>
                      <w:u w:val="none"/>
                      <w:lang w:eastAsia="zh-CN"/>
                    </w:rPr>
                  </w:pPr>
                  <w:r>
                    <w:rPr>
                      <w:rFonts w:ascii="Times New Roman" w:hAnsi="Times New Roman"/>
                      <w:b/>
                      <w:bCs/>
                      <w:sz w:val="21"/>
                      <w:szCs w:val="21"/>
                      <w:u w:val="none"/>
                      <w:lang w:eastAsia="zh-CN"/>
                    </w:rPr>
                    <w:t>本项目情况</w:t>
                  </w:r>
                </w:p>
              </w:tc>
              <w:tc>
                <w:tcPr>
                  <w:tcW w:w="752" w:type="dxa"/>
                  <w:vAlign w:val="center"/>
                </w:tcPr>
                <w:p w14:paraId="082FBE38">
                  <w:pPr>
                    <w:pStyle w:val="141"/>
                    <w:jc w:val="center"/>
                    <w:rPr>
                      <w:rFonts w:ascii="Times New Roman" w:hAnsi="Times New Roman"/>
                      <w:b/>
                      <w:bCs/>
                      <w:sz w:val="21"/>
                      <w:szCs w:val="21"/>
                      <w:u w:val="none"/>
                      <w:lang w:eastAsia="zh-CN"/>
                    </w:rPr>
                  </w:pPr>
                  <w:r>
                    <w:rPr>
                      <w:rFonts w:ascii="Times New Roman" w:hAnsi="Times New Roman"/>
                      <w:b/>
                      <w:bCs/>
                      <w:sz w:val="21"/>
                      <w:szCs w:val="21"/>
                      <w:u w:val="none"/>
                      <w:lang w:eastAsia="zh-CN"/>
                    </w:rPr>
                    <w:t>相符性</w:t>
                  </w:r>
                </w:p>
              </w:tc>
            </w:tr>
            <w:tr w14:paraId="008D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8543253">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第四十八条</w:t>
                  </w:r>
                </w:p>
              </w:tc>
              <w:tc>
                <w:tcPr>
                  <w:tcW w:w="2673" w:type="dxa"/>
                  <w:vAlign w:val="center"/>
                </w:tcPr>
                <w:p w14:paraId="755029F5">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钢铁、建材、有色金属、石油、化工、制药、矿产开采等企业，应当加强精细化管理，采取集中收集处理等措施，严格控制粉尘和气态污染物的排放。</w:t>
                  </w:r>
                  <w:r>
                    <w:rPr>
                      <w:rFonts w:ascii="Times New Roman" w:hAnsi="Times New Roman"/>
                      <w:sz w:val="23"/>
                      <w:u w:val="none"/>
                      <w:lang w:eastAsia="zh-CN"/>
                    </w:rPr>
                    <w:t>工业生产企业应当采取密闭、围挡、遮盖、清扫、洒水等措施，减少内部物料的堆存、传输、装卸等环节产生的粉尘和气态污染物的排放。</w:t>
                  </w:r>
                </w:p>
              </w:tc>
              <w:tc>
                <w:tcPr>
                  <w:tcW w:w="2865" w:type="dxa"/>
                  <w:vMerge w:val="restart"/>
                  <w:vAlign w:val="center"/>
                </w:tcPr>
                <w:p w14:paraId="3DD249FE">
                  <w:pPr>
                    <w:pStyle w:val="12"/>
                    <w:jc w:val="both"/>
                    <w:rPr>
                      <w:sz w:val="21"/>
                      <w:szCs w:val="21"/>
                      <w:u w:val="none"/>
                    </w:rPr>
                  </w:pPr>
                  <w:r>
                    <w:rPr>
                      <w:rFonts w:hint="eastAsia"/>
                      <w:sz w:val="21"/>
                      <w:szCs w:val="21"/>
                      <w:u w:val="none"/>
                    </w:rPr>
                    <w:t>本</w:t>
                  </w:r>
                  <w:r>
                    <w:rPr>
                      <w:sz w:val="21"/>
                      <w:szCs w:val="21"/>
                      <w:u w:val="none"/>
                    </w:rPr>
                    <w:t>项目主要大气污染物为粉尘，</w:t>
                  </w:r>
                  <w:r>
                    <w:rPr>
                      <w:rFonts w:hint="eastAsia"/>
                      <w:sz w:val="21"/>
                      <w:szCs w:val="21"/>
                      <w:u w:val="none"/>
                    </w:rPr>
                    <w:t>呈无组织排放。</w:t>
                  </w:r>
                  <w:r>
                    <w:rPr>
                      <w:rFonts w:hint="eastAsia"/>
                      <w:bCs/>
                      <w:sz w:val="21"/>
                      <w:szCs w:val="21"/>
                      <w:u w:val="none"/>
                    </w:rPr>
                    <w:t>卸料在封闭大棚内进行，大棚顶部配套建设覆盖全场的喷雾洒水抑尘系统；磷矿堆存于封闭彩钢瓦大棚内，大棚顶部配套建设覆盖全场的喷雾洒水抑尘系统，定时洒水降尘；本项目设置1个洗车平台，对运输车辆车轮及车身进行冲洗，防止车辆带泥上路，车辆运输磷矿采取密闭运输；</w:t>
                  </w:r>
                  <w:r>
                    <w:rPr>
                      <w:rFonts w:hint="eastAsia"/>
                      <w:bCs/>
                      <w:spacing w:val="-10"/>
                      <w:sz w:val="21"/>
                      <w:szCs w:val="21"/>
                      <w:u w:val="none"/>
                    </w:rPr>
                    <w:t>对厂区内地面进行定期洒水、清扫；</w:t>
                  </w:r>
                  <w:r>
                    <w:rPr>
                      <w:sz w:val="21"/>
                      <w:szCs w:val="21"/>
                      <w:u w:val="none"/>
                    </w:rPr>
                    <w:t>项目的无组织粉尘对周围环境影响小。</w:t>
                  </w:r>
                </w:p>
              </w:tc>
              <w:tc>
                <w:tcPr>
                  <w:tcW w:w="752" w:type="dxa"/>
                  <w:vAlign w:val="center"/>
                </w:tcPr>
                <w:p w14:paraId="3E9EB933">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符合</w:t>
                  </w:r>
                </w:p>
              </w:tc>
            </w:tr>
            <w:tr w14:paraId="67BB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28D56B4B">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第</w:t>
                  </w:r>
                  <w:r>
                    <w:rPr>
                      <w:rFonts w:hint="eastAsia" w:ascii="Times New Roman" w:hAnsi="Times New Roman"/>
                      <w:sz w:val="21"/>
                      <w:szCs w:val="21"/>
                      <w:u w:val="none"/>
                      <w:lang w:eastAsia="zh-CN"/>
                    </w:rPr>
                    <w:t>六十九</w:t>
                  </w:r>
                  <w:r>
                    <w:rPr>
                      <w:rFonts w:ascii="Times New Roman" w:hAnsi="Times New Roman"/>
                      <w:sz w:val="21"/>
                      <w:szCs w:val="21"/>
                      <w:u w:val="none"/>
                      <w:lang w:eastAsia="zh-CN"/>
                    </w:rPr>
                    <w:t>条</w:t>
                  </w:r>
                </w:p>
              </w:tc>
              <w:tc>
                <w:tcPr>
                  <w:tcW w:w="2673" w:type="dxa"/>
                  <w:vAlign w:val="center"/>
                </w:tcPr>
                <w:p w14:paraId="6A840E0F">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建设单位应当将防治扬尘污染的费用列入工程造价，并在施工承包合同中明确施工单位扬尘污染防治责任。施工单位应当制定具体的施工扬尘污染防治实施方案。</w:t>
                  </w:r>
                </w:p>
                <w:p w14:paraId="649A5F2F">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从事房屋建筑、市政基础设施建设、河道整治以及建筑物拆除等施工单位，应当向负责监督管理、扬尘污染防治的主管部门备案。</w:t>
                  </w:r>
                </w:p>
                <w:p w14:paraId="18F2A01A">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2FD0F7CD">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施工单位应当在施工工地公示扬尘污染防治措施、负责人、扬尘监督管理主管部门等信息。</w:t>
                  </w:r>
                </w:p>
                <w:p w14:paraId="3616B61A">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暂时不能开工的建设用地，建设单位应对裸露地面进行覆盖；超过三个月的，应进行绿化、铺装或者遮盖。</w:t>
                  </w:r>
                </w:p>
              </w:tc>
              <w:tc>
                <w:tcPr>
                  <w:tcW w:w="2865" w:type="dxa"/>
                  <w:vMerge w:val="continue"/>
                  <w:vAlign w:val="center"/>
                </w:tcPr>
                <w:p w14:paraId="4781A65A">
                  <w:pPr>
                    <w:pStyle w:val="141"/>
                    <w:jc w:val="center"/>
                    <w:rPr>
                      <w:rFonts w:ascii="Times New Roman" w:hAnsi="Times New Roman"/>
                      <w:sz w:val="21"/>
                      <w:szCs w:val="21"/>
                      <w:u w:val="none"/>
                      <w:lang w:eastAsia="zh-CN"/>
                    </w:rPr>
                  </w:pPr>
                </w:p>
              </w:tc>
              <w:tc>
                <w:tcPr>
                  <w:tcW w:w="752" w:type="dxa"/>
                  <w:vAlign w:val="center"/>
                </w:tcPr>
                <w:p w14:paraId="26CC1A20">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符合</w:t>
                  </w:r>
                </w:p>
              </w:tc>
            </w:tr>
            <w:tr w14:paraId="5ECB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3035B67B">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第</w:t>
                  </w:r>
                  <w:r>
                    <w:rPr>
                      <w:rFonts w:hint="eastAsia" w:ascii="Times New Roman" w:hAnsi="Times New Roman"/>
                      <w:sz w:val="21"/>
                      <w:szCs w:val="21"/>
                      <w:u w:val="none"/>
                      <w:lang w:eastAsia="zh-CN"/>
                    </w:rPr>
                    <w:t>七十</w:t>
                  </w:r>
                  <w:r>
                    <w:rPr>
                      <w:rFonts w:ascii="Times New Roman" w:hAnsi="Times New Roman"/>
                      <w:sz w:val="21"/>
                      <w:szCs w:val="21"/>
                      <w:u w:val="none"/>
                      <w:lang w:eastAsia="zh-CN"/>
                    </w:rPr>
                    <w:t>条</w:t>
                  </w:r>
                </w:p>
              </w:tc>
              <w:tc>
                <w:tcPr>
                  <w:tcW w:w="2673" w:type="dxa"/>
                  <w:vAlign w:val="center"/>
                </w:tcPr>
                <w:p w14:paraId="65EB0FA2">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运输煤炭、垃圾、渣土、砂石、土方、灰浆等散装、流体物料的车辆应当采取密闭或者其他措施防止物料遗撒造成扬尘污染，并按照规定路线行驶。</w:t>
                  </w:r>
                </w:p>
                <w:p w14:paraId="50E81C0A">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装卸物料应当采取密闭或喷淋等方式，防止扬尘污染。</w:t>
                  </w:r>
                </w:p>
                <w:p w14:paraId="06DA5EE3">
                  <w:pPr>
                    <w:pStyle w:val="32"/>
                    <w:spacing w:before="0" w:beforeAutospacing="0" w:after="0" w:afterAutospacing="0"/>
                    <w:rPr>
                      <w:rFonts w:ascii="Times New Roman" w:hAnsi="Times New Roman"/>
                      <w:sz w:val="21"/>
                      <w:szCs w:val="21"/>
                      <w:u w:val="none"/>
                    </w:rPr>
                  </w:pPr>
                  <w:r>
                    <w:rPr>
                      <w:rFonts w:hint="eastAsia" w:ascii="Times New Roman" w:hAnsi="Times New Roman"/>
                      <w:sz w:val="21"/>
                      <w:szCs w:val="21"/>
                      <w:u w:val="none"/>
                    </w:rPr>
                    <w:t> 城市人民政府应当加强道路、广场、停车场和其他公共场所的清扫保洁管理，推行清洁动力机械化清扫等低尘作业方式，防治扬尘污染。</w:t>
                  </w:r>
                </w:p>
              </w:tc>
              <w:tc>
                <w:tcPr>
                  <w:tcW w:w="2865" w:type="dxa"/>
                  <w:vMerge w:val="continue"/>
                  <w:vAlign w:val="center"/>
                </w:tcPr>
                <w:p w14:paraId="545B1DA8">
                  <w:pPr>
                    <w:pStyle w:val="141"/>
                    <w:jc w:val="center"/>
                    <w:rPr>
                      <w:rFonts w:ascii="Times New Roman" w:hAnsi="Times New Roman"/>
                      <w:sz w:val="21"/>
                      <w:szCs w:val="21"/>
                      <w:u w:val="none"/>
                      <w:lang w:eastAsia="zh-CN"/>
                    </w:rPr>
                  </w:pPr>
                </w:p>
              </w:tc>
              <w:tc>
                <w:tcPr>
                  <w:tcW w:w="752" w:type="dxa"/>
                  <w:vAlign w:val="center"/>
                </w:tcPr>
                <w:p w14:paraId="0FCAF06B">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符合</w:t>
                  </w:r>
                </w:p>
              </w:tc>
            </w:tr>
            <w:tr w14:paraId="64F0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AF63E69">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第七十二条</w:t>
                  </w:r>
                </w:p>
              </w:tc>
              <w:tc>
                <w:tcPr>
                  <w:tcW w:w="2673" w:type="dxa"/>
                  <w:vAlign w:val="center"/>
                </w:tcPr>
                <w:p w14:paraId="62AE7A97">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贮存煤炭、煤矸石、煤渣、煤灰、水泥、石灰、石膏、</w:t>
                  </w:r>
                  <w:r>
                    <w:rPr>
                      <w:rFonts w:hint="eastAsia" w:ascii="Times New Roman" w:hAnsi="Times New Roman"/>
                      <w:sz w:val="21"/>
                      <w:szCs w:val="21"/>
                      <w:u w:val="none"/>
                      <w:lang w:eastAsia="zh-CN"/>
                    </w:rPr>
                    <w:t>沙</w:t>
                  </w:r>
                  <w:r>
                    <w:rPr>
                      <w:rFonts w:ascii="Times New Roman" w:hAnsi="Times New Roman"/>
                      <w:sz w:val="21"/>
                      <w:szCs w:val="21"/>
                      <w:u w:val="none"/>
                      <w:lang w:eastAsia="zh-CN"/>
                    </w:rPr>
                    <w:t>土等易产生扬尘的物料应当密闭；不能密闭的，应当设置不低于堆放物高度的严密围挡，并采取有效覆盖措施防治扬尘污染。</w:t>
                  </w:r>
                </w:p>
              </w:tc>
              <w:tc>
                <w:tcPr>
                  <w:tcW w:w="2865" w:type="dxa"/>
                  <w:vMerge w:val="continue"/>
                  <w:vAlign w:val="center"/>
                </w:tcPr>
                <w:p w14:paraId="2EF8ECCA">
                  <w:pPr>
                    <w:pStyle w:val="141"/>
                    <w:jc w:val="center"/>
                    <w:rPr>
                      <w:rFonts w:ascii="Times New Roman" w:hAnsi="Times New Roman"/>
                      <w:sz w:val="21"/>
                      <w:szCs w:val="21"/>
                      <w:u w:val="none"/>
                      <w:lang w:eastAsia="zh-CN"/>
                    </w:rPr>
                  </w:pPr>
                </w:p>
              </w:tc>
              <w:tc>
                <w:tcPr>
                  <w:tcW w:w="752" w:type="dxa"/>
                  <w:vAlign w:val="center"/>
                </w:tcPr>
                <w:p w14:paraId="0BA23B9A">
                  <w:pPr>
                    <w:pStyle w:val="141"/>
                    <w:jc w:val="center"/>
                    <w:rPr>
                      <w:rFonts w:ascii="Times New Roman" w:hAnsi="Times New Roman"/>
                      <w:sz w:val="21"/>
                      <w:szCs w:val="21"/>
                      <w:u w:val="none"/>
                      <w:lang w:eastAsia="zh-CN"/>
                    </w:rPr>
                  </w:pPr>
                  <w:r>
                    <w:rPr>
                      <w:rFonts w:ascii="Times New Roman" w:hAnsi="Times New Roman"/>
                      <w:sz w:val="21"/>
                      <w:szCs w:val="21"/>
                      <w:u w:val="none"/>
                      <w:lang w:eastAsia="zh-CN"/>
                    </w:rPr>
                    <w:t>符合</w:t>
                  </w:r>
                </w:p>
              </w:tc>
            </w:tr>
          </w:tbl>
          <w:p w14:paraId="51EE3755">
            <w:pPr>
              <w:pStyle w:val="19"/>
              <w:numPr>
                <w:ilvl w:val="0"/>
                <w:numId w:val="0"/>
              </w:numPr>
              <w:rPr>
                <w:u w:val="none"/>
              </w:rPr>
            </w:pPr>
          </w:p>
          <w:p w14:paraId="06057BD0">
            <w:pPr>
              <w:autoSpaceDE w:val="0"/>
              <w:autoSpaceDN w:val="0"/>
              <w:adjustRightInd w:val="0"/>
              <w:snapToGrid w:val="0"/>
              <w:spacing w:line="360" w:lineRule="auto"/>
              <w:ind w:firstLine="482" w:firstLineChars="200"/>
              <w:rPr>
                <w:b/>
                <w:kern w:val="0"/>
                <w:sz w:val="24"/>
                <w:u w:val="none"/>
              </w:rPr>
            </w:pPr>
            <w:r>
              <w:rPr>
                <w:rFonts w:hint="eastAsia"/>
                <w:b/>
                <w:kern w:val="0"/>
                <w:sz w:val="24"/>
                <w:u w:val="none"/>
              </w:rPr>
              <w:t>10</w:t>
            </w:r>
            <w:r>
              <w:rPr>
                <w:b/>
                <w:kern w:val="0"/>
                <w:sz w:val="24"/>
                <w:u w:val="none"/>
              </w:rPr>
              <w:t>、与</w:t>
            </w:r>
            <w:r>
              <w:rPr>
                <w:rFonts w:hint="eastAsia"/>
                <w:b/>
                <w:kern w:val="0"/>
                <w:sz w:val="24"/>
                <w:u w:val="none"/>
              </w:rPr>
              <w:t>羊场镇安家沟塘坝饮用水源保护区</w:t>
            </w:r>
            <w:r>
              <w:rPr>
                <w:b/>
                <w:kern w:val="0"/>
                <w:sz w:val="24"/>
                <w:u w:val="none"/>
              </w:rPr>
              <w:t>符合性分析</w:t>
            </w:r>
          </w:p>
          <w:p w14:paraId="34A463A4">
            <w:pPr>
              <w:pStyle w:val="160"/>
              <w:ind w:firstLine="480"/>
              <w:rPr>
                <w:u w:val="none"/>
              </w:rPr>
            </w:pPr>
            <w:r>
              <w:rPr>
                <w:rFonts w:hint="eastAsia"/>
                <w:u w:val="none"/>
              </w:rPr>
              <w:t>本项目位于宣威市羊场产业园区水泥厂大桥头起，经查询《宣威市农村集中式饮用水水源地环境保护规划》，距离本项目最近的饮用水源地为羊场镇安家沟塘坝，位于本项目西侧8.1km处。</w:t>
            </w:r>
          </w:p>
          <w:p w14:paraId="6E1098B9">
            <w:pPr>
              <w:pStyle w:val="170"/>
              <w:spacing w:before="111" w:line="360" w:lineRule="auto"/>
              <w:ind w:firstLine="480" w:firstLineChars="200"/>
              <w:rPr>
                <w:u w:val="none"/>
                <w:lang w:eastAsia="zh-CN"/>
              </w:rPr>
            </w:pPr>
            <w:r>
              <w:rPr>
                <w:rFonts w:hint="eastAsia" w:ascii="Times New Roman" w:hAnsi="Times New Roman" w:cs="Times New Roman"/>
                <w:sz w:val="24"/>
                <w:szCs w:val="24"/>
                <w:u w:val="none"/>
                <w:lang w:eastAsia="zh-CN"/>
              </w:rPr>
              <w:t>安家沟塘坝为羊场镇集镇供水水源点，该水源点位于羊场镇清水村委会安家沟自然村北面，距村委会</w:t>
            </w:r>
            <w:r>
              <w:rPr>
                <w:rFonts w:ascii="Times New Roman" w:hAnsi="Times New Roman" w:cs="Times New Roman"/>
                <w:sz w:val="24"/>
                <w:szCs w:val="24"/>
                <w:u w:val="none"/>
                <w:lang w:eastAsia="zh-CN"/>
              </w:rPr>
              <w:t>2.5</w:t>
            </w:r>
            <w:r>
              <w:rPr>
                <w:rFonts w:hint="eastAsia" w:ascii="Times New Roman" w:hAnsi="Times New Roman" w:cs="Times New Roman"/>
                <w:sz w:val="24"/>
                <w:szCs w:val="24"/>
                <w:u w:val="none"/>
                <w:lang w:eastAsia="zh-CN"/>
              </w:rPr>
              <w:t>公里，距集镇所在地</w:t>
            </w:r>
            <w:r>
              <w:rPr>
                <w:rFonts w:ascii="Times New Roman" w:hAnsi="Times New Roman" w:cs="Times New Roman"/>
                <w:sz w:val="24"/>
                <w:szCs w:val="24"/>
                <w:u w:val="none"/>
                <w:lang w:eastAsia="zh-CN"/>
              </w:rPr>
              <w:t>5.</w:t>
            </w:r>
            <w:r>
              <w:rPr>
                <w:rFonts w:hint="eastAsia" w:ascii="Times New Roman" w:hAnsi="Times New Roman" w:cs="Times New Roman"/>
                <w:sz w:val="24"/>
                <w:szCs w:val="24"/>
                <w:u w:val="none"/>
                <w:lang w:eastAsia="zh-CN"/>
              </w:rPr>
              <w:t>5公里，该水源点位于清水村委会，所在位置地理坐标为</w:t>
            </w:r>
            <w:r>
              <w:rPr>
                <w:rFonts w:ascii="Times New Roman" w:hAnsi="Times New Roman" w:cs="Times New Roman"/>
                <w:sz w:val="24"/>
                <w:szCs w:val="24"/>
                <w:u w:val="none"/>
                <w:lang w:eastAsia="zh-CN"/>
              </w:rPr>
              <w:t>东经104°</w:t>
            </w:r>
            <w:r>
              <w:rPr>
                <w:rFonts w:hint="eastAsia" w:ascii="Times New Roman" w:hAnsi="Times New Roman" w:cs="Times New Roman"/>
                <w:sz w:val="24"/>
                <w:szCs w:val="24"/>
                <w:u w:val="none"/>
                <w:lang w:eastAsia="zh-CN"/>
              </w:rPr>
              <w:t>11</w:t>
            </w:r>
            <w:r>
              <w:rPr>
                <w:rFonts w:ascii="Times New Roman" w:hAnsi="Times New Roman" w:cs="Times New Roman"/>
                <w:sz w:val="24"/>
                <w:szCs w:val="24"/>
                <w:u w:val="none"/>
                <w:lang w:eastAsia="zh-CN"/>
              </w:rPr>
              <w:t>′</w:t>
            </w:r>
            <w:r>
              <w:rPr>
                <w:rFonts w:hint="eastAsia" w:ascii="Times New Roman" w:hAnsi="Times New Roman" w:cs="Times New Roman"/>
                <w:sz w:val="24"/>
                <w:szCs w:val="24"/>
                <w:u w:val="none"/>
                <w:lang w:eastAsia="zh-CN"/>
              </w:rPr>
              <w:t>～</w:t>
            </w:r>
            <w:r>
              <w:rPr>
                <w:rFonts w:ascii="Times New Roman" w:hAnsi="Times New Roman" w:cs="Times New Roman"/>
                <w:sz w:val="24"/>
                <w:szCs w:val="24"/>
                <w:u w:val="none"/>
                <w:lang w:eastAsia="zh-CN"/>
              </w:rPr>
              <w:t>104°</w:t>
            </w:r>
            <w:r>
              <w:rPr>
                <w:rFonts w:hint="eastAsia" w:ascii="Times New Roman" w:hAnsi="Times New Roman" w:cs="Times New Roman"/>
                <w:sz w:val="24"/>
                <w:szCs w:val="24"/>
                <w:u w:val="none"/>
                <w:lang w:eastAsia="zh-CN"/>
              </w:rPr>
              <w:t>21</w:t>
            </w:r>
            <w:r>
              <w:rPr>
                <w:rFonts w:ascii="Times New Roman" w:hAnsi="Times New Roman" w:cs="Times New Roman"/>
                <w:sz w:val="24"/>
                <w:szCs w:val="24"/>
                <w:u w:val="none"/>
                <w:lang w:eastAsia="zh-CN"/>
              </w:rPr>
              <w:t>′，北纬2</w:t>
            </w:r>
            <w:r>
              <w:rPr>
                <w:rFonts w:hint="eastAsia" w:ascii="Times New Roman" w:hAnsi="Times New Roman" w:cs="Times New Roman"/>
                <w:sz w:val="24"/>
                <w:szCs w:val="24"/>
                <w:u w:val="none"/>
                <w:lang w:eastAsia="zh-CN"/>
              </w:rPr>
              <w:t>5</w:t>
            </w:r>
            <w:r>
              <w:rPr>
                <w:rFonts w:ascii="Times New Roman" w:hAnsi="Times New Roman" w:cs="Times New Roman"/>
                <w:sz w:val="24"/>
                <w:szCs w:val="24"/>
                <w:u w:val="none"/>
                <w:lang w:eastAsia="zh-CN"/>
              </w:rPr>
              <w:t>°</w:t>
            </w:r>
            <w:r>
              <w:rPr>
                <w:rFonts w:hint="eastAsia" w:ascii="Times New Roman" w:hAnsi="Times New Roman" w:cs="Times New Roman"/>
                <w:sz w:val="24"/>
                <w:szCs w:val="24"/>
                <w:u w:val="none"/>
                <w:lang w:eastAsia="zh-CN"/>
              </w:rPr>
              <w:t>56</w:t>
            </w:r>
            <w:r>
              <w:rPr>
                <w:rFonts w:ascii="Times New Roman" w:hAnsi="Times New Roman" w:cs="Times New Roman"/>
                <w:sz w:val="24"/>
                <w:szCs w:val="24"/>
                <w:u w:val="none"/>
                <w:lang w:eastAsia="zh-CN"/>
              </w:rPr>
              <w:t>′</w:t>
            </w:r>
            <w:r>
              <w:rPr>
                <w:rFonts w:hint="eastAsia" w:ascii="Times New Roman" w:hAnsi="Times New Roman" w:cs="Times New Roman"/>
                <w:sz w:val="24"/>
                <w:szCs w:val="24"/>
                <w:u w:val="none"/>
                <w:lang w:eastAsia="zh-CN"/>
              </w:rPr>
              <w:t>～26</w:t>
            </w:r>
            <w:r>
              <w:rPr>
                <w:rFonts w:ascii="Times New Roman" w:hAnsi="Times New Roman" w:cs="Times New Roman"/>
                <w:sz w:val="24"/>
                <w:szCs w:val="24"/>
                <w:u w:val="none"/>
                <w:lang w:eastAsia="zh-CN"/>
              </w:rPr>
              <w:t>°</w:t>
            </w:r>
            <w:r>
              <w:rPr>
                <w:rFonts w:hint="eastAsia" w:ascii="Times New Roman" w:hAnsi="Times New Roman" w:cs="Times New Roman"/>
                <w:sz w:val="24"/>
                <w:szCs w:val="24"/>
                <w:u w:val="none"/>
                <w:lang w:eastAsia="zh-CN"/>
              </w:rPr>
              <w:t>02</w:t>
            </w:r>
            <w:r>
              <w:rPr>
                <w:rFonts w:ascii="Times New Roman" w:hAnsi="Times New Roman" w:cs="Times New Roman"/>
                <w:sz w:val="24"/>
                <w:szCs w:val="24"/>
                <w:u w:val="none"/>
                <w:lang w:eastAsia="zh-CN"/>
              </w:rPr>
              <w:t>′</w:t>
            </w:r>
            <w:r>
              <w:rPr>
                <w:rFonts w:hint="eastAsia" w:ascii="Times New Roman" w:hAnsi="Times New Roman" w:cs="Times New Roman"/>
                <w:sz w:val="24"/>
                <w:szCs w:val="24"/>
                <w:u w:val="none"/>
                <w:lang w:eastAsia="zh-CN"/>
              </w:rPr>
              <w:t>。</w:t>
            </w:r>
          </w:p>
          <w:p w14:paraId="37E7A3E3">
            <w:pPr>
              <w:widowControl/>
              <w:spacing w:line="360" w:lineRule="auto"/>
              <w:ind w:firstLine="480" w:firstLineChars="200"/>
              <w:rPr>
                <w:sz w:val="24"/>
                <w:u w:val="none"/>
              </w:rPr>
            </w:pPr>
            <w:r>
              <w:rPr>
                <w:rFonts w:hint="eastAsia"/>
                <w:sz w:val="24"/>
                <w:u w:val="none"/>
              </w:rPr>
              <w:t>安家沟塘坝建于</w:t>
            </w:r>
            <w:r>
              <w:rPr>
                <w:sz w:val="24"/>
                <w:u w:val="none"/>
              </w:rPr>
              <w:t>1995</w:t>
            </w:r>
            <w:r>
              <w:rPr>
                <w:rFonts w:hint="eastAsia"/>
                <w:sz w:val="24"/>
                <w:u w:val="none"/>
              </w:rPr>
              <w:t>年</w:t>
            </w:r>
            <w:r>
              <w:rPr>
                <w:sz w:val="24"/>
                <w:u w:val="none"/>
              </w:rPr>
              <w:t>6</w:t>
            </w:r>
            <w:r>
              <w:rPr>
                <w:rFonts w:hint="eastAsia"/>
                <w:sz w:val="24"/>
                <w:u w:val="none"/>
              </w:rPr>
              <w:t>月，最高日供水量为</w:t>
            </w:r>
            <w:r>
              <w:rPr>
                <w:sz w:val="24"/>
                <w:u w:val="none"/>
              </w:rPr>
              <w:t>691m</w:t>
            </w:r>
            <w:r>
              <w:rPr>
                <w:sz w:val="24"/>
                <w:u w:val="none"/>
                <w:vertAlign w:val="superscript"/>
              </w:rPr>
              <w:t>3</w:t>
            </w:r>
            <w:r>
              <w:rPr>
                <w:rFonts w:hint="eastAsia"/>
                <w:sz w:val="24"/>
                <w:u w:val="none"/>
              </w:rPr>
              <w:t>。塘坝坝型为浆砌石坝，坝顶高程</w:t>
            </w:r>
            <w:r>
              <w:rPr>
                <w:sz w:val="24"/>
                <w:u w:val="none"/>
              </w:rPr>
              <w:t>1909m</w:t>
            </w:r>
            <w:r>
              <w:rPr>
                <w:rFonts w:hint="eastAsia"/>
                <w:sz w:val="24"/>
                <w:u w:val="none"/>
              </w:rPr>
              <w:t>，坝顶长度</w:t>
            </w:r>
            <w:r>
              <w:rPr>
                <w:sz w:val="24"/>
                <w:u w:val="none"/>
              </w:rPr>
              <w:t>30.4 m</w:t>
            </w:r>
            <w:r>
              <w:rPr>
                <w:rFonts w:hint="eastAsia"/>
                <w:sz w:val="24"/>
                <w:u w:val="none"/>
              </w:rPr>
              <w:t>，坝顶宽</w:t>
            </w:r>
            <w:r>
              <w:rPr>
                <w:sz w:val="24"/>
                <w:u w:val="none"/>
              </w:rPr>
              <w:t>2 m</w:t>
            </w:r>
            <w:r>
              <w:rPr>
                <w:rFonts w:hint="eastAsia"/>
                <w:sz w:val="24"/>
                <w:u w:val="none"/>
              </w:rPr>
              <w:t>。安家沟塘坝总库容为</w:t>
            </w:r>
            <w:r>
              <w:rPr>
                <w:sz w:val="24"/>
                <w:u w:val="none"/>
              </w:rPr>
              <w:t>2.50万</w:t>
            </w:r>
            <w:r>
              <w:rPr>
                <w:rFonts w:hint="eastAsia"/>
                <w:sz w:val="24"/>
                <w:u w:val="none"/>
              </w:rPr>
              <w:t>m</w:t>
            </w:r>
            <w:r>
              <w:rPr>
                <w:rFonts w:hint="eastAsia"/>
                <w:sz w:val="24"/>
                <w:u w:val="none"/>
                <w:vertAlign w:val="superscript"/>
              </w:rPr>
              <w:t>3</w:t>
            </w:r>
            <w:r>
              <w:rPr>
                <w:rFonts w:hint="eastAsia"/>
                <w:sz w:val="24"/>
                <w:u w:val="none"/>
              </w:rPr>
              <w:t>，正常水位库容为</w:t>
            </w:r>
            <w:r>
              <w:rPr>
                <w:sz w:val="24"/>
                <w:u w:val="none"/>
              </w:rPr>
              <w:t>1.9万</w:t>
            </w:r>
            <w:r>
              <w:rPr>
                <w:rFonts w:hint="eastAsia"/>
                <w:sz w:val="24"/>
                <w:u w:val="none"/>
              </w:rPr>
              <w:t>m</w:t>
            </w:r>
            <w:r>
              <w:rPr>
                <w:rFonts w:hint="eastAsia"/>
                <w:sz w:val="24"/>
                <w:u w:val="none"/>
                <w:vertAlign w:val="superscript"/>
              </w:rPr>
              <w:t>3</w:t>
            </w:r>
            <w:r>
              <w:rPr>
                <w:rFonts w:hint="eastAsia"/>
                <w:sz w:val="24"/>
                <w:u w:val="none"/>
              </w:rPr>
              <w:t>，库区径流面积</w:t>
            </w:r>
            <w:r>
              <w:rPr>
                <w:sz w:val="24"/>
                <w:u w:val="none"/>
              </w:rPr>
              <w:t>1.7 km</w:t>
            </w:r>
            <w:r>
              <w:rPr>
                <w:sz w:val="24"/>
                <w:u w:val="none"/>
                <w:vertAlign w:val="superscript"/>
              </w:rPr>
              <w:t>2</w:t>
            </w:r>
            <w:r>
              <w:rPr>
                <w:rFonts w:hint="eastAsia"/>
                <w:sz w:val="24"/>
                <w:u w:val="none"/>
              </w:rPr>
              <w:t>，多年平均降水量</w:t>
            </w:r>
            <w:r>
              <w:rPr>
                <w:sz w:val="24"/>
                <w:u w:val="none"/>
              </w:rPr>
              <w:t>1685mm</w:t>
            </w:r>
            <w:r>
              <w:rPr>
                <w:rFonts w:hint="eastAsia"/>
                <w:sz w:val="24"/>
                <w:u w:val="none"/>
              </w:rPr>
              <w:t>，死库容0</w:t>
            </w:r>
            <w:r>
              <w:rPr>
                <w:sz w:val="24"/>
                <w:u w:val="none"/>
              </w:rPr>
              <w:t>万</w:t>
            </w:r>
            <w:r>
              <w:rPr>
                <w:rFonts w:hint="eastAsia"/>
                <w:sz w:val="24"/>
                <w:u w:val="none"/>
              </w:rPr>
              <w:t>m</w:t>
            </w:r>
            <w:r>
              <w:rPr>
                <w:rFonts w:hint="eastAsia"/>
                <w:sz w:val="24"/>
                <w:u w:val="none"/>
                <w:vertAlign w:val="superscript"/>
              </w:rPr>
              <w:t>3</w:t>
            </w:r>
            <w:r>
              <w:rPr>
                <w:rFonts w:hint="eastAsia"/>
                <w:sz w:val="24"/>
                <w:u w:val="none"/>
              </w:rPr>
              <w:t>。灌溉面积达0亩，年供水量为</w:t>
            </w:r>
            <w:r>
              <w:rPr>
                <w:sz w:val="24"/>
                <w:u w:val="none"/>
              </w:rPr>
              <w:t>292万</w:t>
            </w:r>
            <w:r>
              <w:rPr>
                <w:rFonts w:hint="eastAsia"/>
                <w:sz w:val="24"/>
                <w:u w:val="none"/>
              </w:rPr>
              <w:t>m</w:t>
            </w:r>
            <w:r>
              <w:rPr>
                <w:rFonts w:hint="eastAsia"/>
                <w:sz w:val="24"/>
                <w:u w:val="none"/>
                <w:vertAlign w:val="superscript"/>
              </w:rPr>
              <w:t>3</w:t>
            </w:r>
            <w:r>
              <w:rPr>
                <w:rFonts w:hint="eastAsia"/>
                <w:sz w:val="24"/>
                <w:u w:val="none"/>
              </w:rPr>
              <w:t>。供水范围为羊场镇集镇及乡直各单位，受益人口</w:t>
            </w:r>
            <w:r>
              <w:rPr>
                <w:sz w:val="24"/>
                <w:u w:val="none"/>
              </w:rPr>
              <w:t>8000</w:t>
            </w:r>
            <w:r>
              <w:rPr>
                <w:rFonts w:hint="eastAsia"/>
                <w:sz w:val="24"/>
                <w:u w:val="none"/>
              </w:rPr>
              <w:t>人。</w:t>
            </w:r>
          </w:p>
          <w:p w14:paraId="5623F538">
            <w:pPr>
              <w:pStyle w:val="160"/>
              <w:ind w:firstLine="480"/>
              <w:rPr>
                <w:u w:val="none"/>
              </w:rPr>
            </w:pPr>
            <w:r>
              <w:rPr>
                <w:rFonts w:hint="eastAsia"/>
                <w:u w:val="none"/>
              </w:rPr>
              <w:t>保护区范围是羊场镇安家沟塘坝正常水位线以下全部水域、取水口侧正常水位线以上200米范围内的整个集水区域。保护区分为一级保护区和二级保护区，无准保护区。保护区面积为42.70公顷。</w:t>
            </w:r>
          </w:p>
          <w:p w14:paraId="49129EC8">
            <w:pPr>
              <w:pStyle w:val="160"/>
              <w:ind w:firstLine="480"/>
              <w:rPr>
                <w:u w:val="none"/>
              </w:rPr>
            </w:pPr>
            <w:r>
              <w:rPr>
                <w:rFonts w:hint="eastAsia"/>
                <w:u w:val="none"/>
              </w:rPr>
              <w:t>本项目位于羊场镇安家沟塘坝东面8.1km处，中间有山脊分隔；本项目位于羊场镇安家沟塘坝地表径流汇水区范围外，且距离较远，项目的建设和运营对羊场镇安家沟塘坝水源保护区无影响。</w:t>
            </w:r>
          </w:p>
          <w:p w14:paraId="12711122">
            <w:pPr>
              <w:autoSpaceDE w:val="0"/>
              <w:autoSpaceDN w:val="0"/>
              <w:adjustRightInd w:val="0"/>
              <w:spacing w:line="360" w:lineRule="auto"/>
              <w:ind w:firstLine="482" w:firstLineChars="200"/>
              <w:rPr>
                <w:b/>
                <w:kern w:val="0"/>
                <w:sz w:val="24"/>
                <w:u w:val="none"/>
              </w:rPr>
            </w:pPr>
            <w:r>
              <w:rPr>
                <w:rFonts w:hint="eastAsia"/>
                <w:b/>
                <w:kern w:val="0"/>
                <w:sz w:val="24"/>
                <w:u w:val="none"/>
              </w:rPr>
              <w:t>11、与云南珠江源自然保护区的位置关系</w:t>
            </w:r>
          </w:p>
          <w:p w14:paraId="604DD99F">
            <w:pPr>
              <w:pStyle w:val="160"/>
              <w:ind w:firstLine="480"/>
              <w:rPr>
                <w:u w:val="none"/>
              </w:rPr>
            </w:pPr>
            <w:r>
              <w:rPr>
                <w:rFonts w:hint="eastAsia"/>
                <w:u w:val="none"/>
              </w:rPr>
              <w:t>珠江源省级自然保护区2000年建立，根据云南省人民政府云政复〔2008〕80号文件，最新调整后</w:t>
            </w:r>
            <w:r>
              <w:rPr>
                <w:u w:val="none"/>
              </w:rPr>
              <w:t>的面积117934</w:t>
            </w:r>
            <w:r>
              <w:rPr>
                <w:rFonts w:hint="eastAsia"/>
                <w:u w:val="none"/>
              </w:rPr>
              <w:t>hm</w:t>
            </w:r>
            <w:r>
              <w:rPr>
                <w:rFonts w:hint="eastAsia"/>
                <w:u w:val="none"/>
                <w:vertAlign w:val="superscript"/>
              </w:rPr>
              <w:t>2</w:t>
            </w:r>
            <w:r>
              <w:rPr>
                <w:u w:val="none"/>
              </w:rPr>
              <w:t>，区划的保护区核心面积7396.6</w:t>
            </w:r>
            <w:r>
              <w:rPr>
                <w:rFonts w:hint="eastAsia"/>
                <w:u w:val="none"/>
              </w:rPr>
              <w:t>hm</w:t>
            </w:r>
            <w:r>
              <w:rPr>
                <w:rFonts w:hint="eastAsia"/>
                <w:u w:val="none"/>
                <w:vertAlign w:val="superscript"/>
              </w:rPr>
              <w:t>2</w:t>
            </w:r>
            <w:r>
              <w:rPr>
                <w:u w:val="none"/>
              </w:rPr>
              <w:t>，占总面积的6.27%，缓冲区9508.2</w:t>
            </w:r>
            <w:r>
              <w:rPr>
                <w:rFonts w:hint="eastAsia"/>
                <w:u w:val="none"/>
              </w:rPr>
              <w:t>hm</w:t>
            </w:r>
            <w:r>
              <w:rPr>
                <w:rFonts w:hint="eastAsia"/>
                <w:u w:val="none"/>
                <w:vertAlign w:val="superscript"/>
              </w:rPr>
              <w:t>2</w:t>
            </w:r>
            <w:r>
              <w:rPr>
                <w:u w:val="none"/>
              </w:rPr>
              <w:t>，占8.06%，实验区101029.2</w:t>
            </w:r>
            <w:r>
              <w:rPr>
                <w:rFonts w:hint="eastAsia"/>
                <w:u w:val="none"/>
              </w:rPr>
              <w:t>hm</w:t>
            </w:r>
            <w:r>
              <w:rPr>
                <w:rFonts w:hint="eastAsia"/>
                <w:u w:val="none"/>
                <w:vertAlign w:val="superscript"/>
              </w:rPr>
              <w:t>2</w:t>
            </w:r>
            <w:r>
              <w:rPr>
                <w:u w:val="none"/>
              </w:rPr>
              <w:t>，占地85.67%。</w:t>
            </w:r>
          </w:p>
          <w:p w14:paraId="439BBFEA">
            <w:pPr>
              <w:pStyle w:val="160"/>
              <w:ind w:firstLine="480"/>
              <w:rPr>
                <w:u w:val="none"/>
              </w:rPr>
            </w:pPr>
            <w:r>
              <w:rPr>
                <w:rFonts w:hint="eastAsia"/>
                <w:u w:val="none"/>
              </w:rPr>
              <w:t>保护区以珠江源头水源涵养林、发育于喀斯特地貌的湿地生态系统为主要保护对象。区内的国家二级保护植物黄杉和松茸，以及国家一级保护动物黑鹳，国家二级保护动物林麝、猕猴、斑羚、穿山甲、白腹锦鸡、灰鹤、红隼、黑鸢等也是该保护区的保护对象。</w:t>
            </w:r>
          </w:p>
          <w:p w14:paraId="07309D79">
            <w:pPr>
              <w:autoSpaceDE w:val="0"/>
              <w:autoSpaceDN w:val="0"/>
              <w:adjustRightInd w:val="0"/>
              <w:spacing w:line="360" w:lineRule="auto"/>
              <w:ind w:firstLine="480" w:firstLineChars="200"/>
              <w:rPr>
                <w:b/>
                <w:kern w:val="0"/>
                <w:sz w:val="24"/>
                <w:u w:val="none"/>
              </w:rPr>
            </w:pPr>
            <w:r>
              <w:rPr>
                <w:rFonts w:hint="eastAsia"/>
                <w:sz w:val="24"/>
                <w:u w:val="none"/>
              </w:rPr>
              <w:t>本项目位于云南省曲靖市宣威市羊场产业园区水泥厂大桥头起，位于云南珠江源自然保护区东南侧约3.9km，本项目不涉及云南珠江源自然保护区。本项目与云南珠江源自然保护区的位置关系见附图14。</w:t>
            </w:r>
          </w:p>
          <w:p w14:paraId="09F8F893">
            <w:pPr>
              <w:pStyle w:val="49"/>
              <w:adjustRightInd/>
              <w:snapToGrid/>
              <w:spacing w:line="360" w:lineRule="auto"/>
              <w:ind w:firstLine="482" w:firstLineChars="200"/>
              <w:jc w:val="both"/>
              <w:rPr>
                <w:b/>
                <w:bCs/>
                <w:u w:val="none"/>
              </w:rPr>
            </w:pPr>
            <w:r>
              <w:rPr>
                <w:rFonts w:hint="eastAsia"/>
                <w:b/>
                <w:bCs/>
                <w:u w:val="none"/>
              </w:rPr>
              <w:t>12</w:t>
            </w:r>
            <w:r>
              <w:rPr>
                <w:b/>
                <w:bCs/>
                <w:u w:val="none"/>
              </w:rPr>
              <w:t>、平面布置合理性分析</w:t>
            </w:r>
          </w:p>
          <w:p w14:paraId="72D253B8">
            <w:pPr>
              <w:spacing w:line="360" w:lineRule="auto"/>
              <w:ind w:firstLine="480" w:firstLineChars="200"/>
              <w:rPr>
                <w:sz w:val="24"/>
                <w:u w:val="none"/>
              </w:rPr>
            </w:pPr>
            <w:r>
              <w:rPr>
                <w:rFonts w:hint="eastAsia"/>
                <w:sz w:val="24"/>
                <w:u w:val="none"/>
              </w:rPr>
              <w:t>项目场区为多边形，地势为北高南低，分为两个台阶建设，第一个台阶建设办公生活区，位于项目北部，布置有食堂、办公楼、一体化污水处理站；第二个台阶建设储运区，位于项目南部，由西至东分别布置有仓储大棚、车辆清洗废水沉淀池、洗车平台、雨污水收集池；东北侧为进入储运区的内部道路。项目出入口位于场地北侧，紧临工业园区道路，方便车辆运输。项目西侧紧临“云南宣威磷电有限责任公司”，缩短了磷矿外销运输距离。整个厂区功能分区明确，布置合理，便于管理。项目平面布置图见附图3。</w:t>
            </w:r>
          </w:p>
          <w:p w14:paraId="2DD688BC">
            <w:pPr>
              <w:spacing w:line="360" w:lineRule="auto"/>
              <w:ind w:firstLine="480" w:firstLineChars="200"/>
              <w:rPr>
                <w:sz w:val="24"/>
                <w:u w:val="none"/>
              </w:rPr>
            </w:pPr>
          </w:p>
          <w:p w14:paraId="2FACDBD6">
            <w:pPr>
              <w:spacing w:line="360" w:lineRule="auto"/>
              <w:ind w:firstLine="480" w:firstLineChars="200"/>
              <w:rPr>
                <w:sz w:val="24"/>
                <w:u w:val="none"/>
              </w:rPr>
            </w:pPr>
          </w:p>
          <w:p w14:paraId="742C220F">
            <w:pPr>
              <w:spacing w:line="360" w:lineRule="auto"/>
              <w:ind w:firstLine="480" w:firstLineChars="200"/>
              <w:rPr>
                <w:sz w:val="24"/>
                <w:u w:val="none"/>
              </w:rPr>
            </w:pPr>
          </w:p>
          <w:p w14:paraId="7D75BD47">
            <w:pPr>
              <w:spacing w:line="360" w:lineRule="auto"/>
              <w:ind w:firstLine="480" w:firstLineChars="200"/>
              <w:rPr>
                <w:sz w:val="24"/>
                <w:u w:val="none"/>
              </w:rPr>
            </w:pPr>
          </w:p>
          <w:p w14:paraId="72BC965C">
            <w:pPr>
              <w:spacing w:line="360" w:lineRule="auto"/>
              <w:ind w:firstLine="480" w:firstLineChars="200"/>
              <w:rPr>
                <w:sz w:val="24"/>
                <w:u w:val="none"/>
              </w:rPr>
            </w:pPr>
          </w:p>
          <w:p w14:paraId="6B7754ED">
            <w:pPr>
              <w:spacing w:line="360" w:lineRule="auto"/>
              <w:ind w:firstLine="480" w:firstLineChars="200"/>
              <w:rPr>
                <w:sz w:val="24"/>
                <w:u w:val="none"/>
              </w:rPr>
            </w:pPr>
          </w:p>
          <w:p w14:paraId="6DFE52E7">
            <w:pPr>
              <w:spacing w:line="360" w:lineRule="auto"/>
              <w:ind w:firstLine="480" w:firstLineChars="200"/>
              <w:rPr>
                <w:sz w:val="24"/>
                <w:u w:val="none"/>
              </w:rPr>
            </w:pPr>
          </w:p>
          <w:p w14:paraId="58BC08CB">
            <w:pPr>
              <w:spacing w:line="360" w:lineRule="auto"/>
              <w:ind w:firstLine="480" w:firstLineChars="200"/>
              <w:rPr>
                <w:sz w:val="24"/>
                <w:u w:val="none"/>
              </w:rPr>
            </w:pPr>
          </w:p>
          <w:p w14:paraId="245565BC">
            <w:pPr>
              <w:spacing w:line="360" w:lineRule="auto"/>
              <w:ind w:firstLine="480" w:firstLineChars="200"/>
              <w:rPr>
                <w:sz w:val="24"/>
                <w:u w:val="none"/>
              </w:rPr>
            </w:pPr>
          </w:p>
          <w:p w14:paraId="15930CD5">
            <w:pPr>
              <w:spacing w:line="360" w:lineRule="auto"/>
              <w:ind w:firstLine="480" w:firstLineChars="200"/>
              <w:rPr>
                <w:sz w:val="24"/>
                <w:u w:val="none"/>
              </w:rPr>
            </w:pPr>
          </w:p>
          <w:p w14:paraId="6A487DE4">
            <w:pPr>
              <w:spacing w:line="360" w:lineRule="auto"/>
              <w:ind w:firstLine="480" w:firstLineChars="200"/>
              <w:rPr>
                <w:sz w:val="24"/>
                <w:u w:val="none"/>
              </w:rPr>
            </w:pPr>
          </w:p>
          <w:p w14:paraId="647A9185">
            <w:pPr>
              <w:spacing w:line="360" w:lineRule="auto"/>
              <w:ind w:firstLine="480" w:firstLineChars="200"/>
              <w:rPr>
                <w:sz w:val="24"/>
                <w:u w:val="none"/>
              </w:rPr>
            </w:pPr>
          </w:p>
          <w:p w14:paraId="71F315D5">
            <w:pPr>
              <w:spacing w:line="360" w:lineRule="auto"/>
              <w:ind w:firstLine="480" w:firstLineChars="200"/>
              <w:rPr>
                <w:sz w:val="24"/>
                <w:u w:val="none"/>
              </w:rPr>
            </w:pPr>
          </w:p>
          <w:p w14:paraId="61FDCE0F">
            <w:pPr>
              <w:spacing w:line="360" w:lineRule="auto"/>
              <w:ind w:firstLine="480" w:firstLineChars="200"/>
              <w:rPr>
                <w:sz w:val="24"/>
                <w:u w:val="none"/>
              </w:rPr>
            </w:pPr>
          </w:p>
          <w:p w14:paraId="4CF9815E">
            <w:pPr>
              <w:spacing w:line="360" w:lineRule="auto"/>
              <w:ind w:firstLine="480" w:firstLineChars="200"/>
              <w:rPr>
                <w:sz w:val="24"/>
                <w:u w:val="none"/>
              </w:rPr>
            </w:pPr>
          </w:p>
          <w:p w14:paraId="078AB973">
            <w:pPr>
              <w:spacing w:line="360" w:lineRule="auto"/>
              <w:rPr>
                <w:sz w:val="24"/>
                <w:u w:val="none"/>
              </w:rPr>
            </w:pPr>
          </w:p>
        </w:tc>
      </w:tr>
    </w:tbl>
    <w:p w14:paraId="6484FFD5">
      <w:pPr>
        <w:spacing w:line="360" w:lineRule="auto"/>
        <w:outlineLvl w:val="0"/>
        <w:rPr>
          <w:sz w:val="30"/>
          <w:u w:val="none"/>
        </w:rPr>
        <w:sectPr>
          <w:footerReference r:id="rId5" w:type="default"/>
          <w:pgSz w:w="11906" w:h="16838"/>
          <w:pgMar w:top="1701" w:right="1531" w:bottom="1701" w:left="1531" w:header="851" w:footer="1077" w:gutter="0"/>
          <w:pgNumType w:start="1"/>
          <w:cols w:space="720" w:num="1"/>
          <w:docGrid w:linePitch="312" w:charSpace="0"/>
        </w:sectPr>
      </w:pPr>
    </w:p>
    <w:p w14:paraId="4CED9A54">
      <w:pPr>
        <w:pStyle w:val="32"/>
        <w:jc w:val="center"/>
        <w:outlineLvl w:val="0"/>
        <w:rPr>
          <w:rFonts w:ascii="Times New Roman" w:hAnsi="Times New Roman"/>
          <w:b/>
          <w:bCs/>
          <w:snapToGrid w:val="0"/>
          <w:sz w:val="30"/>
          <w:szCs w:val="30"/>
          <w:u w:val="none"/>
        </w:rPr>
      </w:pPr>
      <w:bookmarkStart w:id="3" w:name="_Toc30209"/>
      <w:r>
        <w:rPr>
          <w:rFonts w:ascii="Times New Roman" w:hAnsi="Times New Roman"/>
          <w:b/>
          <w:bCs/>
          <w:snapToGrid w:val="0"/>
          <w:sz w:val="30"/>
          <w:szCs w:val="30"/>
          <w:u w:val="none"/>
        </w:rPr>
        <w:t>二、建设项目工程分析</w:t>
      </w:r>
      <w:bookmarkEnd w:id="3"/>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630"/>
      </w:tblGrid>
      <w:tr w14:paraId="6EA2F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430" w:type="dxa"/>
            <w:vAlign w:val="center"/>
          </w:tcPr>
          <w:p w14:paraId="559539BA">
            <w:pPr>
              <w:pStyle w:val="32"/>
              <w:adjustRightInd w:val="0"/>
              <w:snapToGrid w:val="0"/>
              <w:spacing w:before="0" w:beforeAutospacing="0" w:after="0" w:afterAutospacing="0"/>
              <w:jc w:val="center"/>
              <w:rPr>
                <w:rFonts w:ascii="Times New Roman" w:hAnsi="Times New Roman"/>
                <w:szCs w:val="24"/>
                <w:u w:val="none"/>
              </w:rPr>
            </w:pPr>
            <w:bookmarkStart w:id="4" w:name="_Toc67408722"/>
            <w:bookmarkStart w:id="5" w:name="_Toc67408756"/>
            <w:r>
              <w:rPr>
                <w:rFonts w:ascii="Times New Roman" w:hAnsi="Times New Roman"/>
                <w:szCs w:val="24"/>
                <w:u w:val="none"/>
              </w:rPr>
              <w:t>建设内容</w:t>
            </w:r>
            <w:bookmarkEnd w:id="4"/>
            <w:bookmarkEnd w:id="5"/>
          </w:p>
        </w:tc>
        <w:tc>
          <w:tcPr>
            <w:tcW w:w="8630" w:type="dxa"/>
          </w:tcPr>
          <w:p w14:paraId="067A253A">
            <w:pPr>
              <w:adjustRightInd w:val="0"/>
              <w:snapToGrid w:val="0"/>
              <w:spacing w:line="360" w:lineRule="auto"/>
              <w:ind w:firstLine="472" w:firstLineChars="196"/>
              <w:rPr>
                <w:b/>
                <w:bCs/>
                <w:kern w:val="0"/>
                <w:sz w:val="24"/>
                <w:u w:val="none"/>
              </w:rPr>
            </w:pPr>
            <w:r>
              <w:rPr>
                <w:rFonts w:hint="eastAsia"/>
                <w:b/>
                <w:bCs/>
                <w:kern w:val="0"/>
                <w:sz w:val="24"/>
                <w:u w:val="none"/>
              </w:rPr>
              <w:t>1、项目由来</w:t>
            </w:r>
          </w:p>
          <w:p w14:paraId="100BD2FC">
            <w:pPr>
              <w:pStyle w:val="49"/>
              <w:adjustRightInd/>
              <w:snapToGrid/>
              <w:spacing w:line="360" w:lineRule="auto"/>
              <w:ind w:firstLine="480" w:firstLineChars="200"/>
              <w:jc w:val="both"/>
              <w:rPr>
                <w:u w:val="none"/>
              </w:rPr>
            </w:pPr>
            <w:r>
              <w:rPr>
                <w:rFonts w:hint="eastAsia"/>
                <w:u w:val="none"/>
              </w:rPr>
              <w:t>曲靖市宣威市喧宇商贸有限责任公司成立于2021年7月21日，主要从事金属矿石销售；非金属矿及制品销售；选矿；建筑材料销售；建筑装饰材料销售等。为满足云南宣威磷电有限责任公司原矿供给需求，公司已于2022年7月投资2000万元新建“羊场产业园矿产品仓储物流基地”（以下简称一期工程），该项目位于曲靖市宣威市羊场产业园区水泥厂大桥头起，年周转磷矿50万吨，该项目于</w:t>
            </w:r>
            <w:r>
              <w:rPr>
                <w:u w:val="none"/>
              </w:rPr>
              <w:t>202</w:t>
            </w:r>
            <w:r>
              <w:rPr>
                <w:rFonts w:hint="eastAsia"/>
                <w:u w:val="none"/>
              </w:rPr>
              <w:t>2年12月委托云南新佳宇建设工程有限公司编制《羊场产业园矿产品仓储物流基地环境影响报告表》，2023年2月1日取得曲靖市生态环境局宣威分局《关于羊场产业园矿产品仓储物流基地环境影响报告表的批复》（曲宣环审〔2023〕8号），2023年3月19日组织专家进行了项目竣工环境保护验收，并取得了竣工环境保护验收组意见。曲靖市宣威市喧宇商贸有限责任公司于2023年6月28日进行了法人变更，法定代表人由徐瑞富变更为缪祥敏。</w:t>
            </w:r>
          </w:p>
          <w:p w14:paraId="1E2F2619">
            <w:pPr>
              <w:pStyle w:val="49"/>
              <w:adjustRightInd/>
              <w:snapToGrid/>
              <w:spacing w:line="360" w:lineRule="auto"/>
              <w:ind w:firstLine="480" w:firstLineChars="200"/>
              <w:jc w:val="both"/>
              <w:rPr>
                <w:u w:val="none"/>
              </w:rPr>
            </w:pPr>
            <w:r>
              <w:rPr>
                <w:rFonts w:hint="eastAsia"/>
                <w:u w:val="none"/>
              </w:rPr>
              <w:t>由于一期项目无法满足云南宣威磷电有限责任公司原矿供给需求，曲靖市宣威市喧宇商贸有限责任公司决定拟投资2000万元新建“羊场产业园矿产品仓储物流基地二期工程”（以下简称二期工程），年周转磷矿110万吨。该项目于</w:t>
            </w:r>
            <w:r>
              <w:rPr>
                <w:u w:val="none"/>
              </w:rPr>
              <w:t>202</w:t>
            </w:r>
            <w:r>
              <w:rPr>
                <w:rFonts w:hint="eastAsia"/>
                <w:u w:val="none"/>
              </w:rPr>
              <w:t>4年4月23日经宣威市发展和改革局备案。建设地点位于曲靖市宣威市羊场产业园区水泥厂大桥头起，紧邻一期工程南侧。</w:t>
            </w:r>
          </w:p>
          <w:p w14:paraId="49FE8363">
            <w:pPr>
              <w:pStyle w:val="49"/>
              <w:adjustRightInd/>
              <w:snapToGrid/>
              <w:spacing w:line="360" w:lineRule="auto"/>
              <w:ind w:firstLine="480" w:firstLineChars="200"/>
              <w:jc w:val="both"/>
              <w:rPr>
                <w:u w:val="none"/>
              </w:rPr>
            </w:pPr>
            <w:r>
              <w:rPr>
                <w:rFonts w:hint="eastAsia"/>
                <w:u w:val="none"/>
              </w:rPr>
              <w:t>根据《中华人民共和国环境保护法》《中华人民共和国环境影响评价法》要求，该项目属于《建设项目环境影响评价分类管理名录》（2021年版）中：“八、非金属矿采选业”中“12、化学矿开采；石棉及其他非金属矿采选”－“单独的矿石破碎、集运；矿区修复治理工程”，需要编制环境影响报告表。因此，曲靖市宣威市喧宇商贸有限责任公司委托我公司开展本项目的环境影响评价工作。接受委托后，我公司组织相关环评人员对项目建设地进行了详细现场踏勘和调查，并在收集相关资料、进行初步工程分析及环境概况分析等工作的基础上，按照国家法律法规和相关技术导则规定，编制完成了《羊场产业园矿产品仓储物流基地二期工程环境影响报告表》供建设单位上报审批。</w:t>
            </w:r>
          </w:p>
          <w:p w14:paraId="3BC27287">
            <w:pPr>
              <w:pStyle w:val="49"/>
              <w:adjustRightInd/>
              <w:snapToGrid/>
              <w:spacing w:line="360" w:lineRule="auto"/>
              <w:ind w:firstLine="482" w:firstLineChars="200"/>
              <w:jc w:val="both"/>
              <w:rPr>
                <w:b/>
                <w:bCs/>
                <w:u w:val="none"/>
              </w:rPr>
            </w:pPr>
            <w:r>
              <w:rPr>
                <w:rFonts w:hint="eastAsia"/>
                <w:b/>
                <w:bCs/>
                <w:u w:val="none"/>
              </w:rPr>
              <w:t>2、项目概况</w:t>
            </w:r>
          </w:p>
          <w:p w14:paraId="2A9BD140">
            <w:pPr>
              <w:pStyle w:val="160"/>
              <w:ind w:firstLine="480"/>
              <w:rPr>
                <w:u w:val="none"/>
              </w:rPr>
            </w:pPr>
            <w:r>
              <w:rPr>
                <w:u w:val="none"/>
              </w:rPr>
              <w:t>项目名称：</w:t>
            </w:r>
            <w:r>
              <w:rPr>
                <w:rFonts w:hint="eastAsia"/>
                <w:u w:val="none"/>
              </w:rPr>
              <w:t>羊场产业园矿产品仓储物流基地二期工程</w:t>
            </w:r>
            <w:r>
              <w:rPr>
                <w:u w:val="none"/>
              </w:rPr>
              <w:t>；</w:t>
            </w:r>
          </w:p>
          <w:p w14:paraId="3F9B3605">
            <w:pPr>
              <w:pStyle w:val="160"/>
              <w:ind w:firstLine="480"/>
              <w:rPr>
                <w:u w:val="none"/>
              </w:rPr>
            </w:pPr>
            <w:r>
              <w:rPr>
                <w:u w:val="none"/>
              </w:rPr>
              <w:t>建设地点：</w:t>
            </w:r>
            <w:r>
              <w:rPr>
                <w:rFonts w:hint="eastAsia"/>
                <w:u w:val="none"/>
              </w:rPr>
              <w:t>曲靖市宣威市羊场产业园区水泥厂大桥头起</w:t>
            </w:r>
            <w:r>
              <w:rPr>
                <w:u w:val="none"/>
              </w:rPr>
              <w:t>；</w:t>
            </w:r>
          </w:p>
          <w:p w14:paraId="2BAF2F58">
            <w:pPr>
              <w:pStyle w:val="160"/>
              <w:ind w:firstLine="480"/>
              <w:rPr>
                <w:u w:val="none"/>
              </w:rPr>
            </w:pPr>
            <w:r>
              <w:rPr>
                <w:u w:val="none"/>
              </w:rPr>
              <w:t>建设单位：</w:t>
            </w:r>
            <w:r>
              <w:rPr>
                <w:rFonts w:hint="eastAsia"/>
                <w:u w:val="none"/>
              </w:rPr>
              <w:t>曲靖市宣威市喧宇商贸有限责任公司</w:t>
            </w:r>
            <w:r>
              <w:rPr>
                <w:u w:val="none"/>
              </w:rPr>
              <w:t>；</w:t>
            </w:r>
          </w:p>
          <w:p w14:paraId="3F84F5F5">
            <w:pPr>
              <w:pStyle w:val="160"/>
              <w:ind w:firstLine="480"/>
              <w:rPr>
                <w:u w:val="none"/>
              </w:rPr>
            </w:pPr>
            <w:r>
              <w:rPr>
                <w:u w:val="none"/>
              </w:rPr>
              <w:t>建设性质：</w:t>
            </w:r>
            <w:r>
              <w:rPr>
                <w:rFonts w:hint="eastAsia"/>
                <w:u w:val="none"/>
              </w:rPr>
              <w:t>新建</w:t>
            </w:r>
            <w:r>
              <w:rPr>
                <w:u w:val="none"/>
              </w:rPr>
              <w:t>；</w:t>
            </w:r>
          </w:p>
          <w:p w14:paraId="4F531E12">
            <w:pPr>
              <w:pStyle w:val="160"/>
              <w:ind w:firstLine="480"/>
              <w:rPr>
                <w:u w:val="none"/>
              </w:rPr>
            </w:pPr>
            <w:r>
              <w:rPr>
                <w:rFonts w:hint="eastAsia"/>
                <w:u w:val="none"/>
              </w:rPr>
              <w:t>主要建设内容及规模</w:t>
            </w:r>
            <w:r>
              <w:rPr>
                <w:u w:val="none"/>
              </w:rPr>
              <w:t>：</w:t>
            </w:r>
            <w:r>
              <w:rPr>
                <w:rFonts w:hint="eastAsia"/>
                <w:u w:val="none"/>
              </w:rPr>
              <w:t>建设大棚6500平方米，办公生活区1000平方米，总投资2000万元，年转运矿产品110万吨，配套水电路</w:t>
            </w:r>
            <w:r>
              <w:rPr>
                <w:rFonts w:hint="eastAsia"/>
                <w:u w:val="thick" w:color="FFB03A"/>
                <w:shd w:val="clear" w:fill="FFEFD7"/>
              </w:rPr>
              <w:t>相关</w:t>
            </w:r>
            <w:r>
              <w:rPr>
                <w:rFonts w:hint="eastAsia"/>
                <w:u w:val="none"/>
              </w:rPr>
              <w:t>基础设施。</w:t>
            </w:r>
          </w:p>
          <w:p w14:paraId="0D50265A">
            <w:pPr>
              <w:pStyle w:val="160"/>
              <w:ind w:firstLine="480"/>
              <w:rPr>
                <w:u w:val="none"/>
                <w:lang w:val="zh-CN"/>
              </w:rPr>
            </w:pPr>
            <w:r>
              <w:rPr>
                <w:rFonts w:hint="eastAsia"/>
                <w:u w:val="none"/>
                <w:lang w:val="zh-CN"/>
              </w:rPr>
              <w:t>占地面积：项目占地</w:t>
            </w:r>
            <w:r>
              <w:rPr>
                <w:rFonts w:hint="eastAsia"/>
                <w:u w:val="none"/>
              </w:rPr>
              <w:t>7800m</w:t>
            </w:r>
            <w:r>
              <w:rPr>
                <w:rFonts w:hint="eastAsia"/>
                <w:u w:val="none"/>
                <w:vertAlign w:val="superscript"/>
              </w:rPr>
              <w:t>2</w:t>
            </w:r>
            <w:r>
              <w:rPr>
                <w:rFonts w:hint="eastAsia"/>
                <w:u w:val="none"/>
                <w:lang w:val="zh-CN"/>
              </w:rPr>
              <w:t>；</w:t>
            </w:r>
          </w:p>
          <w:p w14:paraId="2103E3D5">
            <w:pPr>
              <w:pStyle w:val="160"/>
              <w:ind w:firstLine="480"/>
              <w:rPr>
                <w:u w:val="none"/>
              </w:rPr>
            </w:pPr>
            <w:r>
              <w:rPr>
                <w:rFonts w:hint="eastAsia"/>
                <w:u w:val="none"/>
              </w:rPr>
              <w:t>投资总额</w:t>
            </w:r>
            <w:r>
              <w:rPr>
                <w:u w:val="none"/>
              </w:rPr>
              <w:t>：总投资为</w:t>
            </w:r>
            <w:r>
              <w:rPr>
                <w:rFonts w:hint="eastAsia"/>
                <w:u w:val="none"/>
              </w:rPr>
              <w:t>2000</w:t>
            </w:r>
            <w:r>
              <w:rPr>
                <w:u w:val="none"/>
              </w:rPr>
              <w:t>万元，其中环保投资</w:t>
            </w:r>
            <w:r>
              <w:rPr>
                <w:rFonts w:hint="eastAsia"/>
                <w:u w:val="none"/>
              </w:rPr>
              <w:t>951</w:t>
            </w:r>
            <w:r>
              <w:rPr>
                <w:u w:val="none"/>
              </w:rPr>
              <w:t>万元，占总投资</w:t>
            </w:r>
            <w:r>
              <w:rPr>
                <w:rFonts w:hint="eastAsia"/>
                <w:u w:val="none"/>
              </w:rPr>
              <w:t>47.55</w:t>
            </w:r>
            <w:r>
              <w:rPr>
                <w:u w:val="none"/>
              </w:rPr>
              <w:t>%。</w:t>
            </w:r>
          </w:p>
          <w:p w14:paraId="686F1A58">
            <w:pPr>
              <w:wordWrap w:val="0"/>
              <w:adjustRightInd w:val="0"/>
              <w:snapToGrid w:val="0"/>
              <w:spacing w:line="360" w:lineRule="auto"/>
              <w:ind w:firstLine="472" w:firstLineChars="196"/>
              <w:rPr>
                <w:b/>
                <w:bCs/>
                <w:kern w:val="0"/>
                <w:sz w:val="24"/>
                <w:u w:val="none"/>
              </w:rPr>
            </w:pPr>
            <w:r>
              <w:rPr>
                <w:rFonts w:hint="eastAsia"/>
                <w:b/>
                <w:bCs/>
                <w:kern w:val="0"/>
                <w:sz w:val="24"/>
                <w:u w:val="none"/>
              </w:rPr>
              <w:t>3、项目建设内容</w:t>
            </w:r>
          </w:p>
          <w:p w14:paraId="31F87592">
            <w:pPr>
              <w:wordWrap w:val="0"/>
              <w:spacing w:line="360" w:lineRule="auto"/>
              <w:ind w:firstLine="480" w:firstLineChars="200"/>
              <w:rPr>
                <w:sz w:val="24"/>
                <w:u w:val="none"/>
              </w:rPr>
            </w:pPr>
            <w:r>
              <w:rPr>
                <w:rFonts w:hint="eastAsia"/>
                <w:sz w:val="24"/>
                <w:u w:val="none"/>
              </w:rPr>
              <w:t>本项目工程组成见表2</w:t>
            </w:r>
            <w:r>
              <w:rPr>
                <w:sz w:val="24"/>
                <w:u w:val="none"/>
              </w:rPr>
              <w:t>-</w:t>
            </w:r>
            <w:r>
              <w:rPr>
                <w:rFonts w:hint="eastAsia"/>
                <w:sz w:val="24"/>
                <w:u w:val="none"/>
              </w:rPr>
              <w:t>1</w:t>
            </w:r>
            <w:r>
              <w:rPr>
                <w:sz w:val="24"/>
                <w:u w:val="none"/>
              </w:rPr>
              <w:t>。</w:t>
            </w:r>
          </w:p>
          <w:p w14:paraId="00A43917">
            <w:pPr>
              <w:pStyle w:val="48"/>
              <w:adjustRightInd/>
              <w:spacing w:line="240" w:lineRule="auto"/>
              <w:rPr>
                <w:sz w:val="21"/>
                <w:szCs w:val="21"/>
                <w:u w:val="none"/>
              </w:rPr>
            </w:pPr>
            <w:r>
              <w:rPr>
                <w:sz w:val="21"/>
                <w:szCs w:val="21"/>
                <w:u w:val="none"/>
              </w:rPr>
              <w:t xml:space="preserve">表2-1    </w:t>
            </w:r>
            <w:r>
              <w:rPr>
                <w:rFonts w:hint="eastAsia"/>
                <w:sz w:val="21"/>
                <w:szCs w:val="21"/>
                <w:u w:val="none"/>
              </w:rPr>
              <w:t>项目工程组成一览表</w:t>
            </w:r>
          </w:p>
          <w:tbl>
            <w:tblPr>
              <w:tblStyle w:val="37"/>
              <w:tblW w:w="498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2"/>
              <w:gridCol w:w="441"/>
              <w:gridCol w:w="1042"/>
              <w:gridCol w:w="5459"/>
              <w:gridCol w:w="684"/>
            </w:tblGrid>
            <w:tr w14:paraId="6D981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454" w:type="pct"/>
                  <w:vAlign w:val="center"/>
                </w:tcPr>
                <w:p w14:paraId="601D7561">
                  <w:pPr>
                    <w:pStyle w:val="91"/>
                    <w:wordWrap w:val="0"/>
                    <w:spacing w:beforeLines="0" w:after="24" w:line="240" w:lineRule="auto"/>
                    <w:rPr>
                      <w:rFonts w:ascii="Times New Roman"/>
                      <w:b w:val="0"/>
                      <w:bCs/>
                      <w:szCs w:val="21"/>
                      <w:u w:val="none"/>
                    </w:rPr>
                  </w:pPr>
                  <w:r>
                    <w:rPr>
                      <w:rFonts w:ascii="Times New Roman"/>
                      <w:b w:val="0"/>
                      <w:bCs/>
                      <w:szCs w:val="21"/>
                      <w:u w:val="none"/>
                    </w:rPr>
                    <w:t>工程类型</w:t>
                  </w:r>
                </w:p>
              </w:tc>
              <w:tc>
                <w:tcPr>
                  <w:tcW w:w="884" w:type="pct"/>
                  <w:gridSpan w:val="2"/>
                  <w:vAlign w:val="center"/>
                </w:tcPr>
                <w:p w14:paraId="4928083A">
                  <w:pPr>
                    <w:pStyle w:val="91"/>
                    <w:wordWrap w:val="0"/>
                    <w:spacing w:beforeLines="0" w:after="24" w:line="240" w:lineRule="auto"/>
                    <w:rPr>
                      <w:rFonts w:ascii="Times New Roman"/>
                      <w:b w:val="0"/>
                      <w:bCs/>
                      <w:szCs w:val="21"/>
                      <w:u w:val="none"/>
                    </w:rPr>
                  </w:pPr>
                  <w:r>
                    <w:rPr>
                      <w:rFonts w:ascii="Times New Roman"/>
                      <w:b w:val="0"/>
                      <w:bCs/>
                      <w:szCs w:val="21"/>
                      <w:u w:val="none"/>
                    </w:rPr>
                    <w:t>工程</w:t>
                  </w:r>
                </w:p>
                <w:p w14:paraId="6D80E0FD">
                  <w:pPr>
                    <w:pStyle w:val="91"/>
                    <w:wordWrap w:val="0"/>
                    <w:spacing w:beforeLines="0" w:after="24" w:line="240" w:lineRule="auto"/>
                    <w:rPr>
                      <w:rFonts w:ascii="Times New Roman"/>
                      <w:b w:val="0"/>
                      <w:bCs/>
                      <w:szCs w:val="21"/>
                      <w:u w:val="none"/>
                    </w:rPr>
                  </w:pPr>
                  <w:r>
                    <w:rPr>
                      <w:rFonts w:ascii="Times New Roman"/>
                      <w:b w:val="0"/>
                      <w:bCs/>
                      <w:szCs w:val="21"/>
                      <w:u w:val="none"/>
                    </w:rPr>
                    <w:t>名称</w:t>
                  </w:r>
                </w:p>
              </w:tc>
              <w:tc>
                <w:tcPr>
                  <w:tcW w:w="3253" w:type="pct"/>
                  <w:vAlign w:val="center"/>
                </w:tcPr>
                <w:p w14:paraId="490A2BEC">
                  <w:pPr>
                    <w:pStyle w:val="91"/>
                    <w:wordWrap w:val="0"/>
                    <w:spacing w:beforeLines="0" w:after="24" w:line="240" w:lineRule="auto"/>
                    <w:rPr>
                      <w:rFonts w:ascii="Times New Roman"/>
                      <w:szCs w:val="21"/>
                      <w:u w:val="none"/>
                    </w:rPr>
                  </w:pPr>
                  <w:r>
                    <w:rPr>
                      <w:rFonts w:ascii="Times New Roman"/>
                      <w:szCs w:val="21"/>
                      <w:u w:val="none"/>
                    </w:rPr>
                    <w:t>建设内容</w:t>
                  </w:r>
                </w:p>
              </w:tc>
              <w:tc>
                <w:tcPr>
                  <w:tcW w:w="408" w:type="pct"/>
                  <w:vAlign w:val="center"/>
                </w:tcPr>
                <w:p w14:paraId="53FBFD28">
                  <w:pPr>
                    <w:pStyle w:val="91"/>
                    <w:wordWrap w:val="0"/>
                    <w:spacing w:beforeLines="0" w:after="24" w:line="240" w:lineRule="auto"/>
                    <w:rPr>
                      <w:rFonts w:ascii="Times New Roman"/>
                      <w:szCs w:val="21"/>
                      <w:u w:val="none"/>
                    </w:rPr>
                  </w:pPr>
                  <w:r>
                    <w:rPr>
                      <w:rFonts w:ascii="Times New Roman"/>
                      <w:szCs w:val="21"/>
                      <w:u w:val="none"/>
                    </w:rPr>
                    <w:t>备注</w:t>
                  </w:r>
                </w:p>
              </w:tc>
            </w:tr>
            <w:tr w14:paraId="6DE74E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3" w:hRule="atLeast"/>
              </w:trPr>
              <w:tc>
                <w:tcPr>
                  <w:tcW w:w="454" w:type="pct"/>
                  <w:vMerge w:val="restart"/>
                  <w:vAlign w:val="center"/>
                </w:tcPr>
                <w:p w14:paraId="049FF4D5">
                  <w:pPr>
                    <w:pStyle w:val="91"/>
                    <w:wordWrap w:val="0"/>
                    <w:spacing w:beforeLines="0" w:after="24" w:line="240" w:lineRule="auto"/>
                    <w:rPr>
                      <w:rFonts w:ascii="Times New Roman"/>
                      <w:b w:val="0"/>
                      <w:bCs/>
                      <w:szCs w:val="21"/>
                      <w:u w:val="none"/>
                    </w:rPr>
                  </w:pPr>
                  <w:r>
                    <w:rPr>
                      <w:rFonts w:ascii="Times New Roman"/>
                      <w:b w:val="0"/>
                      <w:bCs/>
                      <w:szCs w:val="21"/>
                      <w:u w:val="none"/>
                    </w:rPr>
                    <w:t>主体</w:t>
                  </w:r>
                </w:p>
                <w:p w14:paraId="411EE298">
                  <w:pPr>
                    <w:pStyle w:val="91"/>
                    <w:wordWrap w:val="0"/>
                    <w:spacing w:beforeLines="0" w:after="24" w:line="240" w:lineRule="auto"/>
                    <w:rPr>
                      <w:rFonts w:ascii="Times New Roman"/>
                      <w:b w:val="0"/>
                      <w:bCs/>
                      <w:szCs w:val="21"/>
                      <w:u w:val="none"/>
                    </w:rPr>
                  </w:pPr>
                  <w:r>
                    <w:rPr>
                      <w:rFonts w:ascii="Times New Roman"/>
                      <w:b w:val="0"/>
                      <w:bCs/>
                      <w:szCs w:val="21"/>
                      <w:u w:val="none"/>
                    </w:rPr>
                    <w:t>工程</w:t>
                  </w:r>
                </w:p>
              </w:tc>
              <w:tc>
                <w:tcPr>
                  <w:tcW w:w="884" w:type="pct"/>
                  <w:gridSpan w:val="2"/>
                  <w:vAlign w:val="center"/>
                </w:tcPr>
                <w:p w14:paraId="02EBDF42">
                  <w:pPr>
                    <w:pStyle w:val="91"/>
                    <w:wordWrap w:val="0"/>
                    <w:spacing w:beforeLines="0" w:after="24" w:line="240" w:lineRule="auto"/>
                    <w:rPr>
                      <w:rFonts w:ascii="Times New Roman"/>
                      <w:b w:val="0"/>
                      <w:bCs/>
                      <w:szCs w:val="21"/>
                      <w:u w:val="none"/>
                    </w:rPr>
                  </w:pPr>
                  <w:r>
                    <w:rPr>
                      <w:rFonts w:hint="eastAsia" w:ascii="Times New Roman"/>
                      <w:b w:val="0"/>
                      <w:bCs/>
                      <w:szCs w:val="21"/>
                      <w:u w:val="none"/>
                    </w:rPr>
                    <w:t>仓储大棚</w:t>
                  </w:r>
                </w:p>
              </w:tc>
              <w:tc>
                <w:tcPr>
                  <w:tcW w:w="3253" w:type="pct"/>
                  <w:vAlign w:val="center"/>
                </w:tcPr>
                <w:p w14:paraId="21E89547">
                  <w:pPr>
                    <w:pStyle w:val="91"/>
                    <w:wordWrap w:val="0"/>
                    <w:spacing w:before="24" w:after="24" w:line="240" w:lineRule="auto"/>
                    <w:rPr>
                      <w:rFonts w:ascii="Times New Roman"/>
                      <w:b w:val="0"/>
                      <w:bCs/>
                      <w:szCs w:val="21"/>
                      <w:u w:val="none"/>
                    </w:rPr>
                  </w:pPr>
                  <w:r>
                    <w:rPr>
                      <w:rFonts w:hint="eastAsia" w:ascii="Times New Roman"/>
                      <w:b w:val="0"/>
                      <w:bCs/>
                      <w:szCs w:val="21"/>
                      <w:u w:val="none"/>
                    </w:rPr>
                    <w:t>1</w:t>
                  </w:r>
                  <w:r>
                    <w:rPr>
                      <w:rFonts w:ascii="Times New Roman"/>
                      <w:b w:val="0"/>
                      <w:bCs/>
                      <w:szCs w:val="21"/>
                      <w:u w:val="none"/>
                    </w:rPr>
                    <w:t>座全封闭钢结构</w:t>
                  </w:r>
                  <w:r>
                    <w:rPr>
                      <w:rFonts w:hint="eastAsia" w:ascii="Times New Roman"/>
                      <w:b w:val="0"/>
                      <w:bCs/>
                      <w:szCs w:val="21"/>
                      <w:u w:val="none"/>
                    </w:rPr>
                    <w:t>仓储棚</w:t>
                  </w:r>
                  <w:r>
                    <w:rPr>
                      <w:rFonts w:ascii="Times New Roman"/>
                      <w:b w:val="0"/>
                      <w:bCs/>
                      <w:szCs w:val="21"/>
                      <w:u w:val="none"/>
                    </w:rPr>
                    <w:t>（长</w:t>
                  </w:r>
                  <w:r>
                    <w:rPr>
                      <w:rFonts w:hint="eastAsia" w:ascii="Times New Roman"/>
                      <w:b w:val="0"/>
                      <w:bCs/>
                      <w:szCs w:val="21"/>
                      <w:u w:val="none"/>
                    </w:rPr>
                    <w:t>130</w:t>
                  </w:r>
                  <w:r>
                    <w:rPr>
                      <w:rFonts w:ascii="Times New Roman"/>
                      <w:b w:val="0"/>
                      <w:bCs/>
                      <w:szCs w:val="21"/>
                      <w:u w:val="none"/>
                    </w:rPr>
                    <w:t>m</w:t>
                  </w:r>
                  <w:r>
                    <w:rPr>
                      <w:rFonts w:hint="eastAsia" w:ascii="Times New Roman"/>
                      <w:b w:val="0"/>
                      <w:bCs/>
                      <w:szCs w:val="21"/>
                      <w:u w:val="none"/>
                    </w:rPr>
                    <w:t>、</w:t>
                  </w:r>
                  <w:r>
                    <w:rPr>
                      <w:rFonts w:ascii="Times New Roman"/>
                      <w:b w:val="0"/>
                      <w:bCs/>
                      <w:szCs w:val="21"/>
                      <w:u w:val="none"/>
                    </w:rPr>
                    <w:t>宽</w:t>
                  </w:r>
                  <w:r>
                    <w:rPr>
                      <w:rFonts w:hint="eastAsia" w:ascii="Times New Roman"/>
                      <w:b w:val="0"/>
                      <w:bCs/>
                      <w:szCs w:val="21"/>
                      <w:u w:val="none"/>
                    </w:rPr>
                    <w:t>50</w:t>
                  </w:r>
                  <w:r>
                    <w:rPr>
                      <w:rFonts w:ascii="Times New Roman"/>
                      <w:b w:val="0"/>
                      <w:bCs/>
                      <w:szCs w:val="21"/>
                      <w:u w:val="none"/>
                    </w:rPr>
                    <w:t>m</w:t>
                  </w:r>
                  <w:r>
                    <w:rPr>
                      <w:rFonts w:hint="eastAsia" w:ascii="Times New Roman"/>
                      <w:b w:val="0"/>
                      <w:bCs/>
                      <w:szCs w:val="21"/>
                      <w:u w:val="none"/>
                    </w:rPr>
                    <w:t>、</w:t>
                  </w:r>
                  <w:r>
                    <w:rPr>
                      <w:rFonts w:ascii="Times New Roman"/>
                      <w:b w:val="0"/>
                      <w:bCs/>
                      <w:szCs w:val="21"/>
                      <w:u w:val="none"/>
                    </w:rPr>
                    <w:t>高</w:t>
                  </w:r>
                  <w:r>
                    <w:rPr>
                      <w:rFonts w:hint="eastAsia" w:ascii="Times New Roman"/>
                      <w:b w:val="0"/>
                      <w:bCs/>
                      <w:szCs w:val="21"/>
                      <w:u w:val="none"/>
                    </w:rPr>
                    <w:t>12</w:t>
                  </w:r>
                  <w:r>
                    <w:rPr>
                      <w:rFonts w:ascii="Times New Roman"/>
                      <w:b w:val="0"/>
                      <w:bCs/>
                      <w:szCs w:val="21"/>
                      <w:u w:val="none"/>
                    </w:rPr>
                    <w:t>m），</w:t>
                  </w:r>
                  <w:r>
                    <w:rPr>
                      <w:rFonts w:hint="eastAsia" w:ascii="Times New Roman"/>
                      <w:b w:val="0"/>
                      <w:bCs/>
                      <w:szCs w:val="21"/>
                      <w:u w:val="none"/>
                    </w:rPr>
                    <w:t>占地面积6500m</w:t>
                  </w:r>
                  <w:r>
                    <w:rPr>
                      <w:rFonts w:hint="eastAsia" w:ascii="Times New Roman"/>
                      <w:b w:val="0"/>
                      <w:bCs/>
                      <w:szCs w:val="21"/>
                      <w:u w:val="none"/>
                      <w:vertAlign w:val="superscript"/>
                    </w:rPr>
                    <w:t>2</w:t>
                  </w:r>
                  <w:r>
                    <w:rPr>
                      <w:rFonts w:hint="eastAsia" w:ascii="Times New Roman"/>
                      <w:b w:val="0"/>
                      <w:bCs/>
                      <w:szCs w:val="21"/>
                      <w:u w:val="none"/>
                    </w:rPr>
                    <w:t>，场地混凝土硬化，并配套建设覆盖全场的喷雾洒水抑尘系统和机械通风系统</w:t>
                  </w:r>
                </w:p>
              </w:tc>
              <w:tc>
                <w:tcPr>
                  <w:tcW w:w="408" w:type="pct"/>
                  <w:vAlign w:val="center"/>
                </w:tcPr>
                <w:p w14:paraId="42E6BB57">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52EB7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1" w:hRule="atLeast"/>
              </w:trPr>
              <w:tc>
                <w:tcPr>
                  <w:tcW w:w="454" w:type="pct"/>
                  <w:vMerge w:val="continue"/>
                  <w:vAlign w:val="center"/>
                </w:tcPr>
                <w:p w14:paraId="48701AA3">
                  <w:pPr>
                    <w:pStyle w:val="91"/>
                    <w:wordWrap w:val="0"/>
                    <w:spacing w:beforeLines="0" w:after="24" w:line="240" w:lineRule="auto"/>
                    <w:rPr>
                      <w:rFonts w:ascii="Times New Roman"/>
                      <w:b w:val="0"/>
                      <w:bCs/>
                      <w:szCs w:val="21"/>
                      <w:u w:val="none"/>
                    </w:rPr>
                  </w:pPr>
                </w:p>
              </w:tc>
              <w:tc>
                <w:tcPr>
                  <w:tcW w:w="884" w:type="pct"/>
                  <w:gridSpan w:val="2"/>
                  <w:vAlign w:val="center"/>
                </w:tcPr>
                <w:p w14:paraId="7850DE04">
                  <w:pPr>
                    <w:pStyle w:val="91"/>
                    <w:wordWrap w:val="0"/>
                    <w:spacing w:beforeLines="0" w:after="24" w:line="240" w:lineRule="auto"/>
                    <w:rPr>
                      <w:rFonts w:ascii="Times New Roman"/>
                      <w:b w:val="0"/>
                      <w:bCs/>
                      <w:szCs w:val="21"/>
                      <w:u w:val="none"/>
                    </w:rPr>
                  </w:pPr>
                  <w:r>
                    <w:rPr>
                      <w:rFonts w:hint="eastAsia" w:ascii="Times New Roman"/>
                      <w:b w:val="0"/>
                      <w:bCs/>
                      <w:szCs w:val="21"/>
                      <w:u w:val="none"/>
                    </w:rPr>
                    <w:t>洗车平台</w:t>
                  </w:r>
                </w:p>
              </w:tc>
              <w:tc>
                <w:tcPr>
                  <w:tcW w:w="3253" w:type="pct"/>
                  <w:vAlign w:val="center"/>
                </w:tcPr>
                <w:p w14:paraId="38330591">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新建洗车平台30m</w:t>
                  </w:r>
                  <w:r>
                    <w:rPr>
                      <w:rFonts w:hint="eastAsia" w:ascii="Times New Roman"/>
                      <w:b w:val="0"/>
                      <w:bCs/>
                      <w:szCs w:val="21"/>
                      <w:u w:val="none"/>
                      <w:vertAlign w:val="superscript"/>
                    </w:rPr>
                    <w:t>2</w:t>
                  </w:r>
                  <w:r>
                    <w:rPr>
                      <w:rFonts w:hint="eastAsia" w:ascii="Times New Roman"/>
                      <w:b w:val="0"/>
                      <w:bCs/>
                      <w:szCs w:val="21"/>
                      <w:u w:val="none"/>
                    </w:rPr>
                    <w:t>，位于仓储大棚入口处，配置1台高压水枪对运输车辆车轮及车身进行冲洗</w:t>
                  </w:r>
                </w:p>
              </w:tc>
              <w:tc>
                <w:tcPr>
                  <w:tcW w:w="408" w:type="pct"/>
                  <w:vAlign w:val="center"/>
                </w:tcPr>
                <w:p w14:paraId="3187B570">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2DB019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454" w:type="pct"/>
                  <w:vMerge w:val="restart"/>
                  <w:vAlign w:val="center"/>
                </w:tcPr>
                <w:p w14:paraId="6E7943E0">
                  <w:pPr>
                    <w:pStyle w:val="91"/>
                    <w:wordWrap w:val="0"/>
                    <w:spacing w:beforeLines="0" w:afterLines="0" w:line="240" w:lineRule="auto"/>
                    <w:rPr>
                      <w:rFonts w:ascii="Times New Roman"/>
                      <w:b w:val="0"/>
                      <w:bCs/>
                      <w:szCs w:val="21"/>
                      <w:u w:val="none"/>
                    </w:rPr>
                  </w:pPr>
                  <w:r>
                    <w:rPr>
                      <w:rFonts w:hint="eastAsia" w:ascii="Times New Roman"/>
                      <w:b w:val="0"/>
                      <w:bCs/>
                      <w:szCs w:val="21"/>
                      <w:u w:val="none"/>
                    </w:rPr>
                    <w:t>辅助工程</w:t>
                  </w:r>
                </w:p>
              </w:tc>
              <w:tc>
                <w:tcPr>
                  <w:tcW w:w="884" w:type="pct"/>
                  <w:gridSpan w:val="2"/>
                  <w:vAlign w:val="center"/>
                </w:tcPr>
                <w:p w14:paraId="0A69309A">
                  <w:pPr>
                    <w:pStyle w:val="91"/>
                    <w:wordWrap w:val="0"/>
                    <w:spacing w:beforeLines="0" w:afterLines="0" w:line="240" w:lineRule="auto"/>
                    <w:rPr>
                      <w:rFonts w:ascii="Times New Roman"/>
                      <w:b w:val="0"/>
                      <w:bCs/>
                      <w:szCs w:val="21"/>
                      <w:u w:val="none"/>
                    </w:rPr>
                  </w:pPr>
                  <w:r>
                    <w:rPr>
                      <w:rFonts w:hint="eastAsia" w:ascii="Times New Roman"/>
                      <w:b w:val="0"/>
                      <w:bCs/>
                      <w:szCs w:val="21"/>
                      <w:u w:val="none"/>
                    </w:rPr>
                    <w:t>地磅</w:t>
                  </w:r>
                </w:p>
              </w:tc>
              <w:tc>
                <w:tcPr>
                  <w:tcW w:w="3253" w:type="pct"/>
                  <w:vAlign w:val="center"/>
                </w:tcPr>
                <w:p w14:paraId="75F1BA1F">
                  <w:pPr>
                    <w:pStyle w:val="91"/>
                    <w:wordWrap w:val="0"/>
                    <w:spacing w:beforeLines="0" w:afterLines="0" w:line="240" w:lineRule="auto"/>
                    <w:rPr>
                      <w:rFonts w:ascii="Times New Roman"/>
                      <w:b w:val="0"/>
                      <w:bCs/>
                      <w:szCs w:val="21"/>
                      <w:u w:val="none"/>
                    </w:rPr>
                  </w:pPr>
                  <w:r>
                    <w:rPr>
                      <w:rFonts w:hint="eastAsia" w:ascii="Times New Roman"/>
                      <w:b w:val="0"/>
                      <w:bCs/>
                      <w:szCs w:val="21"/>
                      <w:u w:val="none"/>
                    </w:rPr>
                    <w:t>依托一期工程已建设的地磅，位于本项目出入口西侧，占地面积约52.5m</w:t>
                  </w:r>
                  <w:r>
                    <w:rPr>
                      <w:rFonts w:hint="eastAsia" w:ascii="Times New Roman"/>
                      <w:b w:val="0"/>
                      <w:bCs/>
                      <w:szCs w:val="21"/>
                      <w:u w:val="none"/>
                      <w:vertAlign w:val="superscript"/>
                    </w:rPr>
                    <w:t>2</w:t>
                  </w:r>
                  <w:r>
                    <w:rPr>
                      <w:rFonts w:hint="eastAsia" w:ascii="Times New Roman"/>
                      <w:b w:val="0"/>
                      <w:bCs/>
                      <w:szCs w:val="21"/>
                      <w:u w:val="none"/>
                    </w:rPr>
                    <w:t>，用于车辆过磅。</w:t>
                  </w:r>
                </w:p>
              </w:tc>
              <w:tc>
                <w:tcPr>
                  <w:tcW w:w="408" w:type="pct"/>
                  <w:vAlign w:val="center"/>
                </w:tcPr>
                <w:p w14:paraId="0FEA7A79">
                  <w:pPr>
                    <w:pStyle w:val="91"/>
                    <w:wordWrap w:val="0"/>
                    <w:spacing w:beforeLines="0" w:afterLines="0" w:line="240" w:lineRule="auto"/>
                    <w:rPr>
                      <w:rFonts w:ascii="Times New Roman"/>
                      <w:b w:val="0"/>
                      <w:bCs/>
                      <w:szCs w:val="21"/>
                      <w:u w:val="none"/>
                    </w:rPr>
                  </w:pPr>
                  <w:r>
                    <w:rPr>
                      <w:rFonts w:hint="eastAsia" w:ascii="Times New Roman"/>
                      <w:b w:val="0"/>
                      <w:bCs/>
                      <w:szCs w:val="21"/>
                      <w:u w:val="none"/>
                    </w:rPr>
                    <w:t>依托</w:t>
                  </w:r>
                </w:p>
              </w:tc>
            </w:tr>
            <w:tr w14:paraId="33D63B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54" w:type="pct"/>
                  <w:vMerge w:val="continue"/>
                  <w:vAlign w:val="center"/>
                </w:tcPr>
                <w:p w14:paraId="72F0166E">
                  <w:pPr>
                    <w:pStyle w:val="91"/>
                    <w:wordWrap w:val="0"/>
                    <w:spacing w:beforeLines="0" w:after="24" w:line="240" w:lineRule="auto"/>
                    <w:rPr>
                      <w:rFonts w:ascii="Times New Roman"/>
                      <w:b w:val="0"/>
                      <w:bCs/>
                      <w:szCs w:val="21"/>
                      <w:u w:val="none"/>
                    </w:rPr>
                  </w:pPr>
                </w:p>
              </w:tc>
              <w:tc>
                <w:tcPr>
                  <w:tcW w:w="884" w:type="pct"/>
                  <w:gridSpan w:val="2"/>
                  <w:vAlign w:val="center"/>
                </w:tcPr>
                <w:p w14:paraId="0B92B9C1">
                  <w:pPr>
                    <w:pStyle w:val="91"/>
                    <w:wordWrap w:val="0"/>
                    <w:spacing w:beforeLines="0" w:afterLines="0" w:line="240" w:lineRule="auto"/>
                    <w:rPr>
                      <w:rFonts w:ascii="Times New Roman"/>
                      <w:b w:val="0"/>
                      <w:bCs/>
                      <w:szCs w:val="21"/>
                      <w:u w:val="none"/>
                    </w:rPr>
                  </w:pPr>
                  <w:r>
                    <w:rPr>
                      <w:rFonts w:hint="eastAsia" w:ascii="Times New Roman"/>
                      <w:b w:val="0"/>
                      <w:bCs/>
                      <w:szCs w:val="21"/>
                      <w:u w:val="none"/>
                    </w:rPr>
                    <w:t>办公生活区</w:t>
                  </w:r>
                </w:p>
              </w:tc>
              <w:tc>
                <w:tcPr>
                  <w:tcW w:w="3253" w:type="pct"/>
                  <w:vAlign w:val="center"/>
                </w:tcPr>
                <w:p w14:paraId="2973B4A5">
                  <w:pPr>
                    <w:pStyle w:val="91"/>
                    <w:wordWrap w:val="0"/>
                    <w:spacing w:before="24" w:afterLines="0" w:line="240" w:lineRule="auto"/>
                    <w:rPr>
                      <w:rFonts w:ascii="Times New Roman"/>
                      <w:b w:val="0"/>
                      <w:bCs/>
                      <w:szCs w:val="21"/>
                      <w:u w:val="none"/>
                    </w:rPr>
                  </w:pPr>
                  <w:r>
                    <w:rPr>
                      <w:rFonts w:hint="eastAsia" w:ascii="Times New Roman"/>
                      <w:b w:val="0"/>
                      <w:bCs/>
                      <w:kern w:val="2"/>
                      <w:szCs w:val="21"/>
                      <w:u w:val="none"/>
                    </w:rPr>
                    <w:t>占地面积约1000m</w:t>
                  </w:r>
                  <w:r>
                    <w:rPr>
                      <w:rFonts w:hint="eastAsia" w:ascii="Times New Roman"/>
                      <w:b w:val="0"/>
                      <w:bCs/>
                      <w:kern w:val="2"/>
                      <w:szCs w:val="21"/>
                      <w:u w:val="none"/>
                      <w:vertAlign w:val="superscript"/>
                    </w:rPr>
                    <w:t>2</w:t>
                  </w:r>
                  <w:r>
                    <w:rPr>
                      <w:rFonts w:ascii="Times New Roman"/>
                      <w:b w:val="0"/>
                      <w:bCs/>
                      <w:szCs w:val="21"/>
                      <w:u w:val="none"/>
                    </w:rPr>
                    <w:t>，</w:t>
                  </w:r>
                  <w:r>
                    <w:rPr>
                      <w:rFonts w:hint="eastAsia" w:ascii="Times New Roman"/>
                      <w:b w:val="0"/>
                      <w:bCs/>
                      <w:szCs w:val="21"/>
                      <w:u w:val="none"/>
                    </w:rPr>
                    <w:t>布置办公楼（含值班人员宿舍）、食堂，一层砖混结构</w:t>
                  </w:r>
                </w:p>
              </w:tc>
              <w:tc>
                <w:tcPr>
                  <w:tcW w:w="408" w:type="pct"/>
                  <w:vAlign w:val="center"/>
                </w:tcPr>
                <w:p w14:paraId="23A5908B">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68572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atLeast"/>
              </w:trPr>
              <w:tc>
                <w:tcPr>
                  <w:tcW w:w="454" w:type="pct"/>
                  <w:vMerge w:val="continue"/>
                  <w:vAlign w:val="center"/>
                </w:tcPr>
                <w:p w14:paraId="35B0ED9B">
                  <w:pPr>
                    <w:pStyle w:val="91"/>
                    <w:wordWrap w:val="0"/>
                    <w:spacing w:beforeLines="0" w:after="24" w:line="240" w:lineRule="auto"/>
                    <w:rPr>
                      <w:rFonts w:ascii="Times New Roman"/>
                      <w:b w:val="0"/>
                      <w:bCs/>
                      <w:szCs w:val="21"/>
                      <w:u w:val="none"/>
                    </w:rPr>
                  </w:pPr>
                </w:p>
              </w:tc>
              <w:tc>
                <w:tcPr>
                  <w:tcW w:w="884" w:type="pct"/>
                  <w:gridSpan w:val="2"/>
                  <w:vAlign w:val="center"/>
                </w:tcPr>
                <w:p w14:paraId="1A36DBC2">
                  <w:pPr>
                    <w:pStyle w:val="91"/>
                    <w:wordWrap w:val="0"/>
                    <w:spacing w:beforeLines="0" w:after="24" w:line="240" w:lineRule="auto"/>
                    <w:rPr>
                      <w:rFonts w:ascii="Times New Roman"/>
                      <w:b w:val="0"/>
                      <w:bCs/>
                      <w:szCs w:val="21"/>
                      <w:u w:val="none"/>
                    </w:rPr>
                  </w:pPr>
                  <w:r>
                    <w:rPr>
                      <w:rFonts w:hint="eastAsia" w:ascii="Times New Roman"/>
                      <w:b w:val="0"/>
                      <w:bCs/>
                      <w:szCs w:val="21"/>
                      <w:u w:val="none"/>
                    </w:rPr>
                    <w:t>配电房</w:t>
                  </w:r>
                </w:p>
              </w:tc>
              <w:tc>
                <w:tcPr>
                  <w:tcW w:w="3253" w:type="pct"/>
                  <w:vAlign w:val="center"/>
                </w:tcPr>
                <w:p w14:paraId="18F448B7">
                  <w:pPr>
                    <w:pStyle w:val="91"/>
                    <w:wordWrap w:val="0"/>
                    <w:spacing w:beforeLines="0" w:afterLines="0" w:line="240" w:lineRule="auto"/>
                    <w:rPr>
                      <w:rFonts w:ascii="Times New Roman"/>
                      <w:b w:val="0"/>
                      <w:bCs/>
                      <w:kern w:val="2"/>
                      <w:szCs w:val="21"/>
                      <w:u w:val="none"/>
                    </w:rPr>
                  </w:pPr>
                  <w:r>
                    <w:rPr>
                      <w:rFonts w:hint="eastAsia" w:ascii="Times New Roman"/>
                      <w:b w:val="0"/>
                      <w:bCs/>
                      <w:szCs w:val="21"/>
                      <w:u w:val="none"/>
                    </w:rPr>
                    <w:t>依托一期工程已建设的配电房，位于本项目西北侧</w:t>
                  </w:r>
                  <w:r>
                    <w:rPr>
                      <w:rFonts w:hint="eastAsia" w:ascii="Times New Roman"/>
                      <w:b w:val="0"/>
                      <w:bCs/>
                      <w:kern w:val="2"/>
                      <w:szCs w:val="21"/>
                      <w:u w:val="none"/>
                    </w:rPr>
                    <w:t>，占地面积约10m</w:t>
                  </w:r>
                  <w:r>
                    <w:rPr>
                      <w:rFonts w:hint="eastAsia" w:ascii="Times New Roman"/>
                      <w:b w:val="0"/>
                      <w:bCs/>
                      <w:kern w:val="2"/>
                      <w:szCs w:val="21"/>
                      <w:u w:val="none"/>
                      <w:vertAlign w:val="superscript"/>
                    </w:rPr>
                    <w:t>2</w:t>
                  </w:r>
                </w:p>
              </w:tc>
              <w:tc>
                <w:tcPr>
                  <w:tcW w:w="408" w:type="pct"/>
                  <w:vAlign w:val="center"/>
                </w:tcPr>
                <w:p w14:paraId="1B550D6B">
                  <w:pPr>
                    <w:pStyle w:val="91"/>
                    <w:wordWrap w:val="0"/>
                    <w:spacing w:beforeLines="0" w:afterLines="0" w:line="240" w:lineRule="auto"/>
                    <w:rPr>
                      <w:rFonts w:ascii="Times New Roman"/>
                      <w:b w:val="0"/>
                      <w:bCs/>
                      <w:szCs w:val="21"/>
                      <w:u w:val="none"/>
                    </w:rPr>
                  </w:pPr>
                  <w:r>
                    <w:rPr>
                      <w:rFonts w:hint="eastAsia" w:ascii="Times New Roman"/>
                      <w:b w:val="0"/>
                      <w:bCs/>
                      <w:szCs w:val="21"/>
                      <w:u w:val="none"/>
                    </w:rPr>
                    <w:t>依托</w:t>
                  </w:r>
                </w:p>
              </w:tc>
            </w:tr>
            <w:tr w14:paraId="7CC3A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trPr>
              <w:tc>
                <w:tcPr>
                  <w:tcW w:w="454" w:type="pct"/>
                  <w:vMerge w:val="restart"/>
                  <w:vAlign w:val="center"/>
                </w:tcPr>
                <w:p w14:paraId="10F84986">
                  <w:pPr>
                    <w:pStyle w:val="91"/>
                    <w:wordWrap w:val="0"/>
                    <w:spacing w:beforeLines="0" w:after="24" w:line="240" w:lineRule="auto"/>
                    <w:rPr>
                      <w:rFonts w:ascii="Times New Roman"/>
                      <w:b w:val="0"/>
                      <w:bCs/>
                      <w:szCs w:val="21"/>
                      <w:u w:val="none"/>
                    </w:rPr>
                  </w:pPr>
                  <w:r>
                    <w:rPr>
                      <w:rFonts w:hint="eastAsia" w:ascii="Times New Roman"/>
                      <w:b w:val="0"/>
                      <w:bCs/>
                      <w:szCs w:val="21"/>
                      <w:u w:val="none"/>
                    </w:rPr>
                    <w:t>公用工程</w:t>
                  </w:r>
                </w:p>
              </w:tc>
              <w:tc>
                <w:tcPr>
                  <w:tcW w:w="884" w:type="pct"/>
                  <w:gridSpan w:val="2"/>
                  <w:vAlign w:val="center"/>
                </w:tcPr>
                <w:p w14:paraId="0733D356">
                  <w:pPr>
                    <w:pStyle w:val="91"/>
                    <w:wordWrap w:val="0"/>
                    <w:spacing w:beforeLines="0" w:after="24" w:line="240" w:lineRule="auto"/>
                    <w:rPr>
                      <w:rFonts w:ascii="Times New Roman"/>
                      <w:b w:val="0"/>
                      <w:bCs/>
                      <w:szCs w:val="21"/>
                      <w:u w:val="none"/>
                    </w:rPr>
                  </w:pPr>
                  <w:r>
                    <w:rPr>
                      <w:rFonts w:hint="eastAsia" w:ascii="Times New Roman"/>
                      <w:b w:val="0"/>
                      <w:bCs/>
                      <w:szCs w:val="21"/>
                      <w:u w:val="none"/>
                    </w:rPr>
                    <w:t>供电</w:t>
                  </w:r>
                </w:p>
              </w:tc>
              <w:tc>
                <w:tcPr>
                  <w:tcW w:w="3253" w:type="pct"/>
                  <w:vAlign w:val="center"/>
                </w:tcPr>
                <w:p w14:paraId="15A8AB4E">
                  <w:pPr>
                    <w:pStyle w:val="91"/>
                    <w:wordWrap w:val="0"/>
                    <w:spacing w:beforeLines="0" w:afterLines="0" w:line="240" w:lineRule="auto"/>
                    <w:rPr>
                      <w:rFonts w:ascii="Times New Roman"/>
                      <w:b w:val="0"/>
                      <w:bCs/>
                      <w:szCs w:val="21"/>
                      <w:u w:val="none"/>
                    </w:rPr>
                  </w:pPr>
                  <w:r>
                    <w:rPr>
                      <w:rFonts w:ascii="Times New Roman"/>
                      <w:b w:val="0"/>
                      <w:bCs/>
                      <w:szCs w:val="21"/>
                      <w:u w:val="none"/>
                    </w:rPr>
                    <w:t>由</w:t>
                  </w:r>
                  <w:r>
                    <w:rPr>
                      <w:rFonts w:hint="eastAsia" w:ascii="Times New Roman"/>
                      <w:b w:val="0"/>
                      <w:bCs/>
                      <w:szCs w:val="21"/>
                      <w:u w:val="none"/>
                    </w:rPr>
                    <w:t>工业园区电网引入</w:t>
                  </w:r>
                </w:p>
              </w:tc>
              <w:tc>
                <w:tcPr>
                  <w:tcW w:w="408" w:type="pct"/>
                  <w:vAlign w:val="center"/>
                </w:tcPr>
                <w:p w14:paraId="135D843B">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158F0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454" w:type="pct"/>
                  <w:vMerge w:val="continue"/>
                  <w:vAlign w:val="center"/>
                </w:tcPr>
                <w:p w14:paraId="3736BC8D">
                  <w:pPr>
                    <w:pStyle w:val="91"/>
                    <w:wordWrap w:val="0"/>
                    <w:spacing w:beforeLines="0" w:after="24" w:line="240" w:lineRule="auto"/>
                    <w:rPr>
                      <w:rFonts w:ascii="Times New Roman"/>
                      <w:b w:val="0"/>
                      <w:bCs/>
                      <w:szCs w:val="21"/>
                      <w:u w:val="none"/>
                    </w:rPr>
                  </w:pPr>
                </w:p>
              </w:tc>
              <w:tc>
                <w:tcPr>
                  <w:tcW w:w="884" w:type="pct"/>
                  <w:gridSpan w:val="2"/>
                  <w:vAlign w:val="center"/>
                </w:tcPr>
                <w:p w14:paraId="63827B69">
                  <w:pPr>
                    <w:pStyle w:val="91"/>
                    <w:wordWrap w:val="0"/>
                    <w:spacing w:beforeLines="0" w:after="24" w:line="240" w:lineRule="auto"/>
                    <w:rPr>
                      <w:rFonts w:ascii="Times New Roman"/>
                      <w:b w:val="0"/>
                      <w:bCs/>
                      <w:szCs w:val="21"/>
                      <w:u w:val="none"/>
                    </w:rPr>
                  </w:pPr>
                  <w:r>
                    <w:rPr>
                      <w:rFonts w:hint="eastAsia" w:ascii="Times New Roman"/>
                      <w:b w:val="0"/>
                      <w:bCs/>
                      <w:szCs w:val="21"/>
                      <w:u w:val="none"/>
                    </w:rPr>
                    <w:t>供水</w:t>
                  </w:r>
                </w:p>
              </w:tc>
              <w:tc>
                <w:tcPr>
                  <w:tcW w:w="3253" w:type="pct"/>
                  <w:vAlign w:val="center"/>
                </w:tcPr>
                <w:p w14:paraId="3A74A651">
                  <w:pPr>
                    <w:pStyle w:val="91"/>
                    <w:wordWrap w:val="0"/>
                    <w:spacing w:beforeLines="0" w:afterLines="0" w:line="240" w:lineRule="auto"/>
                    <w:rPr>
                      <w:rFonts w:ascii="Times New Roman"/>
                      <w:b w:val="0"/>
                      <w:bCs/>
                      <w:szCs w:val="21"/>
                      <w:u w:val="none"/>
                    </w:rPr>
                  </w:pPr>
                  <w:r>
                    <w:rPr>
                      <w:rFonts w:hint="eastAsia" w:ascii="Times New Roman"/>
                      <w:b w:val="0"/>
                      <w:bCs/>
                      <w:szCs w:val="21"/>
                      <w:u w:val="none"/>
                    </w:rPr>
                    <w:t>由市政给水管网引入</w:t>
                  </w:r>
                </w:p>
              </w:tc>
              <w:tc>
                <w:tcPr>
                  <w:tcW w:w="408" w:type="pct"/>
                  <w:vAlign w:val="center"/>
                </w:tcPr>
                <w:p w14:paraId="32F92E1C">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647322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54" w:type="pct"/>
                  <w:vMerge w:val="continue"/>
                  <w:vAlign w:val="center"/>
                </w:tcPr>
                <w:p w14:paraId="05094ADD">
                  <w:pPr>
                    <w:pStyle w:val="91"/>
                    <w:wordWrap w:val="0"/>
                    <w:spacing w:beforeLines="0" w:after="24" w:line="240" w:lineRule="auto"/>
                    <w:rPr>
                      <w:rFonts w:ascii="Times New Roman"/>
                      <w:b w:val="0"/>
                      <w:bCs/>
                      <w:szCs w:val="21"/>
                      <w:u w:val="none"/>
                    </w:rPr>
                  </w:pPr>
                </w:p>
              </w:tc>
              <w:tc>
                <w:tcPr>
                  <w:tcW w:w="884" w:type="pct"/>
                  <w:gridSpan w:val="2"/>
                  <w:vAlign w:val="center"/>
                </w:tcPr>
                <w:p w14:paraId="1C785D07">
                  <w:pPr>
                    <w:pStyle w:val="91"/>
                    <w:wordWrap w:val="0"/>
                    <w:spacing w:beforeLines="0" w:after="24" w:line="240" w:lineRule="auto"/>
                    <w:rPr>
                      <w:rFonts w:ascii="Times New Roman"/>
                      <w:b w:val="0"/>
                      <w:bCs/>
                      <w:szCs w:val="21"/>
                      <w:u w:val="none"/>
                    </w:rPr>
                  </w:pPr>
                  <w:r>
                    <w:rPr>
                      <w:rFonts w:hint="eastAsia" w:ascii="Times New Roman"/>
                      <w:b w:val="0"/>
                      <w:bCs/>
                      <w:szCs w:val="21"/>
                      <w:u w:val="none"/>
                    </w:rPr>
                    <w:t>排水</w:t>
                  </w:r>
                </w:p>
              </w:tc>
              <w:tc>
                <w:tcPr>
                  <w:tcW w:w="3253" w:type="pct"/>
                  <w:vAlign w:val="center"/>
                </w:tcPr>
                <w:p w14:paraId="45035C2F">
                  <w:pPr>
                    <w:pStyle w:val="91"/>
                    <w:wordWrap w:val="0"/>
                    <w:spacing w:before="24" w:afterLines="0" w:line="240" w:lineRule="auto"/>
                    <w:rPr>
                      <w:rFonts w:ascii="Times New Roman"/>
                      <w:b w:val="0"/>
                      <w:bCs/>
                      <w:szCs w:val="21"/>
                      <w:u w:val="none"/>
                    </w:rPr>
                  </w:pPr>
                  <w:r>
                    <w:rPr>
                      <w:rFonts w:hint="eastAsia" w:ascii="Times New Roman"/>
                      <w:b w:val="0"/>
                      <w:bCs/>
                      <w:szCs w:val="21"/>
                      <w:u w:val="none"/>
                    </w:rPr>
                    <w:t>办公生活区新建1个5m</w:t>
                  </w:r>
                  <w:r>
                    <w:rPr>
                      <w:rFonts w:hint="eastAsia" w:ascii="Times New Roman"/>
                      <w:b w:val="0"/>
                      <w:bCs/>
                      <w:szCs w:val="21"/>
                      <w:u w:val="none"/>
                      <w:vertAlign w:val="superscript"/>
                    </w:rPr>
                    <w:t>3</w:t>
                  </w:r>
                  <w:r>
                    <w:rPr>
                      <w:rFonts w:hint="eastAsia" w:ascii="Times New Roman"/>
                      <w:b w:val="0"/>
                      <w:bCs/>
                      <w:szCs w:val="21"/>
                      <w:u w:val="none"/>
                    </w:rPr>
                    <w:t>化粪池，</w:t>
                  </w:r>
                  <w:r>
                    <w:rPr>
                      <w:rFonts w:ascii="Times New Roman"/>
                      <w:b w:val="0"/>
                      <w:bCs/>
                      <w:szCs w:val="21"/>
                      <w:u w:val="none"/>
                    </w:rPr>
                    <w:t>职工办公生活污水经化粪池处理后排入1套处理能力为1m</w:t>
                  </w:r>
                  <w:r>
                    <w:rPr>
                      <w:rFonts w:ascii="Times New Roman"/>
                      <w:b w:val="0"/>
                      <w:bCs/>
                      <w:szCs w:val="21"/>
                      <w:u w:val="none"/>
                      <w:vertAlign w:val="superscript"/>
                    </w:rPr>
                    <w:t>3</w:t>
                  </w:r>
                  <w:r>
                    <w:rPr>
                      <w:rFonts w:ascii="Times New Roman"/>
                      <w:b w:val="0"/>
                      <w:bCs/>
                      <w:szCs w:val="21"/>
                      <w:u w:val="none"/>
                    </w:rPr>
                    <w:t>/d的一体化污水处理站处理</w:t>
                  </w:r>
                  <w:r>
                    <w:rPr>
                      <w:rFonts w:ascii="Times New Roman"/>
                      <w:b w:val="0"/>
                      <w:bCs/>
                      <w:szCs w:val="21"/>
                      <w:u w:val="none"/>
                      <w:lang w:val="zh-TW"/>
                    </w:rPr>
                    <w:t>，处理达</w:t>
                  </w:r>
                  <w:r>
                    <w:rPr>
                      <w:rFonts w:ascii="Times New Roman"/>
                      <w:b w:val="0"/>
                      <w:bCs/>
                      <w:szCs w:val="21"/>
                      <w:u w:val="none"/>
                    </w:rPr>
                    <w:t>到</w:t>
                  </w:r>
                  <w:r>
                    <w:rPr>
                      <w:rFonts w:ascii="Times New Roman"/>
                      <w:b w:val="0"/>
                      <w:bCs/>
                      <w:u w:val="none"/>
                      <w:lang w:val="zh-TW"/>
                    </w:rPr>
                    <w:t>《农田灌溉水质标准》（GB5084-2021）中蔬菜标准限值后，采用密闭运输工具清运用于周边旱地、种植基地及菜地灌溉</w:t>
                  </w:r>
                  <w:r>
                    <w:rPr>
                      <w:rFonts w:ascii="Times New Roman"/>
                      <w:b w:val="0"/>
                      <w:bCs/>
                      <w:szCs w:val="21"/>
                      <w:u w:val="none"/>
                    </w:rPr>
                    <w:t>。</w:t>
                  </w:r>
                  <w:r>
                    <w:rPr>
                      <w:rFonts w:hint="eastAsia" w:ascii="Times New Roman"/>
                      <w:b w:val="0"/>
                      <w:bCs/>
                      <w:szCs w:val="21"/>
                      <w:u w:val="none"/>
                    </w:rPr>
                    <w:t>大棚表面清洁雨水经集雨槽和排水管收集后进入雨污水收集池，经沉淀后回用于大棚喷雾降尘、车辆清洗；车辆清洗废水经沉淀处理后循环利用不外排；场地雨污水经场地雨污水收集池收集沉淀后回用于大棚喷雾降尘、车辆清洗。</w:t>
                  </w:r>
                </w:p>
              </w:tc>
              <w:tc>
                <w:tcPr>
                  <w:tcW w:w="408" w:type="pct"/>
                  <w:vAlign w:val="center"/>
                </w:tcPr>
                <w:p w14:paraId="33E5370B">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27692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54" w:type="pct"/>
                  <w:vMerge w:val="restart"/>
                  <w:vAlign w:val="center"/>
                </w:tcPr>
                <w:p w14:paraId="5B3FF578">
                  <w:pPr>
                    <w:pStyle w:val="91"/>
                    <w:wordWrap w:val="0"/>
                    <w:spacing w:before="24" w:after="24" w:line="240" w:lineRule="auto"/>
                    <w:rPr>
                      <w:rFonts w:ascii="Times New Roman"/>
                      <w:b w:val="0"/>
                      <w:bCs/>
                      <w:szCs w:val="21"/>
                      <w:u w:val="none"/>
                    </w:rPr>
                  </w:pPr>
                  <w:r>
                    <w:rPr>
                      <w:rFonts w:ascii="Times New Roman"/>
                      <w:b w:val="0"/>
                      <w:bCs/>
                      <w:szCs w:val="21"/>
                      <w:u w:val="none"/>
                    </w:rPr>
                    <w:t>环保</w:t>
                  </w:r>
                </w:p>
                <w:p w14:paraId="3B6393E5">
                  <w:pPr>
                    <w:pStyle w:val="91"/>
                    <w:wordWrap w:val="0"/>
                    <w:spacing w:before="24" w:after="24" w:line="240" w:lineRule="auto"/>
                    <w:rPr>
                      <w:rFonts w:ascii="Times New Roman"/>
                      <w:b w:val="0"/>
                      <w:bCs/>
                      <w:szCs w:val="21"/>
                      <w:u w:val="none"/>
                    </w:rPr>
                  </w:pPr>
                  <w:r>
                    <w:rPr>
                      <w:rFonts w:ascii="Times New Roman"/>
                      <w:b w:val="0"/>
                      <w:bCs/>
                      <w:szCs w:val="21"/>
                      <w:u w:val="none"/>
                    </w:rPr>
                    <w:t>工程</w:t>
                  </w:r>
                </w:p>
              </w:tc>
              <w:tc>
                <w:tcPr>
                  <w:tcW w:w="263" w:type="pct"/>
                  <w:vMerge w:val="restart"/>
                  <w:tcBorders>
                    <w:right w:val="single" w:color="auto" w:sz="4" w:space="0"/>
                  </w:tcBorders>
                  <w:vAlign w:val="center"/>
                </w:tcPr>
                <w:p w14:paraId="689F2ED1">
                  <w:pPr>
                    <w:pStyle w:val="91"/>
                    <w:wordWrap w:val="0"/>
                    <w:spacing w:before="24" w:after="24" w:line="240" w:lineRule="auto"/>
                    <w:rPr>
                      <w:rFonts w:ascii="Times New Roman"/>
                      <w:b w:val="0"/>
                      <w:bCs/>
                      <w:szCs w:val="21"/>
                      <w:u w:val="none"/>
                    </w:rPr>
                  </w:pPr>
                  <w:r>
                    <w:rPr>
                      <w:rFonts w:hint="eastAsia" w:ascii="Times New Roman"/>
                      <w:b w:val="0"/>
                      <w:bCs/>
                      <w:szCs w:val="21"/>
                      <w:u w:val="none"/>
                    </w:rPr>
                    <w:t>废气</w:t>
                  </w:r>
                </w:p>
              </w:tc>
              <w:tc>
                <w:tcPr>
                  <w:tcW w:w="620" w:type="pct"/>
                  <w:tcBorders>
                    <w:left w:val="single" w:color="auto" w:sz="4" w:space="0"/>
                  </w:tcBorders>
                  <w:vAlign w:val="center"/>
                </w:tcPr>
                <w:p w14:paraId="5D353C97">
                  <w:pPr>
                    <w:pStyle w:val="91"/>
                    <w:wordWrap w:val="0"/>
                    <w:spacing w:before="24" w:after="24" w:line="240" w:lineRule="auto"/>
                    <w:rPr>
                      <w:rFonts w:ascii="Times New Roman"/>
                      <w:b w:val="0"/>
                      <w:bCs/>
                      <w:szCs w:val="21"/>
                      <w:u w:val="none"/>
                    </w:rPr>
                  </w:pPr>
                  <w:r>
                    <w:rPr>
                      <w:rFonts w:hint="eastAsia" w:ascii="Times New Roman"/>
                      <w:b w:val="0"/>
                      <w:bCs/>
                      <w:szCs w:val="21"/>
                      <w:u w:val="none"/>
                    </w:rPr>
                    <w:t>卸料粉尘防治措施</w:t>
                  </w:r>
                </w:p>
              </w:tc>
              <w:tc>
                <w:tcPr>
                  <w:tcW w:w="3253" w:type="pct"/>
                  <w:vAlign w:val="center"/>
                </w:tcPr>
                <w:p w14:paraId="6566E609">
                  <w:pPr>
                    <w:pStyle w:val="91"/>
                    <w:wordWrap w:val="0"/>
                    <w:spacing w:beforeLines="0" w:afterLines="0" w:line="240" w:lineRule="auto"/>
                    <w:rPr>
                      <w:rFonts w:ascii="Times New Roman"/>
                      <w:b w:val="0"/>
                      <w:bCs/>
                      <w:szCs w:val="21"/>
                      <w:u w:val="none"/>
                    </w:rPr>
                  </w:pPr>
                  <w:r>
                    <w:rPr>
                      <w:rFonts w:hint="eastAsia" w:ascii="Times New Roman"/>
                      <w:b w:val="0"/>
                      <w:bCs/>
                      <w:szCs w:val="21"/>
                      <w:u w:val="none"/>
                    </w:rPr>
                    <w:t>卸料在封闭大棚内进行，大棚顶部配套建设覆盖全场的喷雾洒水抑尘系统</w:t>
                  </w:r>
                </w:p>
              </w:tc>
              <w:tc>
                <w:tcPr>
                  <w:tcW w:w="408" w:type="pct"/>
                  <w:vAlign w:val="center"/>
                </w:tcPr>
                <w:p w14:paraId="3CB671A6">
                  <w:pPr>
                    <w:pStyle w:val="91"/>
                    <w:wordWrap w:val="0"/>
                    <w:spacing w:beforeLines="0" w:afterLines="0" w:line="240" w:lineRule="auto"/>
                    <w:rPr>
                      <w:rFonts w:ascii="Times New Roman"/>
                      <w:b w:val="0"/>
                      <w:bCs/>
                      <w:szCs w:val="21"/>
                      <w:u w:val="none"/>
                    </w:rPr>
                  </w:pPr>
                  <w:r>
                    <w:rPr>
                      <w:rFonts w:ascii="Times New Roman"/>
                      <w:b w:val="0"/>
                      <w:bCs/>
                      <w:szCs w:val="21"/>
                      <w:u w:val="none"/>
                    </w:rPr>
                    <w:t>新建</w:t>
                  </w:r>
                </w:p>
              </w:tc>
            </w:tr>
            <w:tr w14:paraId="58E900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54" w:type="pct"/>
                  <w:vMerge w:val="continue"/>
                  <w:vAlign w:val="center"/>
                </w:tcPr>
                <w:p w14:paraId="24F61D36">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22ACD60E">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048206BA">
                  <w:pPr>
                    <w:pStyle w:val="91"/>
                    <w:wordWrap w:val="0"/>
                    <w:spacing w:before="24" w:after="24" w:line="240" w:lineRule="auto"/>
                    <w:rPr>
                      <w:rFonts w:ascii="Times New Roman"/>
                      <w:b w:val="0"/>
                      <w:bCs/>
                      <w:szCs w:val="21"/>
                      <w:u w:val="none"/>
                    </w:rPr>
                  </w:pPr>
                  <w:r>
                    <w:rPr>
                      <w:rFonts w:hint="eastAsia" w:ascii="Times New Roman"/>
                      <w:b w:val="0"/>
                      <w:bCs/>
                      <w:szCs w:val="21"/>
                      <w:u w:val="none"/>
                    </w:rPr>
                    <w:t>磷矿堆场</w:t>
                  </w:r>
                  <w:r>
                    <w:rPr>
                      <w:rFonts w:hint="eastAsia" w:ascii="Times New Roman"/>
                      <w:b w:val="0"/>
                      <w:bCs/>
                      <w:szCs w:val="21"/>
                      <w:u w:val="thick" w:color="FFB03A"/>
                      <w:shd w:val="clear" w:fill="FFEFD7"/>
                    </w:rPr>
                    <w:t>扬尘</w:t>
                  </w:r>
                  <w:r>
                    <w:rPr>
                      <w:rFonts w:hint="eastAsia" w:ascii="Times New Roman"/>
                      <w:b w:val="0"/>
                      <w:bCs/>
                      <w:szCs w:val="21"/>
                      <w:u w:val="none"/>
                    </w:rPr>
                    <w:t>防治措施</w:t>
                  </w:r>
                </w:p>
              </w:tc>
              <w:tc>
                <w:tcPr>
                  <w:tcW w:w="3253" w:type="pct"/>
                  <w:vAlign w:val="center"/>
                </w:tcPr>
                <w:p w14:paraId="5BAB90F6">
                  <w:pPr>
                    <w:pStyle w:val="91"/>
                    <w:wordWrap w:val="0"/>
                    <w:spacing w:beforeLines="0" w:afterLines="0" w:line="240" w:lineRule="auto"/>
                    <w:rPr>
                      <w:rFonts w:ascii="Times New Roman"/>
                      <w:b w:val="0"/>
                      <w:bCs/>
                      <w:szCs w:val="21"/>
                      <w:u w:val="none"/>
                    </w:rPr>
                  </w:pPr>
                  <w:r>
                    <w:rPr>
                      <w:rFonts w:hint="eastAsia" w:ascii="Times New Roman"/>
                      <w:b w:val="0"/>
                      <w:bCs/>
                      <w:szCs w:val="21"/>
                      <w:u w:val="none"/>
                    </w:rPr>
                    <w:t>磷矿堆存于封闭彩钢瓦大棚内，大棚顶部配套建设覆盖全场的喷雾洒水抑尘系统，定时洒水降尘</w:t>
                  </w:r>
                </w:p>
              </w:tc>
              <w:tc>
                <w:tcPr>
                  <w:tcW w:w="408" w:type="pct"/>
                  <w:vAlign w:val="center"/>
                </w:tcPr>
                <w:p w14:paraId="6BCCBD0D">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78628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454" w:type="pct"/>
                  <w:vMerge w:val="continue"/>
                  <w:vAlign w:val="center"/>
                </w:tcPr>
                <w:p w14:paraId="327D991A">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40ED6E74">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4ACCD689">
                  <w:pPr>
                    <w:pStyle w:val="91"/>
                    <w:wordWrap w:val="0"/>
                    <w:spacing w:before="24" w:after="24" w:line="240" w:lineRule="auto"/>
                    <w:rPr>
                      <w:rFonts w:ascii="Times New Roman"/>
                      <w:b w:val="0"/>
                      <w:bCs/>
                      <w:szCs w:val="21"/>
                      <w:u w:val="none"/>
                    </w:rPr>
                  </w:pPr>
                  <w:r>
                    <w:rPr>
                      <w:rFonts w:hint="eastAsia" w:ascii="Times New Roman"/>
                      <w:b w:val="0"/>
                      <w:bCs/>
                      <w:szCs w:val="21"/>
                      <w:u w:val="none"/>
                    </w:rPr>
                    <w:t>场地扬尘防治措施</w:t>
                  </w:r>
                </w:p>
              </w:tc>
              <w:tc>
                <w:tcPr>
                  <w:tcW w:w="3253" w:type="pct"/>
                  <w:vAlign w:val="center"/>
                </w:tcPr>
                <w:p w14:paraId="35526E7D">
                  <w:pPr>
                    <w:pStyle w:val="91"/>
                    <w:wordWrap w:val="0"/>
                    <w:spacing w:before="24" w:afterLines="0" w:line="240" w:lineRule="auto"/>
                    <w:rPr>
                      <w:rFonts w:ascii="Times New Roman"/>
                      <w:b w:val="0"/>
                      <w:bCs/>
                      <w:szCs w:val="21"/>
                      <w:u w:val="none"/>
                    </w:rPr>
                  </w:pPr>
                  <w:r>
                    <w:rPr>
                      <w:rFonts w:hint="eastAsia" w:ascii="Times New Roman"/>
                      <w:b w:val="0"/>
                      <w:bCs/>
                      <w:szCs w:val="21"/>
                      <w:u w:val="none"/>
                    </w:rPr>
                    <w:t>设置1个洗车平台，对运输车辆车轮及车身进行冲洗，防止车辆带泥上路，车辆运输磷矿采取密闭运输；</w:t>
                  </w:r>
                  <w:r>
                    <w:rPr>
                      <w:rFonts w:hint="eastAsia" w:ascii="Times New Roman"/>
                      <w:b w:val="0"/>
                      <w:bCs/>
                      <w:spacing w:val="-10"/>
                      <w:szCs w:val="21"/>
                      <w:u w:val="none"/>
                    </w:rPr>
                    <w:t>对厂区内地面进行定期洒水、清扫</w:t>
                  </w:r>
                </w:p>
              </w:tc>
              <w:tc>
                <w:tcPr>
                  <w:tcW w:w="408" w:type="pct"/>
                  <w:vAlign w:val="center"/>
                </w:tcPr>
                <w:p w14:paraId="61FE3992">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04D455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3" w:hRule="atLeast"/>
              </w:trPr>
              <w:tc>
                <w:tcPr>
                  <w:tcW w:w="454" w:type="pct"/>
                  <w:vMerge w:val="continue"/>
                  <w:vAlign w:val="center"/>
                </w:tcPr>
                <w:p w14:paraId="6AE7E166">
                  <w:pPr>
                    <w:pStyle w:val="91"/>
                    <w:wordWrap w:val="0"/>
                    <w:spacing w:before="24" w:after="24" w:line="240" w:lineRule="auto"/>
                    <w:rPr>
                      <w:rFonts w:ascii="Times New Roman"/>
                      <w:b w:val="0"/>
                      <w:bCs/>
                      <w:szCs w:val="21"/>
                      <w:u w:val="none"/>
                    </w:rPr>
                  </w:pPr>
                </w:p>
              </w:tc>
              <w:tc>
                <w:tcPr>
                  <w:tcW w:w="263" w:type="pct"/>
                  <w:vMerge w:val="restart"/>
                  <w:tcBorders>
                    <w:right w:val="single" w:color="auto" w:sz="4" w:space="0"/>
                  </w:tcBorders>
                  <w:vAlign w:val="center"/>
                </w:tcPr>
                <w:p w14:paraId="71C77D6F">
                  <w:pPr>
                    <w:pStyle w:val="91"/>
                    <w:wordWrap w:val="0"/>
                    <w:spacing w:before="24" w:after="24" w:line="240" w:lineRule="auto"/>
                    <w:rPr>
                      <w:rFonts w:ascii="Times New Roman"/>
                      <w:b w:val="0"/>
                      <w:bCs/>
                      <w:szCs w:val="21"/>
                      <w:u w:val="none"/>
                    </w:rPr>
                  </w:pPr>
                  <w:r>
                    <w:rPr>
                      <w:rFonts w:hint="eastAsia" w:ascii="Times New Roman"/>
                      <w:b w:val="0"/>
                      <w:bCs/>
                      <w:szCs w:val="21"/>
                      <w:u w:val="none"/>
                    </w:rPr>
                    <w:t>废水</w:t>
                  </w:r>
                </w:p>
              </w:tc>
              <w:tc>
                <w:tcPr>
                  <w:tcW w:w="620" w:type="pct"/>
                  <w:tcBorders>
                    <w:left w:val="single" w:color="auto" w:sz="4" w:space="0"/>
                  </w:tcBorders>
                  <w:vAlign w:val="center"/>
                </w:tcPr>
                <w:p w14:paraId="2D660E0F">
                  <w:pPr>
                    <w:pStyle w:val="91"/>
                    <w:wordWrap w:val="0"/>
                    <w:spacing w:before="24" w:after="24" w:line="240" w:lineRule="auto"/>
                    <w:rPr>
                      <w:rFonts w:ascii="Times New Roman"/>
                      <w:b w:val="0"/>
                      <w:bCs/>
                      <w:szCs w:val="21"/>
                      <w:u w:val="none"/>
                    </w:rPr>
                  </w:pPr>
                  <w:r>
                    <w:rPr>
                      <w:rFonts w:hint="eastAsia" w:ascii="Times New Roman"/>
                      <w:b w:val="0"/>
                      <w:bCs/>
                      <w:szCs w:val="21"/>
                      <w:u w:val="none"/>
                    </w:rPr>
                    <w:t>车辆清洗废水沉淀池</w:t>
                  </w:r>
                </w:p>
              </w:tc>
              <w:tc>
                <w:tcPr>
                  <w:tcW w:w="3253" w:type="pct"/>
                  <w:vAlign w:val="center"/>
                </w:tcPr>
                <w:p w14:paraId="71D9A01A">
                  <w:pPr>
                    <w:pStyle w:val="91"/>
                    <w:wordWrap w:val="0"/>
                    <w:spacing w:beforeLines="0" w:afterLines="0" w:line="240" w:lineRule="auto"/>
                    <w:rPr>
                      <w:rFonts w:ascii="Times New Roman"/>
                      <w:b w:val="0"/>
                      <w:bCs/>
                      <w:szCs w:val="21"/>
                      <w:u w:val="none"/>
                    </w:rPr>
                  </w:pPr>
                  <w:r>
                    <w:rPr>
                      <w:rFonts w:hint="eastAsia" w:ascii="Times New Roman"/>
                      <w:b w:val="0"/>
                      <w:bCs/>
                      <w:szCs w:val="21"/>
                      <w:u w:val="none"/>
                    </w:rPr>
                    <w:t>洗车平台1侧建设1座54m</w:t>
                  </w:r>
                  <w:r>
                    <w:rPr>
                      <w:rFonts w:hint="eastAsia" w:ascii="Times New Roman"/>
                      <w:b w:val="0"/>
                      <w:bCs/>
                      <w:szCs w:val="21"/>
                      <w:u w:val="none"/>
                      <w:vertAlign w:val="superscript"/>
                    </w:rPr>
                    <w:t>3</w:t>
                  </w:r>
                  <w:r>
                    <w:rPr>
                      <w:rFonts w:hint="eastAsia" w:ascii="Times New Roman"/>
                      <w:b w:val="0"/>
                      <w:bCs/>
                      <w:szCs w:val="21"/>
                      <w:u w:val="none"/>
                    </w:rPr>
                    <w:t>的车辆清洗废水沉淀池，池子采用混凝土</w:t>
                  </w:r>
                  <w:r>
                    <w:rPr>
                      <w:rFonts w:ascii="Times New Roman"/>
                      <w:b w:val="0"/>
                      <w:bCs/>
                      <w:szCs w:val="21"/>
                      <w:u w:val="none"/>
                    </w:rPr>
                    <w:t>硬化</w:t>
                  </w:r>
                  <w:r>
                    <w:rPr>
                      <w:rFonts w:hint="eastAsia" w:ascii="Times New Roman"/>
                      <w:b w:val="0"/>
                      <w:bCs/>
                      <w:szCs w:val="21"/>
                      <w:u w:val="none"/>
                    </w:rPr>
                    <w:t>防渗，并配置回用水泵及管道</w:t>
                  </w:r>
                </w:p>
              </w:tc>
              <w:tc>
                <w:tcPr>
                  <w:tcW w:w="408" w:type="pct"/>
                  <w:vAlign w:val="center"/>
                </w:tcPr>
                <w:p w14:paraId="3B1244EF">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723DE9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6" w:hRule="atLeast"/>
              </w:trPr>
              <w:tc>
                <w:tcPr>
                  <w:tcW w:w="454" w:type="pct"/>
                  <w:vMerge w:val="continue"/>
                  <w:vAlign w:val="center"/>
                </w:tcPr>
                <w:p w14:paraId="14B865B9">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40E0FF26">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70222F09">
                  <w:pPr>
                    <w:pStyle w:val="91"/>
                    <w:wordWrap w:val="0"/>
                    <w:spacing w:before="24" w:after="24" w:line="240" w:lineRule="auto"/>
                    <w:rPr>
                      <w:rFonts w:ascii="Times New Roman"/>
                      <w:b w:val="0"/>
                      <w:bCs/>
                      <w:szCs w:val="21"/>
                      <w:u w:val="none"/>
                    </w:rPr>
                  </w:pPr>
                  <w:r>
                    <w:rPr>
                      <w:rFonts w:hint="eastAsia" w:ascii="Times New Roman"/>
                      <w:b w:val="0"/>
                      <w:bCs/>
                      <w:szCs w:val="21"/>
                      <w:u w:val="none"/>
                    </w:rPr>
                    <w:t>雨污分流系统</w:t>
                  </w:r>
                </w:p>
              </w:tc>
              <w:tc>
                <w:tcPr>
                  <w:tcW w:w="3253" w:type="pct"/>
                  <w:vAlign w:val="center"/>
                </w:tcPr>
                <w:p w14:paraId="422DAFBF">
                  <w:pPr>
                    <w:pStyle w:val="91"/>
                    <w:wordWrap w:val="0"/>
                    <w:spacing w:beforeLines="0" w:afterLines="0" w:line="240" w:lineRule="auto"/>
                    <w:rPr>
                      <w:rFonts w:ascii="Times New Roman"/>
                      <w:b w:val="0"/>
                      <w:bCs/>
                      <w:szCs w:val="21"/>
                      <w:u w:val="none"/>
                    </w:rPr>
                  </w:pPr>
                  <w:r>
                    <w:rPr>
                      <w:rFonts w:hint="eastAsia" w:ascii="Times New Roman"/>
                      <w:b w:val="0"/>
                      <w:bCs/>
                      <w:szCs w:val="21"/>
                      <w:u w:val="none"/>
                    </w:rPr>
                    <w:t>1套，大棚设置集雨槽和排水管，场地设置雨污分流系统</w:t>
                  </w:r>
                </w:p>
              </w:tc>
              <w:tc>
                <w:tcPr>
                  <w:tcW w:w="408" w:type="pct"/>
                  <w:vAlign w:val="center"/>
                </w:tcPr>
                <w:p w14:paraId="43D7AC40">
                  <w:pPr>
                    <w:pStyle w:val="91"/>
                    <w:wordWrap w:val="0"/>
                    <w:spacing w:beforeLines="0" w:after="24" w:line="240" w:lineRule="auto"/>
                    <w:rPr>
                      <w:rFonts w:ascii="Times New Roman"/>
                      <w:b w:val="0"/>
                      <w:bCs/>
                      <w:szCs w:val="21"/>
                      <w:u w:val="none"/>
                    </w:rPr>
                  </w:pPr>
                  <w:r>
                    <w:rPr>
                      <w:rFonts w:hint="eastAsia" w:ascii="Times New Roman"/>
                      <w:b w:val="0"/>
                      <w:bCs/>
                      <w:szCs w:val="21"/>
                      <w:u w:val="none"/>
                    </w:rPr>
                    <w:t>新建</w:t>
                  </w:r>
                </w:p>
              </w:tc>
            </w:tr>
            <w:tr w14:paraId="5A6EB3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trPr>
              <w:tc>
                <w:tcPr>
                  <w:tcW w:w="454" w:type="pct"/>
                  <w:vMerge w:val="continue"/>
                  <w:vAlign w:val="center"/>
                </w:tcPr>
                <w:p w14:paraId="1CCDDE41">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48F3D62E">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2DFBF213">
                  <w:pPr>
                    <w:pStyle w:val="91"/>
                    <w:wordWrap w:val="0"/>
                    <w:spacing w:beforeLines="0" w:afterLines="0" w:line="240" w:lineRule="auto"/>
                    <w:rPr>
                      <w:rFonts w:ascii="Times New Roman"/>
                      <w:b w:val="0"/>
                      <w:bCs/>
                      <w:szCs w:val="21"/>
                      <w:u w:val="none"/>
                    </w:rPr>
                  </w:pPr>
                  <w:r>
                    <w:rPr>
                      <w:rFonts w:hint="eastAsia" w:ascii="Times New Roman"/>
                      <w:b w:val="0"/>
                      <w:bCs/>
                      <w:szCs w:val="21"/>
                      <w:u w:val="none"/>
                    </w:rPr>
                    <w:t>化粪池</w:t>
                  </w:r>
                </w:p>
              </w:tc>
              <w:tc>
                <w:tcPr>
                  <w:tcW w:w="3253" w:type="pct"/>
                  <w:vAlign w:val="center"/>
                </w:tcPr>
                <w:p w14:paraId="394D0BBD">
                  <w:pPr>
                    <w:pStyle w:val="91"/>
                    <w:wordWrap w:val="0"/>
                    <w:spacing w:beforeLines="0" w:after="24" w:line="240" w:lineRule="auto"/>
                    <w:rPr>
                      <w:rFonts w:ascii="Times New Roman"/>
                      <w:b w:val="0"/>
                      <w:bCs/>
                      <w:szCs w:val="21"/>
                      <w:u w:val="none"/>
                    </w:rPr>
                  </w:pPr>
                  <w:r>
                    <w:rPr>
                      <w:rFonts w:hint="eastAsia" w:ascii="Times New Roman"/>
                      <w:b w:val="0"/>
                      <w:bCs/>
                      <w:szCs w:val="21"/>
                      <w:u w:val="none"/>
                    </w:rPr>
                    <w:t>1座，容积为5m</w:t>
                  </w:r>
                  <w:r>
                    <w:rPr>
                      <w:rFonts w:hint="eastAsia" w:ascii="Times New Roman"/>
                      <w:b w:val="0"/>
                      <w:bCs/>
                      <w:szCs w:val="21"/>
                      <w:u w:val="none"/>
                      <w:vertAlign w:val="superscript"/>
                    </w:rPr>
                    <w:t>3</w:t>
                  </w:r>
                </w:p>
              </w:tc>
              <w:tc>
                <w:tcPr>
                  <w:tcW w:w="408" w:type="pct"/>
                  <w:vAlign w:val="center"/>
                </w:tcPr>
                <w:p w14:paraId="300C9E7C">
                  <w:pPr>
                    <w:pStyle w:val="91"/>
                    <w:wordWrap w:val="0"/>
                    <w:spacing w:beforeLines="0" w:afterLines="0" w:line="240" w:lineRule="auto"/>
                    <w:rPr>
                      <w:rFonts w:ascii="Times New Roman"/>
                      <w:b w:val="0"/>
                      <w:bCs/>
                      <w:szCs w:val="21"/>
                      <w:u w:val="none"/>
                    </w:rPr>
                  </w:pPr>
                  <w:r>
                    <w:rPr>
                      <w:rFonts w:ascii="Times New Roman"/>
                      <w:b w:val="0"/>
                      <w:bCs/>
                      <w:szCs w:val="21"/>
                      <w:u w:val="none"/>
                    </w:rPr>
                    <w:t>新建</w:t>
                  </w:r>
                </w:p>
              </w:tc>
            </w:tr>
            <w:tr w14:paraId="75F94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trPr>
              <w:tc>
                <w:tcPr>
                  <w:tcW w:w="454" w:type="pct"/>
                  <w:vMerge w:val="continue"/>
                  <w:vAlign w:val="center"/>
                </w:tcPr>
                <w:p w14:paraId="4607254B">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43C775F3">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5010E74D">
                  <w:pPr>
                    <w:pStyle w:val="91"/>
                    <w:wordWrap w:val="0"/>
                    <w:spacing w:beforeLines="0" w:afterLines="0" w:line="240" w:lineRule="auto"/>
                    <w:rPr>
                      <w:rFonts w:ascii="Times New Roman"/>
                      <w:b w:val="0"/>
                      <w:bCs/>
                      <w:szCs w:val="21"/>
                      <w:u w:val="none"/>
                    </w:rPr>
                  </w:pPr>
                  <w:r>
                    <w:rPr>
                      <w:rFonts w:hint="eastAsia" w:ascii="Times New Roman"/>
                      <w:b w:val="0"/>
                      <w:bCs/>
                      <w:szCs w:val="21"/>
                      <w:u w:val="none"/>
                    </w:rPr>
                    <w:t>清水池</w:t>
                  </w:r>
                </w:p>
              </w:tc>
              <w:tc>
                <w:tcPr>
                  <w:tcW w:w="3253" w:type="pct"/>
                  <w:shd w:val="clear" w:color="auto" w:fill="auto"/>
                  <w:vAlign w:val="center"/>
                </w:tcPr>
                <w:p w14:paraId="0C99A801">
                  <w:pPr>
                    <w:pStyle w:val="91"/>
                    <w:wordWrap w:val="0"/>
                    <w:spacing w:beforeLines="0" w:after="24" w:line="240" w:lineRule="auto"/>
                    <w:rPr>
                      <w:rFonts w:ascii="Times New Roman"/>
                      <w:b w:val="0"/>
                      <w:bCs/>
                      <w:szCs w:val="21"/>
                      <w:u w:val="none"/>
                    </w:rPr>
                  </w:pPr>
                  <w:r>
                    <w:rPr>
                      <w:rFonts w:hint="eastAsia" w:ascii="Times New Roman"/>
                      <w:b w:val="0"/>
                      <w:bCs/>
                      <w:szCs w:val="21"/>
                      <w:u w:val="none"/>
                    </w:rPr>
                    <w:t>1座，容积为1.5m</w:t>
                  </w:r>
                  <w:r>
                    <w:rPr>
                      <w:rFonts w:hint="eastAsia" w:ascii="Times New Roman"/>
                      <w:b w:val="0"/>
                      <w:bCs/>
                      <w:szCs w:val="21"/>
                      <w:u w:val="none"/>
                      <w:vertAlign w:val="superscript"/>
                    </w:rPr>
                    <w:t>3</w:t>
                  </w:r>
                </w:p>
              </w:tc>
              <w:tc>
                <w:tcPr>
                  <w:tcW w:w="408" w:type="pct"/>
                  <w:shd w:val="clear" w:color="auto" w:fill="auto"/>
                  <w:vAlign w:val="center"/>
                </w:tcPr>
                <w:p w14:paraId="772B4A8E">
                  <w:pPr>
                    <w:pStyle w:val="91"/>
                    <w:wordWrap w:val="0"/>
                    <w:spacing w:beforeLines="0" w:afterLines="0" w:line="240" w:lineRule="auto"/>
                    <w:rPr>
                      <w:rFonts w:ascii="Times New Roman"/>
                      <w:b w:val="0"/>
                      <w:bCs/>
                      <w:szCs w:val="21"/>
                      <w:u w:val="none"/>
                    </w:rPr>
                  </w:pPr>
                  <w:r>
                    <w:rPr>
                      <w:rFonts w:ascii="Times New Roman"/>
                      <w:b w:val="0"/>
                      <w:bCs/>
                      <w:szCs w:val="21"/>
                      <w:u w:val="none"/>
                    </w:rPr>
                    <w:t>新建</w:t>
                  </w:r>
                </w:p>
              </w:tc>
            </w:tr>
            <w:tr w14:paraId="28E80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trPr>
              <w:tc>
                <w:tcPr>
                  <w:tcW w:w="454" w:type="pct"/>
                  <w:vMerge w:val="continue"/>
                  <w:vAlign w:val="center"/>
                </w:tcPr>
                <w:p w14:paraId="60A35A69">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1807B27E">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0D3FAACB">
                  <w:pPr>
                    <w:pStyle w:val="91"/>
                    <w:wordWrap w:val="0"/>
                    <w:spacing w:beforeLines="0" w:afterLines="0" w:line="240" w:lineRule="auto"/>
                    <w:rPr>
                      <w:rFonts w:ascii="Times New Roman"/>
                      <w:b w:val="0"/>
                      <w:bCs/>
                      <w:szCs w:val="21"/>
                      <w:u w:val="none"/>
                    </w:rPr>
                  </w:pPr>
                  <w:r>
                    <w:rPr>
                      <w:rFonts w:hint="eastAsia"/>
                      <w:b w:val="0"/>
                      <w:bCs/>
                      <w:szCs w:val="21"/>
                      <w:u w:val="none"/>
                    </w:rPr>
                    <w:t>一体化污水处理站</w:t>
                  </w:r>
                </w:p>
              </w:tc>
              <w:tc>
                <w:tcPr>
                  <w:tcW w:w="3253" w:type="pct"/>
                  <w:shd w:val="clear" w:color="auto" w:fill="auto"/>
                  <w:vAlign w:val="center"/>
                </w:tcPr>
                <w:p w14:paraId="7847C215">
                  <w:pPr>
                    <w:pStyle w:val="91"/>
                    <w:spacing w:before="24" w:after="24"/>
                    <w:jc w:val="both"/>
                    <w:rPr>
                      <w:rFonts w:ascii="Times New Roman"/>
                      <w:bCs/>
                      <w:szCs w:val="21"/>
                      <w:u w:val="none"/>
                    </w:rPr>
                  </w:pPr>
                  <w:r>
                    <w:rPr>
                      <w:rFonts w:ascii="Times New Roman"/>
                      <w:b w:val="0"/>
                      <w:bCs/>
                      <w:u w:val="none"/>
                    </w:rPr>
                    <w:t>建设1套处理能力为</w:t>
                  </w:r>
                  <w:r>
                    <w:rPr>
                      <w:rFonts w:hint="eastAsia" w:ascii="Times New Roman"/>
                      <w:b w:val="0"/>
                      <w:bCs/>
                      <w:u w:val="none"/>
                    </w:rPr>
                    <w:t>1</w:t>
                  </w:r>
                  <w:r>
                    <w:rPr>
                      <w:rFonts w:ascii="Times New Roman"/>
                      <w:b w:val="0"/>
                      <w:bCs/>
                      <w:u w:val="none"/>
                    </w:rPr>
                    <w:t>m</w:t>
                  </w:r>
                  <w:r>
                    <w:rPr>
                      <w:rFonts w:ascii="Times New Roman"/>
                      <w:b w:val="0"/>
                      <w:bCs/>
                      <w:u w:val="none"/>
                      <w:vertAlign w:val="superscript"/>
                    </w:rPr>
                    <w:t>3</w:t>
                  </w:r>
                  <w:r>
                    <w:rPr>
                      <w:rFonts w:ascii="Times New Roman"/>
                      <w:b w:val="0"/>
                      <w:bCs/>
                      <w:u w:val="none"/>
                    </w:rPr>
                    <w:t>/d的一体化污水处理站，处理工艺采用</w:t>
                  </w:r>
                  <w:r>
                    <w:rPr>
                      <w:rFonts w:hint="eastAsia" w:ascii="Times New Roman"/>
                      <w:b w:val="0"/>
                      <w:bCs/>
                      <w:u w:val="none"/>
                    </w:rPr>
                    <w:t>“</w:t>
                  </w:r>
                  <w:r>
                    <w:rPr>
                      <w:rFonts w:ascii="Times New Roman"/>
                      <w:b w:val="0"/>
                      <w:bCs/>
                      <w:u w:val="none"/>
                    </w:rPr>
                    <w:t>AO+</w:t>
                  </w:r>
                  <w:r>
                    <w:rPr>
                      <w:rFonts w:hint="eastAsia" w:ascii="Times New Roman"/>
                      <w:b w:val="0"/>
                      <w:bCs/>
                      <w:u w:val="none"/>
                    </w:rPr>
                    <w:t>消毒”</w:t>
                  </w:r>
                  <w:r>
                    <w:rPr>
                      <w:rFonts w:ascii="Times New Roman"/>
                      <w:b w:val="0"/>
                      <w:bCs/>
                      <w:u w:val="none"/>
                    </w:rPr>
                    <w:t>，</w:t>
                  </w:r>
                  <w:r>
                    <w:rPr>
                      <w:rFonts w:ascii="Times New Roman"/>
                      <w:b w:val="0"/>
                      <w:bCs/>
                      <w:u w:val="none"/>
                      <w:lang w:val="zh-TW"/>
                    </w:rPr>
                    <w:t>办公生活污水</w:t>
                  </w:r>
                  <w:r>
                    <w:rPr>
                      <w:rFonts w:ascii="Times New Roman"/>
                      <w:b w:val="0"/>
                      <w:bCs/>
                      <w:u w:val="none"/>
                    </w:rPr>
                    <w:t>经</w:t>
                  </w:r>
                  <w:r>
                    <w:rPr>
                      <w:rFonts w:ascii="Times New Roman"/>
                      <w:b w:val="0"/>
                      <w:bCs/>
                      <w:u w:val="none"/>
                      <w:lang w:val="zh-TW"/>
                    </w:rPr>
                    <w:t>化粪池处理</w:t>
                  </w:r>
                  <w:r>
                    <w:rPr>
                      <w:rFonts w:ascii="Times New Roman"/>
                      <w:b w:val="0"/>
                      <w:bCs/>
                      <w:u w:val="none"/>
                    </w:rPr>
                    <w:t>后排入1套一体化污水处理站处理</w:t>
                  </w:r>
                  <w:r>
                    <w:rPr>
                      <w:rFonts w:ascii="Times New Roman"/>
                      <w:b w:val="0"/>
                      <w:bCs/>
                      <w:u w:val="none"/>
                      <w:lang w:val="zh-TW"/>
                    </w:rPr>
                    <w:t>，</w:t>
                  </w:r>
                  <w:r>
                    <w:rPr>
                      <w:rFonts w:ascii="Times New Roman"/>
                      <w:b w:val="0"/>
                      <w:bCs/>
                      <w:szCs w:val="21"/>
                      <w:u w:val="none"/>
                      <w:lang w:val="zh-TW"/>
                    </w:rPr>
                    <w:t>处理达</w:t>
                  </w:r>
                  <w:r>
                    <w:rPr>
                      <w:rFonts w:ascii="Times New Roman"/>
                      <w:b w:val="0"/>
                      <w:bCs/>
                      <w:szCs w:val="21"/>
                      <w:u w:val="none"/>
                    </w:rPr>
                    <w:t>到</w:t>
                  </w:r>
                  <w:r>
                    <w:rPr>
                      <w:rFonts w:ascii="Times New Roman"/>
                      <w:b w:val="0"/>
                      <w:bCs/>
                      <w:u w:val="none"/>
                      <w:lang w:val="zh-TW"/>
                    </w:rPr>
                    <w:t>《农田灌溉水质标准》（GB5084-2021）中蔬菜标准限值后，采用密闭运输工具清运用于周边旱地、种植基地及菜地灌溉。</w:t>
                  </w:r>
                </w:p>
              </w:tc>
              <w:tc>
                <w:tcPr>
                  <w:tcW w:w="408" w:type="pct"/>
                  <w:shd w:val="clear" w:color="auto" w:fill="auto"/>
                  <w:vAlign w:val="center"/>
                </w:tcPr>
                <w:p w14:paraId="61A15EFC">
                  <w:pPr>
                    <w:pStyle w:val="91"/>
                    <w:spacing w:before="24" w:after="24"/>
                    <w:rPr>
                      <w:rFonts w:ascii="Times New Roman"/>
                      <w:b w:val="0"/>
                      <w:bCs/>
                      <w:u w:val="none"/>
                    </w:rPr>
                  </w:pPr>
                  <w:r>
                    <w:rPr>
                      <w:rFonts w:ascii="Times New Roman"/>
                      <w:b w:val="0"/>
                      <w:bCs/>
                      <w:u w:val="none"/>
                    </w:rPr>
                    <w:t>新建</w:t>
                  </w:r>
                </w:p>
              </w:tc>
            </w:tr>
            <w:tr w14:paraId="0191E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454" w:type="pct"/>
                  <w:vMerge w:val="continue"/>
                  <w:vAlign w:val="center"/>
                </w:tcPr>
                <w:p w14:paraId="5B2A5E1A">
                  <w:pPr>
                    <w:pStyle w:val="91"/>
                    <w:wordWrap w:val="0"/>
                    <w:spacing w:before="24" w:after="24" w:line="240" w:lineRule="auto"/>
                    <w:rPr>
                      <w:rFonts w:ascii="Times New Roman"/>
                      <w:b w:val="0"/>
                      <w:bCs/>
                      <w:szCs w:val="21"/>
                      <w:u w:val="none"/>
                    </w:rPr>
                  </w:pPr>
                </w:p>
              </w:tc>
              <w:tc>
                <w:tcPr>
                  <w:tcW w:w="263" w:type="pct"/>
                  <w:vMerge w:val="continue"/>
                  <w:tcBorders>
                    <w:right w:val="single" w:color="auto" w:sz="4" w:space="0"/>
                  </w:tcBorders>
                  <w:vAlign w:val="center"/>
                </w:tcPr>
                <w:p w14:paraId="2C4B0C3A">
                  <w:pPr>
                    <w:pStyle w:val="91"/>
                    <w:wordWrap w:val="0"/>
                    <w:spacing w:before="24" w:after="24" w:line="240" w:lineRule="auto"/>
                    <w:rPr>
                      <w:rFonts w:ascii="Times New Roman"/>
                      <w:b w:val="0"/>
                      <w:bCs/>
                      <w:szCs w:val="21"/>
                      <w:u w:val="none"/>
                    </w:rPr>
                  </w:pPr>
                </w:p>
              </w:tc>
              <w:tc>
                <w:tcPr>
                  <w:tcW w:w="620" w:type="pct"/>
                  <w:tcBorders>
                    <w:left w:val="single" w:color="auto" w:sz="4" w:space="0"/>
                  </w:tcBorders>
                  <w:vAlign w:val="center"/>
                </w:tcPr>
                <w:p w14:paraId="337FFB34">
                  <w:pPr>
                    <w:pStyle w:val="91"/>
                    <w:wordWrap w:val="0"/>
                    <w:spacing w:beforeLines="0" w:afterLines="0" w:line="240" w:lineRule="auto"/>
                    <w:rPr>
                      <w:rFonts w:ascii="Times New Roman"/>
                      <w:b w:val="0"/>
                      <w:bCs/>
                      <w:szCs w:val="21"/>
                      <w:u w:val="none"/>
                    </w:rPr>
                  </w:pPr>
                  <w:r>
                    <w:rPr>
                      <w:rFonts w:hint="eastAsia" w:ascii="Times New Roman"/>
                      <w:b w:val="0"/>
                      <w:bCs/>
                      <w:szCs w:val="21"/>
                      <w:u w:val="none"/>
                    </w:rPr>
                    <w:t>场地雨污水收集池</w:t>
                  </w:r>
                </w:p>
              </w:tc>
              <w:tc>
                <w:tcPr>
                  <w:tcW w:w="3253" w:type="pct"/>
                  <w:vAlign w:val="center"/>
                </w:tcPr>
                <w:p w14:paraId="2E879B15">
                  <w:pPr>
                    <w:pStyle w:val="91"/>
                    <w:wordWrap w:val="0"/>
                    <w:spacing w:beforeLines="0" w:afterLines="0" w:line="240" w:lineRule="auto"/>
                    <w:rPr>
                      <w:rFonts w:ascii="Times New Roman"/>
                      <w:b w:val="0"/>
                      <w:bCs/>
                      <w:szCs w:val="21"/>
                      <w:u w:val="none"/>
                    </w:rPr>
                  </w:pPr>
                  <w:r>
                    <w:rPr>
                      <w:rFonts w:hint="eastAsia" w:ascii="Times New Roman"/>
                      <w:b w:val="0"/>
                      <w:bCs/>
                      <w:szCs w:val="21"/>
                      <w:u w:val="none"/>
                    </w:rPr>
                    <w:t>1座，容积约144m</w:t>
                  </w:r>
                  <w:r>
                    <w:rPr>
                      <w:rFonts w:hint="eastAsia" w:ascii="Times New Roman"/>
                      <w:b w:val="0"/>
                      <w:bCs/>
                      <w:szCs w:val="21"/>
                      <w:u w:val="none"/>
                      <w:vertAlign w:val="superscript"/>
                    </w:rPr>
                    <w:t>3</w:t>
                  </w:r>
                  <w:r>
                    <w:rPr>
                      <w:rFonts w:hint="eastAsia" w:ascii="Times New Roman"/>
                      <w:b w:val="0"/>
                      <w:bCs/>
                      <w:szCs w:val="21"/>
                      <w:u w:val="none"/>
                    </w:rPr>
                    <w:t>，场地雨污水经场地雨污水收集池沉淀处理后回用于大棚喷雾降尘、车辆清洗</w:t>
                  </w:r>
                </w:p>
              </w:tc>
              <w:tc>
                <w:tcPr>
                  <w:tcW w:w="408" w:type="pct"/>
                  <w:vAlign w:val="center"/>
                </w:tcPr>
                <w:p w14:paraId="6DD245F4">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50C21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7" w:hRule="atLeast"/>
              </w:trPr>
              <w:tc>
                <w:tcPr>
                  <w:tcW w:w="454" w:type="pct"/>
                  <w:vMerge w:val="continue"/>
                  <w:vAlign w:val="center"/>
                </w:tcPr>
                <w:p w14:paraId="113EBC45">
                  <w:pPr>
                    <w:pStyle w:val="91"/>
                    <w:wordWrap w:val="0"/>
                    <w:spacing w:before="24" w:after="24" w:line="240" w:lineRule="auto"/>
                    <w:rPr>
                      <w:rFonts w:ascii="Times New Roman"/>
                      <w:b w:val="0"/>
                      <w:bCs/>
                      <w:szCs w:val="21"/>
                      <w:u w:val="none"/>
                    </w:rPr>
                  </w:pPr>
                </w:p>
              </w:tc>
              <w:tc>
                <w:tcPr>
                  <w:tcW w:w="884" w:type="pct"/>
                  <w:gridSpan w:val="2"/>
                  <w:vAlign w:val="center"/>
                </w:tcPr>
                <w:p w14:paraId="6E972F3A">
                  <w:pPr>
                    <w:pStyle w:val="91"/>
                    <w:wordWrap w:val="0"/>
                    <w:spacing w:beforeLines="0" w:afterLines="0" w:line="240" w:lineRule="auto"/>
                    <w:rPr>
                      <w:rFonts w:ascii="Times New Roman"/>
                      <w:b w:val="0"/>
                      <w:bCs/>
                      <w:szCs w:val="21"/>
                      <w:u w:val="none"/>
                    </w:rPr>
                  </w:pPr>
                  <w:r>
                    <w:rPr>
                      <w:rFonts w:ascii="Times New Roman"/>
                      <w:b w:val="0"/>
                      <w:bCs/>
                      <w:szCs w:val="21"/>
                      <w:u w:val="none"/>
                    </w:rPr>
                    <w:t>固废治理</w:t>
                  </w:r>
                </w:p>
              </w:tc>
              <w:tc>
                <w:tcPr>
                  <w:tcW w:w="3253" w:type="pct"/>
                  <w:vAlign w:val="center"/>
                </w:tcPr>
                <w:p w14:paraId="25D14425">
                  <w:pPr>
                    <w:pStyle w:val="91"/>
                    <w:wordWrap w:val="0"/>
                    <w:spacing w:before="24" w:after="24" w:line="240" w:lineRule="auto"/>
                    <w:rPr>
                      <w:rFonts w:ascii="Times New Roman"/>
                      <w:b w:val="0"/>
                      <w:bCs/>
                      <w:szCs w:val="21"/>
                      <w:u w:val="none"/>
                    </w:rPr>
                  </w:pPr>
                  <w:r>
                    <w:rPr>
                      <w:rFonts w:hint="eastAsia" w:ascii="Times New Roman"/>
                      <w:b w:val="0"/>
                      <w:bCs/>
                      <w:szCs w:val="21"/>
                      <w:u w:val="none"/>
                    </w:rPr>
                    <w:t>1只带盖垃圾桶，</w:t>
                  </w:r>
                  <w:r>
                    <w:rPr>
                      <w:rFonts w:ascii="Times New Roman"/>
                      <w:b w:val="0"/>
                      <w:bCs/>
                      <w:szCs w:val="21"/>
                      <w:u w:val="none"/>
                    </w:rPr>
                    <w:t>生活垃圾经垃圾桶收集后定期交环卫部门处置</w:t>
                  </w:r>
                  <w:r>
                    <w:rPr>
                      <w:rFonts w:hint="eastAsia" w:ascii="Times New Roman"/>
                      <w:b w:val="0"/>
                      <w:bCs/>
                      <w:szCs w:val="21"/>
                      <w:u w:val="none"/>
                    </w:rPr>
                    <w:t>；场地雨污水收集池沉渣和车辆清洗废水沉淀池沉渣外售云南宣威磷电有限责任公司作为其“8万t/a黄磷生产项目”的原料</w:t>
                  </w:r>
                </w:p>
              </w:tc>
              <w:tc>
                <w:tcPr>
                  <w:tcW w:w="408" w:type="pct"/>
                  <w:vAlign w:val="center"/>
                </w:tcPr>
                <w:p w14:paraId="325D44B2">
                  <w:pPr>
                    <w:pStyle w:val="91"/>
                    <w:wordWrap w:val="0"/>
                    <w:spacing w:beforeLines="0" w:afterLines="0" w:line="240" w:lineRule="auto"/>
                    <w:rPr>
                      <w:rFonts w:ascii="Times New Roman"/>
                      <w:b w:val="0"/>
                      <w:bCs/>
                      <w:szCs w:val="21"/>
                      <w:u w:val="none"/>
                    </w:rPr>
                  </w:pPr>
                  <w:r>
                    <w:rPr>
                      <w:rFonts w:hint="eastAsia" w:ascii="Times New Roman"/>
                      <w:b w:val="0"/>
                      <w:bCs/>
                      <w:szCs w:val="21"/>
                      <w:u w:val="none"/>
                    </w:rPr>
                    <w:t>新建</w:t>
                  </w:r>
                </w:p>
              </w:tc>
            </w:tr>
            <w:tr w14:paraId="450A09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6" w:hRule="atLeast"/>
              </w:trPr>
              <w:tc>
                <w:tcPr>
                  <w:tcW w:w="454" w:type="pct"/>
                  <w:vMerge w:val="continue"/>
                  <w:vAlign w:val="center"/>
                </w:tcPr>
                <w:p w14:paraId="3F7D113C">
                  <w:pPr>
                    <w:pStyle w:val="91"/>
                    <w:wordWrap w:val="0"/>
                    <w:spacing w:before="24" w:after="24" w:line="240" w:lineRule="auto"/>
                    <w:rPr>
                      <w:rFonts w:ascii="Times New Roman"/>
                      <w:b w:val="0"/>
                      <w:bCs/>
                      <w:szCs w:val="21"/>
                      <w:u w:val="none"/>
                    </w:rPr>
                  </w:pPr>
                </w:p>
              </w:tc>
              <w:tc>
                <w:tcPr>
                  <w:tcW w:w="884" w:type="pct"/>
                  <w:gridSpan w:val="2"/>
                  <w:vAlign w:val="center"/>
                </w:tcPr>
                <w:p w14:paraId="0BD4A009">
                  <w:pPr>
                    <w:pStyle w:val="91"/>
                    <w:wordWrap w:val="0"/>
                    <w:spacing w:beforeLines="0" w:afterLines="0" w:line="240" w:lineRule="auto"/>
                    <w:rPr>
                      <w:rFonts w:ascii="Times New Roman"/>
                      <w:b w:val="0"/>
                      <w:bCs/>
                      <w:szCs w:val="21"/>
                      <w:u w:val="none"/>
                    </w:rPr>
                  </w:pPr>
                  <w:r>
                    <w:rPr>
                      <w:rFonts w:ascii="Times New Roman"/>
                      <w:b w:val="0"/>
                      <w:bCs/>
                      <w:szCs w:val="21"/>
                      <w:u w:val="none"/>
                    </w:rPr>
                    <w:t>噪声治理</w:t>
                  </w:r>
                </w:p>
              </w:tc>
              <w:tc>
                <w:tcPr>
                  <w:tcW w:w="3253" w:type="pct"/>
                  <w:vAlign w:val="center"/>
                </w:tcPr>
                <w:p w14:paraId="4F2E68E5">
                  <w:pPr>
                    <w:pStyle w:val="91"/>
                    <w:wordWrap w:val="0"/>
                    <w:spacing w:beforeLines="0" w:afterLines="0" w:line="240" w:lineRule="auto"/>
                    <w:rPr>
                      <w:rFonts w:ascii="Times New Roman"/>
                      <w:b w:val="0"/>
                      <w:bCs/>
                      <w:szCs w:val="21"/>
                      <w:u w:val="none"/>
                    </w:rPr>
                  </w:pPr>
                  <w:r>
                    <w:rPr>
                      <w:rFonts w:hint="eastAsia" w:ascii="Times New Roman"/>
                      <w:b w:val="0"/>
                      <w:bCs/>
                      <w:szCs w:val="21"/>
                      <w:u w:val="none"/>
                    </w:rPr>
                    <w:t>厂房、围墙隔声</w:t>
                  </w:r>
                </w:p>
              </w:tc>
              <w:tc>
                <w:tcPr>
                  <w:tcW w:w="408" w:type="pct"/>
                  <w:vAlign w:val="center"/>
                </w:tcPr>
                <w:p w14:paraId="2EF37DFD">
                  <w:pPr>
                    <w:pStyle w:val="91"/>
                    <w:wordWrap w:val="0"/>
                    <w:spacing w:beforeLines="0" w:afterLines="0" w:line="240" w:lineRule="auto"/>
                    <w:rPr>
                      <w:rFonts w:ascii="Times New Roman"/>
                      <w:b w:val="0"/>
                      <w:bCs/>
                      <w:szCs w:val="21"/>
                      <w:u w:val="none"/>
                    </w:rPr>
                  </w:pPr>
                  <w:r>
                    <w:rPr>
                      <w:rFonts w:ascii="Times New Roman"/>
                      <w:b w:val="0"/>
                      <w:bCs/>
                      <w:szCs w:val="21"/>
                      <w:u w:val="none"/>
                    </w:rPr>
                    <w:t>新建</w:t>
                  </w:r>
                </w:p>
              </w:tc>
            </w:tr>
            <w:tr w14:paraId="38C25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454" w:type="pct"/>
                  <w:vMerge w:val="continue"/>
                  <w:vAlign w:val="center"/>
                </w:tcPr>
                <w:p w14:paraId="75734142">
                  <w:pPr>
                    <w:pStyle w:val="91"/>
                    <w:wordWrap w:val="0"/>
                    <w:spacing w:before="24" w:after="24" w:line="240" w:lineRule="auto"/>
                    <w:rPr>
                      <w:rFonts w:ascii="Times New Roman"/>
                      <w:b w:val="0"/>
                      <w:bCs/>
                      <w:szCs w:val="21"/>
                      <w:u w:val="none"/>
                    </w:rPr>
                  </w:pPr>
                </w:p>
              </w:tc>
              <w:tc>
                <w:tcPr>
                  <w:tcW w:w="884" w:type="pct"/>
                  <w:gridSpan w:val="2"/>
                  <w:vAlign w:val="center"/>
                </w:tcPr>
                <w:p w14:paraId="4AA79CCE">
                  <w:pPr>
                    <w:pStyle w:val="91"/>
                    <w:wordWrap w:val="0"/>
                    <w:spacing w:beforeLines="0" w:after="24" w:line="240" w:lineRule="auto"/>
                    <w:rPr>
                      <w:rFonts w:ascii="Times New Roman"/>
                      <w:b w:val="0"/>
                      <w:bCs/>
                      <w:szCs w:val="21"/>
                      <w:u w:val="none"/>
                    </w:rPr>
                  </w:pPr>
                  <w:r>
                    <w:rPr>
                      <w:rFonts w:hint="eastAsia" w:ascii="Times New Roman"/>
                      <w:b w:val="0"/>
                      <w:bCs/>
                      <w:szCs w:val="21"/>
                      <w:u w:val="none"/>
                    </w:rPr>
                    <w:t>地下水</w:t>
                  </w:r>
                </w:p>
              </w:tc>
              <w:tc>
                <w:tcPr>
                  <w:tcW w:w="3253" w:type="pct"/>
                  <w:vAlign w:val="center"/>
                </w:tcPr>
                <w:p w14:paraId="2149249E">
                  <w:pPr>
                    <w:pStyle w:val="91"/>
                    <w:wordWrap w:val="0"/>
                    <w:spacing w:beforeLines="0" w:afterLines="0" w:line="240" w:lineRule="auto"/>
                    <w:rPr>
                      <w:rFonts w:ascii="Times New Roman"/>
                      <w:b w:val="0"/>
                      <w:bCs/>
                      <w:szCs w:val="21"/>
                      <w:u w:val="none"/>
                    </w:rPr>
                  </w:pPr>
                  <w:r>
                    <w:rPr>
                      <w:rFonts w:ascii="Times New Roman"/>
                      <w:b w:val="0"/>
                      <w:szCs w:val="21"/>
                      <w:u w:val="none"/>
                    </w:rPr>
                    <w:t>仓储</w:t>
                  </w:r>
                  <w:r>
                    <w:rPr>
                      <w:rFonts w:hint="eastAsia" w:ascii="Times New Roman"/>
                      <w:b w:val="0"/>
                      <w:szCs w:val="21"/>
                      <w:u w:val="none"/>
                    </w:rPr>
                    <w:t>大</w:t>
                  </w:r>
                  <w:r>
                    <w:rPr>
                      <w:rFonts w:ascii="Times New Roman"/>
                      <w:b w:val="0"/>
                      <w:szCs w:val="21"/>
                      <w:u w:val="none"/>
                    </w:rPr>
                    <w:t>棚、</w:t>
                  </w:r>
                  <w:r>
                    <w:rPr>
                      <w:rFonts w:hint="eastAsia" w:ascii="Times New Roman"/>
                      <w:b w:val="0"/>
                      <w:szCs w:val="21"/>
                      <w:u w:val="none"/>
                    </w:rPr>
                    <w:t>一体化污水处理站、清水池、</w:t>
                  </w:r>
                  <w:r>
                    <w:rPr>
                      <w:rFonts w:ascii="Times New Roman"/>
                      <w:b w:val="0"/>
                      <w:szCs w:val="21"/>
                      <w:u w:val="none"/>
                    </w:rPr>
                    <w:t>洗车废水沉淀池、场地雨污水收集池和化粪池采用抗渗混凝土结构，参照《</w:t>
                  </w:r>
                  <w:r>
                    <w:rPr>
                      <w:rFonts w:hint="eastAsia" w:ascii="Times New Roman"/>
                      <w:b w:val="0"/>
                      <w:szCs w:val="21"/>
                      <w:u w:val="none"/>
                    </w:rPr>
                    <w:t>环境影响评价技术导则 地下水环境</w:t>
                  </w:r>
                  <w:r>
                    <w:rPr>
                      <w:rFonts w:ascii="Times New Roman"/>
                      <w:b w:val="0"/>
                      <w:szCs w:val="21"/>
                      <w:u w:val="none"/>
                    </w:rPr>
                    <w:t>》</w:t>
                  </w:r>
                  <w:r>
                    <w:rPr>
                      <w:rFonts w:hint="eastAsia" w:ascii="Times New Roman"/>
                      <w:b w:val="0"/>
                      <w:szCs w:val="21"/>
                      <w:u w:val="none"/>
                    </w:rPr>
                    <w:t>（</w:t>
                  </w:r>
                  <w:r>
                    <w:rPr>
                      <w:rFonts w:ascii="Times New Roman"/>
                      <w:b w:val="0"/>
                      <w:szCs w:val="21"/>
                      <w:u w:val="none"/>
                    </w:rPr>
                    <w:t>HJ</w:t>
                  </w:r>
                  <w:r>
                    <w:rPr>
                      <w:rFonts w:hint="eastAsia" w:ascii="Times New Roman"/>
                      <w:b w:val="0"/>
                      <w:szCs w:val="21"/>
                      <w:u w:val="none"/>
                    </w:rPr>
                    <w:t xml:space="preserve"> </w:t>
                  </w:r>
                  <w:r>
                    <w:rPr>
                      <w:rFonts w:ascii="Times New Roman"/>
                      <w:b w:val="0"/>
                      <w:szCs w:val="21"/>
                      <w:u w:val="none"/>
                    </w:rPr>
                    <w:t>610-2016</w:t>
                  </w:r>
                  <w:r>
                    <w:rPr>
                      <w:rFonts w:hint="eastAsia" w:ascii="Times New Roman"/>
                      <w:b w:val="0"/>
                      <w:szCs w:val="21"/>
                      <w:u w:val="none"/>
                    </w:rPr>
                    <w:t>）</w:t>
                  </w:r>
                  <w:r>
                    <w:rPr>
                      <w:rFonts w:ascii="Times New Roman"/>
                      <w:b w:val="0"/>
                      <w:szCs w:val="21"/>
                      <w:u w:val="none"/>
                    </w:rPr>
                    <w:t>中一般防渗区的防渗要求进行防渗，防渗层的防渗性能等效于厚度</w:t>
                  </w:r>
                  <w:r>
                    <w:rPr>
                      <w:rFonts w:hint="eastAsia" w:hAnsi="宋体" w:cs="宋体"/>
                      <w:b w:val="0"/>
                      <w:szCs w:val="21"/>
                      <w:u w:val="none"/>
                    </w:rPr>
                    <w:t>≥</w:t>
                  </w:r>
                  <w:r>
                    <w:rPr>
                      <w:rFonts w:ascii="Times New Roman"/>
                      <w:b w:val="0"/>
                      <w:szCs w:val="21"/>
                      <w:u w:val="none"/>
                    </w:rPr>
                    <w:t>1.5m，渗透系数</w:t>
                  </w:r>
                  <w:r>
                    <w:rPr>
                      <w:rFonts w:hint="eastAsia" w:hAnsi="宋体" w:cs="宋体"/>
                      <w:b w:val="0"/>
                      <w:szCs w:val="21"/>
                      <w:u w:val="none"/>
                    </w:rPr>
                    <w:t>≤</w:t>
                  </w:r>
                  <w:r>
                    <w:rPr>
                      <w:rFonts w:ascii="Times New Roman"/>
                      <w:b w:val="0"/>
                      <w:szCs w:val="21"/>
                      <w:u w:val="none"/>
                    </w:rPr>
                    <w:t>1.0×10</w:t>
                  </w:r>
                  <w:r>
                    <w:rPr>
                      <w:rFonts w:hint="eastAsia" w:ascii="Times New Roman"/>
                      <w:b w:val="0"/>
                      <w:szCs w:val="21"/>
                      <w:u w:val="none"/>
                      <w:vertAlign w:val="superscript"/>
                    </w:rPr>
                    <w:t>-7</w:t>
                  </w:r>
                  <w:r>
                    <w:rPr>
                      <w:rFonts w:ascii="Times New Roman"/>
                      <w:b w:val="0"/>
                      <w:szCs w:val="21"/>
                      <w:u w:val="none"/>
                    </w:rPr>
                    <w:t>cm/s的黏土层的防渗性能。其他区域进行一般地面硬化。</w:t>
                  </w:r>
                </w:p>
              </w:tc>
              <w:tc>
                <w:tcPr>
                  <w:tcW w:w="408" w:type="pct"/>
                  <w:vAlign w:val="center"/>
                </w:tcPr>
                <w:p w14:paraId="5775BE21">
                  <w:pPr>
                    <w:pStyle w:val="91"/>
                    <w:wordWrap w:val="0"/>
                    <w:spacing w:beforeLines="0" w:afterLines="0" w:line="240" w:lineRule="auto"/>
                    <w:rPr>
                      <w:rFonts w:ascii="Times New Roman"/>
                      <w:b w:val="0"/>
                      <w:bCs/>
                      <w:szCs w:val="21"/>
                      <w:u w:val="none"/>
                    </w:rPr>
                  </w:pPr>
                  <w:r>
                    <w:rPr>
                      <w:rFonts w:ascii="Times New Roman"/>
                      <w:b w:val="0"/>
                      <w:bCs/>
                      <w:szCs w:val="21"/>
                      <w:u w:val="none"/>
                    </w:rPr>
                    <w:t>新建</w:t>
                  </w:r>
                </w:p>
              </w:tc>
            </w:tr>
          </w:tbl>
          <w:p w14:paraId="0FA12C94">
            <w:pPr>
              <w:pStyle w:val="49"/>
              <w:adjustRightInd/>
              <w:snapToGrid/>
              <w:spacing w:before="120" w:beforeLines="50" w:line="360" w:lineRule="auto"/>
              <w:ind w:firstLine="482" w:firstLineChars="200"/>
              <w:jc w:val="both"/>
              <w:rPr>
                <w:b/>
                <w:bCs/>
                <w:u w:val="none"/>
              </w:rPr>
            </w:pPr>
            <w:r>
              <w:rPr>
                <w:rFonts w:hint="eastAsia"/>
                <w:b/>
                <w:bCs/>
                <w:u w:val="none"/>
              </w:rPr>
              <w:t>4、</w:t>
            </w:r>
            <w:r>
              <w:rPr>
                <w:b/>
                <w:bCs/>
                <w:u w:val="none"/>
              </w:rPr>
              <w:t>主要产品及生产方案</w:t>
            </w:r>
          </w:p>
          <w:p w14:paraId="65CC6A8C">
            <w:pPr>
              <w:pStyle w:val="49"/>
              <w:adjustRightInd/>
              <w:snapToGrid/>
              <w:spacing w:line="360" w:lineRule="auto"/>
              <w:ind w:firstLine="480" w:firstLineChars="200"/>
              <w:jc w:val="both"/>
              <w:rPr>
                <w:u w:val="none"/>
              </w:rPr>
            </w:pPr>
            <w:r>
              <w:rPr>
                <w:u w:val="none"/>
              </w:rPr>
              <w:t>本项目</w:t>
            </w:r>
            <w:r>
              <w:rPr>
                <w:rFonts w:hint="eastAsia"/>
                <w:u w:val="none"/>
              </w:rPr>
              <w:t>最大储存能力为6万吨，年周转磷矿石110万吨。磷矿石为块状，粒径为</w:t>
            </w:r>
            <w:r>
              <w:rPr>
                <w:rFonts w:hint="eastAsia"/>
                <w:u w:val="thick" w:color="FFB03A"/>
                <w:shd w:val="clear" w:fill="FFEFD7"/>
              </w:rPr>
              <w:t>5～60mm</w:t>
            </w:r>
            <w:r>
              <w:rPr>
                <w:rFonts w:hint="eastAsia"/>
                <w:u w:val="none"/>
              </w:rPr>
              <w:t>，含水率小于5%。</w:t>
            </w:r>
          </w:p>
          <w:p w14:paraId="16551D2F">
            <w:pPr>
              <w:pStyle w:val="49"/>
              <w:adjustRightInd/>
              <w:snapToGrid/>
              <w:spacing w:line="360" w:lineRule="auto"/>
              <w:ind w:firstLine="482" w:firstLineChars="200"/>
              <w:jc w:val="both"/>
              <w:rPr>
                <w:b/>
                <w:bCs/>
                <w:u w:val="none"/>
              </w:rPr>
            </w:pPr>
            <w:r>
              <w:rPr>
                <w:rFonts w:hint="eastAsia"/>
                <w:b/>
                <w:bCs/>
                <w:u w:val="none"/>
              </w:rPr>
              <w:t>5、</w:t>
            </w:r>
            <w:r>
              <w:rPr>
                <w:b/>
                <w:bCs/>
                <w:u w:val="none"/>
              </w:rPr>
              <w:t>主要生产</w:t>
            </w:r>
            <w:r>
              <w:rPr>
                <w:rFonts w:hint="eastAsia"/>
                <w:b/>
                <w:bCs/>
                <w:u w:val="none"/>
              </w:rPr>
              <w:t>设备</w:t>
            </w:r>
          </w:p>
          <w:p w14:paraId="7F15AAEE">
            <w:pPr>
              <w:pStyle w:val="49"/>
              <w:adjustRightInd/>
              <w:snapToGrid/>
              <w:spacing w:line="360" w:lineRule="auto"/>
              <w:ind w:firstLine="480" w:firstLineChars="200"/>
              <w:jc w:val="both"/>
              <w:rPr>
                <w:kern w:val="0"/>
                <w:u w:val="none"/>
              </w:rPr>
            </w:pPr>
            <w:r>
              <w:rPr>
                <w:u w:val="none"/>
              </w:rPr>
              <w:t>项目</w:t>
            </w:r>
            <w:r>
              <w:rPr>
                <w:kern w:val="0"/>
                <w:u w:val="none"/>
              </w:rPr>
              <w:t>主要生产设备详见下表2-</w:t>
            </w:r>
            <w:r>
              <w:rPr>
                <w:rFonts w:hint="eastAsia"/>
                <w:kern w:val="0"/>
                <w:u w:val="none"/>
              </w:rPr>
              <w:t>2</w:t>
            </w:r>
            <w:r>
              <w:rPr>
                <w:kern w:val="0"/>
                <w:u w:val="none"/>
              </w:rPr>
              <w:t>所示。</w:t>
            </w:r>
          </w:p>
          <w:p w14:paraId="218578A9">
            <w:pPr>
              <w:pStyle w:val="48"/>
              <w:adjustRightInd/>
              <w:spacing w:line="240" w:lineRule="auto"/>
              <w:rPr>
                <w:sz w:val="21"/>
                <w:szCs w:val="21"/>
                <w:u w:val="none"/>
              </w:rPr>
            </w:pPr>
            <w:r>
              <w:rPr>
                <w:sz w:val="21"/>
                <w:szCs w:val="21"/>
                <w:u w:val="none"/>
              </w:rPr>
              <w:t>表2-</w:t>
            </w:r>
            <w:r>
              <w:rPr>
                <w:rFonts w:hint="eastAsia"/>
                <w:sz w:val="21"/>
                <w:szCs w:val="21"/>
                <w:u w:val="none"/>
              </w:rPr>
              <w:t>2</w:t>
            </w:r>
            <w:r>
              <w:rPr>
                <w:sz w:val="21"/>
                <w:szCs w:val="21"/>
                <w:u w:val="none"/>
              </w:rPr>
              <w:t xml:space="preserve">   主要生产</w:t>
            </w:r>
            <w:r>
              <w:rPr>
                <w:rFonts w:hint="eastAsia"/>
                <w:sz w:val="21"/>
                <w:szCs w:val="21"/>
                <w:u w:val="none"/>
              </w:rPr>
              <w:t>设备</w:t>
            </w:r>
            <w:r>
              <w:rPr>
                <w:sz w:val="21"/>
                <w:szCs w:val="21"/>
                <w:u w:val="none"/>
              </w:rPr>
              <w:t>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3250"/>
              <w:gridCol w:w="2033"/>
              <w:gridCol w:w="2033"/>
            </w:tblGrid>
            <w:tr w14:paraId="6E24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Align w:val="center"/>
                </w:tcPr>
                <w:p w14:paraId="1C3C6833">
                  <w:pPr>
                    <w:jc w:val="center"/>
                    <w:rPr>
                      <w:b/>
                      <w:bCs/>
                      <w:szCs w:val="21"/>
                      <w:u w:val="none"/>
                    </w:rPr>
                  </w:pPr>
                  <w:r>
                    <w:rPr>
                      <w:b/>
                      <w:bCs/>
                      <w:szCs w:val="21"/>
                      <w:u w:val="none"/>
                    </w:rPr>
                    <w:t>序号</w:t>
                  </w:r>
                </w:p>
              </w:tc>
              <w:tc>
                <w:tcPr>
                  <w:tcW w:w="1933" w:type="pct"/>
                  <w:vAlign w:val="center"/>
                </w:tcPr>
                <w:p w14:paraId="5A50D9A0">
                  <w:pPr>
                    <w:jc w:val="center"/>
                    <w:rPr>
                      <w:b/>
                      <w:bCs/>
                      <w:szCs w:val="21"/>
                      <w:u w:val="none"/>
                    </w:rPr>
                  </w:pPr>
                  <w:r>
                    <w:rPr>
                      <w:b/>
                      <w:bCs/>
                      <w:szCs w:val="21"/>
                      <w:u w:val="none"/>
                    </w:rPr>
                    <w:t>设备名称</w:t>
                  </w:r>
                </w:p>
              </w:tc>
              <w:tc>
                <w:tcPr>
                  <w:tcW w:w="1210" w:type="pct"/>
                  <w:vAlign w:val="center"/>
                </w:tcPr>
                <w:p w14:paraId="6A7DBA74">
                  <w:pPr>
                    <w:jc w:val="center"/>
                    <w:rPr>
                      <w:b/>
                      <w:bCs/>
                      <w:szCs w:val="21"/>
                      <w:u w:val="none"/>
                    </w:rPr>
                  </w:pPr>
                  <w:r>
                    <w:rPr>
                      <w:rFonts w:hint="eastAsia"/>
                      <w:b/>
                      <w:bCs/>
                      <w:szCs w:val="21"/>
                      <w:u w:val="none"/>
                    </w:rPr>
                    <w:t>型号</w:t>
                  </w:r>
                </w:p>
              </w:tc>
              <w:tc>
                <w:tcPr>
                  <w:tcW w:w="1210" w:type="pct"/>
                  <w:vAlign w:val="center"/>
                </w:tcPr>
                <w:p w14:paraId="013F50C4">
                  <w:pPr>
                    <w:jc w:val="center"/>
                    <w:rPr>
                      <w:b/>
                      <w:bCs/>
                      <w:szCs w:val="21"/>
                      <w:u w:val="none"/>
                    </w:rPr>
                  </w:pPr>
                  <w:r>
                    <w:rPr>
                      <w:b/>
                      <w:bCs/>
                      <w:szCs w:val="21"/>
                      <w:u w:val="none"/>
                    </w:rPr>
                    <w:t>数量</w:t>
                  </w:r>
                </w:p>
              </w:tc>
            </w:tr>
            <w:tr w14:paraId="6FC5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5" w:type="pct"/>
                  <w:vAlign w:val="center"/>
                </w:tcPr>
                <w:p w14:paraId="0CC610CA">
                  <w:pPr>
                    <w:jc w:val="center"/>
                    <w:rPr>
                      <w:szCs w:val="21"/>
                      <w:u w:val="none"/>
                    </w:rPr>
                  </w:pPr>
                  <w:r>
                    <w:rPr>
                      <w:szCs w:val="21"/>
                      <w:u w:val="none"/>
                    </w:rPr>
                    <w:t>1</w:t>
                  </w:r>
                </w:p>
              </w:tc>
              <w:tc>
                <w:tcPr>
                  <w:tcW w:w="1933" w:type="pct"/>
                  <w:vAlign w:val="center"/>
                </w:tcPr>
                <w:p w14:paraId="6C2EE1E7">
                  <w:pPr>
                    <w:jc w:val="center"/>
                    <w:rPr>
                      <w:u w:val="none"/>
                    </w:rPr>
                  </w:pPr>
                  <w:r>
                    <w:rPr>
                      <w:rFonts w:hint="eastAsia"/>
                      <w:u w:val="none"/>
                    </w:rPr>
                    <w:t>装载机</w:t>
                  </w:r>
                </w:p>
              </w:tc>
              <w:tc>
                <w:tcPr>
                  <w:tcW w:w="1210" w:type="pct"/>
                  <w:vAlign w:val="center"/>
                </w:tcPr>
                <w:p w14:paraId="7E61E159">
                  <w:pPr>
                    <w:jc w:val="center"/>
                    <w:rPr>
                      <w:szCs w:val="21"/>
                      <w:u w:val="none"/>
                    </w:rPr>
                  </w:pPr>
                  <w:r>
                    <w:rPr>
                      <w:szCs w:val="21"/>
                      <w:u w:val="none"/>
                    </w:rPr>
                    <w:t>50型</w:t>
                  </w:r>
                </w:p>
              </w:tc>
              <w:tc>
                <w:tcPr>
                  <w:tcW w:w="1210" w:type="pct"/>
                  <w:vAlign w:val="center"/>
                </w:tcPr>
                <w:p w14:paraId="35CA3AD7">
                  <w:pPr>
                    <w:jc w:val="center"/>
                    <w:rPr>
                      <w:szCs w:val="21"/>
                      <w:u w:val="none"/>
                    </w:rPr>
                  </w:pPr>
                  <w:r>
                    <w:rPr>
                      <w:rFonts w:hint="eastAsia"/>
                      <w:szCs w:val="21"/>
                      <w:u w:val="none"/>
                    </w:rPr>
                    <w:t>3</w:t>
                  </w:r>
                  <w:r>
                    <w:rPr>
                      <w:szCs w:val="21"/>
                      <w:u w:val="none"/>
                    </w:rPr>
                    <w:t>台</w:t>
                  </w:r>
                </w:p>
              </w:tc>
            </w:tr>
            <w:tr w14:paraId="6A41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5" w:type="pct"/>
                  <w:vAlign w:val="center"/>
                </w:tcPr>
                <w:p w14:paraId="5D5C3D6A">
                  <w:pPr>
                    <w:jc w:val="center"/>
                    <w:rPr>
                      <w:szCs w:val="21"/>
                      <w:u w:val="none"/>
                    </w:rPr>
                  </w:pPr>
                  <w:r>
                    <w:rPr>
                      <w:rFonts w:hint="eastAsia"/>
                      <w:szCs w:val="21"/>
                      <w:u w:val="none"/>
                    </w:rPr>
                    <w:t>2</w:t>
                  </w:r>
                </w:p>
              </w:tc>
              <w:tc>
                <w:tcPr>
                  <w:tcW w:w="1933" w:type="pct"/>
                  <w:vAlign w:val="center"/>
                </w:tcPr>
                <w:p w14:paraId="4EC5C5B8">
                  <w:pPr>
                    <w:jc w:val="center"/>
                    <w:rPr>
                      <w:u w:val="none"/>
                    </w:rPr>
                  </w:pPr>
                  <w:r>
                    <w:rPr>
                      <w:rFonts w:hint="eastAsia"/>
                      <w:u w:val="none"/>
                    </w:rPr>
                    <w:t>高压水枪</w:t>
                  </w:r>
                </w:p>
              </w:tc>
              <w:tc>
                <w:tcPr>
                  <w:tcW w:w="1210" w:type="pct"/>
                  <w:vAlign w:val="center"/>
                </w:tcPr>
                <w:p w14:paraId="161C0A5C">
                  <w:pPr>
                    <w:jc w:val="center"/>
                    <w:rPr>
                      <w:szCs w:val="21"/>
                      <w:u w:val="none"/>
                    </w:rPr>
                  </w:pPr>
                  <w:r>
                    <w:rPr>
                      <w:rFonts w:hint="eastAsia"/>
                      <w:szCs w:val="21"/>
                      <w:u w:val="none"/>
                    </w:rPr>
                    <w:t>/</w:t>
                  </w:r>
                </w:p>
              </w:tc>
              <w:tc>
                <w:tcPr>
                  <w:tcW w:w="1210" w:type="pct"/>
                  <w:vAlign w:val="center"/>
                </w:tcPr>
                <w:p w14:paraId="3DE0E7D1">
                  <w:pPr>
                    <w:jc w:val="center"/>
                    <w:rPr>
                      <w:szCs w:val="21"/>
                      <w:u w:val="none"/>
                    </w:rPr>
                  </w:pPr>
                  <w:r>
                    <w:rPr>
                      <w:rFonts w:hint="eastAsia"/>
                      <w:szCs w:val="21"/>
                      <w:u w:val="none"/>
                    </w:rPr>
                    <w:t>1台</w:t>
                  </w:r>
                </w:p>
              </w:tc>
            </w:tr>
            <w:tr w14:paraId="5F79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5" w:type="pct"/>
                  <w:vAlign w:val="center"/>
                </w:tcPr>
                <w:p w14:paraId="6789EFE2">
                  <w:pPr>
                    <w:jc w:val="center"/>
                    <w:rPr>
                      <w:szCs w:val="21"/>
                      <w:u w:val="none"/>
                    </w:rPr>
                  </w:pPr>
                  <w:r>
                    <w:rPr>
                      <w:rFonts w:hint="eastAsia"/>
                      <w:szCs w:val="21"/>
                      <w:u w:val="none"/>
                    </w:rPr>
                    <w:t>3</w:t>
                  </w:r>
                </w:p>
              </w:tc>
              <w:tc>
                <w:tcPr>
                  <w:tcW w:w="1933" w:type="pct"/>
                  <w:vAlign w:val="center"/>
                </w:tcPr>
                <w:p w14:paraId="33F4EDB9">
                  <w:pPr>
                    <w:jc w:val="center"/>
                    <w:rPr>
                      <w:u w:val="none"/>
                    </w:rPr>
                  </w:pPr>
                  <w:r>
                    <w:rPr>
                      <w:u w:val="none"/>
                    </w:rPr>
                    <w:t>喷淋降尘系统</w:t>
                  </w:r>
                </w:p>
              </w:tc>
              <w:tc>
                <w:tcPr>
                  <w:tcW w:w="1210" w:type="pct"/>
                  <w:vAlign w:val="center"/>
                </w:tcPr>
                <w:p w14:paraId="11DF061F">
                  <w:pPr>
                    <w:jc w:val="center"/>
                    <w:rPr>
                      <w:szCs w:val="21"/>
                      <w:u w:val="none"/>
                    </w:rPr>
                  </w:pPr>
                  <w:r>
                    <w:rPr>
                      <w:rFonts w:hint="eastAsia"/>
                      <w:szCs w:val="21"/>
                      <w:u w:val="none"/>
                    </w:rPr>
                    <w:t>/</w:t>
                  </w:r>
                </w:p>
              </w:tc>
              <w:tc>
                <w:tcPr>
                  <w:tcW w:w="1210" w:type="pct"/>
                  <w:vAlign w:val="center"/>
                </w:tcPr>
                <w:p w14:paraId="328D7CA6">
                  <w:pPr>
                    <w:jc w:val="center"/>
                    <w:rPr>
                      <w:szCs w:val="21"/>
                      <w:u w:val="none"/>
                    </w:rPr>
                  </w:pPr>
                  <w:r>
                    <w:rPr>
                      <w:rFonts w:hint="eastAsia"/>
                      <w:szCs w:val="21"/>
                      <w:u w:val="none"/>
                    </w:rPr>
                    <w:t>1套</w:t>
                  </w:r>
                </w:p>
              </w:tc>
            </w:tr>
            <w:tr w14:paraId="066E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5" w:type="pct"/>
                  <w:vAlign w:val="center"/>
                </w:tcPr>
                <w:p w14:paraId="10A1AD37">
                  <w:pPr>
                    <w:jc w:val="center"/>
                    <w:rPr>
                      <w:szCs w:val="21"/>
                      <w:u w:val="none"/>
                    </w:rPr>
                  </w:pPr>
                  <w:r>
                    <w:rPr>
                      <w:rFonts w:hint="eastAsia"/>
                      <w:szCs w:val="21"/>
                      <w:u w:val="none"/>
                    </w:rPr>
                    <w:t>4</w:t>
                  </w:r>
                </w:p>
              </w:tc>
              <w:tc>
                <w:tcPr>
                  <w:tcW w:w="1933" w:type="pct"/>
                  <w:vAlign w:val="center"/>
                </w:tcPr>
                <w:p w14:paraId="0853DAA5">
                  <w:pPr>
                    <w:jc w:val="center"/>
                    <w:rPr>
                      <w:u w:val="none"/>
                    </w:rPr>
                  </w:pPr>
                  <w:r>
                    <w:rPr>
                      <w:rFonts w:hint="eastAsia"/>
                      <w:u w:val="none"/>
                    </w:rPr>
                    <w:t>运输车辆</w:t>
                  </w:r>
                </w:p>
              </w:tc>
              <w:tc>
                <w:tcPr>
                  <w:tcW w:w="1210" w:type="pct"/>
                  <w:vAlign w:val="center"/>
                </w:tcPr>
                <w:p w14:paraId="7438C484">
                  <w:pPr>
                    <w:jc w:val="center"/>
                    <w:rPr>
                      <w:szCs w:val="21"/>
                      <w:u w:val="none"/>
                    </w:rPr>
                  </w:pPr>
                  <w:r>
                    <w:rPr>
                      <w:rFonts w:hint="eastAsia"/>
                      <w:szCs w:val="21"/>
                      <w:u w:val="none"/>
                    </w:rPr>
                    <w:t>/</w:t>
                  </w:r>
                </w:p>
              </w:tc>
              <w:tc>
                <w:tcPr>
                  <w:tcW w:w="1210" w:type="pct"/>
                  <w:vAlign w:val="center"/>
                </w:tcPr>
                <w:p w14:paraId="0A13033F">
                  <w:pPr>
                    <w:jc w:val="center"/>
                    <w:rPr>
                      <w:szCs w:val="21"/>
                      <w:u w:val="none"/>
                    </w:rPr>
                  </w:pPr>
                  <w:r>
                    <w:rPr>
                      <w:rFonts w:hint="eastAsia"/>
                      <w:szCs w:val="21"/>
                      <w:u w:val="none"/>
                    </w:rPr>
                    <w:t>4辆</w:t>
                  </w:r>
                </w:p>
              </w:tc>
            </w:tr>
            <w:tr w14:paraId="4EF0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5" w:type="pct"/>
                  <w:vAlign w:val="center"/>
                </w:tcPr>
                <w:p w14:paraId="22DB3AE9">
                  <w:pPr>
                    <w:jc w:val="center"/>
                    <w:rPr>
                      <w:szCs w:val="21"/>
                      <w:u w:val="none"/>
                    </w:rPr>
                  </w:pPr>
                  <w:r>
                    <w:rPr>
                      <w:rFonts w:hint="eastAsia"/>
                      <w:szCs w:val="21"/>
                      <w:u w:val="none"/>
                    </w:rPr>
                    <w:t>5</w:t>
                  </w:r>
                </w:p>
              </w:tc>
              <w:tc>
                <w:tcPr>
                  <w:tcW w:w="1933" w:type="pct"/>
                  <w:vAlign w:val="center"/>
                </w:tcPr>
                <w:p w14:paraId="47343BF7">
                  <w:pPr>
                    <w:jc w:val="center"/>
                    <w:rPr>
                      <w:u w:val="none"/>
                    </w:rPr>
                  </w:pPr>
                  <w:r>
                    <w:rPr>
                      <w:rFonts w:hint="eastAsia"/>
                      <w:u w:val="none"/>
                    </w:rPr>
                    <w:t>水泵</w:t>
                  </w:r>
                </w:p>
              </w:tc>
              <w:tc>
                <w:tcPr>
                  <w:tcW w:w="1210" w:type="pct"/>
                  <w:vAlign w:val="center"/>
                </w:tcPr>
                <w:p w14:paraId="7E49E5AA">
                  <w:pPr>
                    <w:jc w:val="center"/>
                    <w:rPr>
                      <w:szCs w:val="21"/>
                      <w:u w:val="none"/>
                    </w:rPr>
                  </w:pPr>
                  <w:r>
                    <w:rPr>
                      <w:rFonts w:hint="eastAsia"/>
                      <w:szCs w:val="21"/>
                      <w:u w:val="none"/>
                    </w:rPr>
                    <w:t>/</w:t>
                  </w:r>
                </w:p>
              </w:tc>
              <w:tc>
                <w:tcPr>
                  <w:tcW w:w="1210" w:type="pct"/>
                  <w:vAlign w:val="center"/>
                </w:tcPr>
                <w:p w14:paraId="1DB6EF2D">
                  <w:pPr>
                    <w:jc w:val="center"/>
                    <w:rPr>
                      <w:szCs w:val="21"/>
                      <w:u w:val="none"/>
                    </w:rPr>
                  </w:pPr>
                  <w:r>
                    <w:rPr>
                      <w:rFonts w:hint="eastAsia"/>
                      <w:szCs w:val="21"/>
                      <w:u w:val="none"/>
                    </w:rPr>
                    <w:t>2台</w:t>
                  </w:r>
                </w:p>
              </w:tc>
            </w:tr>
            <w:tr w14:paraId="1D61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45" w:type="pct"/>
                  <w:vAlign w:val="center"/>
                </w:tcPr>
                <w:p w14:paraId="07B7A75D">
                  <w:pPr>
                    <w:jc w:val="center"/>
                    <w:rPr>
                      <w:szCs w:val="21"/>
                      <w:u w:val="none"/>
                    </w:rPr>
                  </w:pPr>
                  <w:r>
                    <w:rPr>
                      <w:rFonts w:hint="eastAsia"/>
                      <w:szCs w:val="21"/>
                      <w:u w:val="none"/>
                    </w:rPr>
                    <w:t>6</w:t>
                  </w:r>
                </w:p>
              </w:tc>
              <w:tc>
                <w:tcPr>
                  <w:tcW w:w="1933" w:type="pct"/>
                  <w:vAlign w:val="center"/>
                </w:tcPr>
                <w:p w14:paraId="4F430079">
                  <w:pPr>
                    <w:jc w:val="center"/>
                    <w:rPr>
                      <w:u w:val="none"/>
                    </w:rPr>
                  </w:pPr>
                  <w:r>
                    <w:rPr>
                      <w:rFonts w:hint="eastAsia"/>
                      <w:u w:val="none"/>
                    </w:rPr>
                    <w:t>一体化污水处理站</w:t>
                  </w:r>
                </w:p>
              </w:tc>
              <w:tc>
                <w:tcPr>
                  <w:tcW w:w="1210" w:type="pct"/>
                  <w:vAlign w:val="center"/>
                </w:tcPr>
                <w:p w14:paraId="55F867D4">
                  <w:pPr>
                    <w:jc w:val="center"/>
                    <w:rPr>
                      <w:szCs w:val="21"/>
                      <w:u w:val="none"/>
                    </w:rPr>
                  </w:pPr>
                  <w:r>
                    <w:rPr>
                      <w:rFonts w:hint="eastAsia"/>
                      <w:szCs w:val="21"/>
                      <w:u w:val="none"/>
                    </w:rPr>
                    <w:t>处理规模1m</w:t>
                  </w:r>
                  <w:r>
                    <w:rPr>
                      <w:rFonts w:hint="eastAsia"/>
                      <w:szCs w:val="21"/>
                      <w:u w:val="none"/>
                      <w:vertAlign w:val="superscript"/>
                    </w:rPr>
                    <w:t>3</w:t>
                  </w:r>
                  <w:r>
                    <w:rPr>
                      <w:rFonts w:hint="eastAsia"/>
                      <w:szCs w:val="21"/>
                      <w:u w:val="none"/>
                    </w:rPr>
                    <w:t>/d</w:t>
                  </w:r>
                </w:p>
              </w:tc>
              <w:tc>
                <w:tcPr>
                  <w:tcW w:w="1210" w:type="pct"/>
                  <w:vAlign w:val="center"/>
                </w:tcPr>
                <w:p w14:paraId="411377DF">
                  <w:pPr>
                    <w:jc w:val="center"/>
                    <w:rPr>
                      <w:szCs w:val="21"/>
                      <w:u w:val="none"/>
                    </w:rPr>
                  </w:pPr>
                  <w:r>
                    <w:rPr>
                      <w:rFonts w:hint="eastAsia"/>
                      <w:szCs w:val="21"/>
                      <w:u w:val="none"/>
                    </w:rPr>
                    <w:t>1套</w:t>
                  </w:r>
                </w:p>
              </w:tc>
            </w:tr>
          </w:tbl>
          <w:p w14:paraId="5D817E2B">
            <w:pPr>
              <w:pStyle w:val="49"/>
              <w:adjustRightInd/>
              <w:snapToGrid/>
              <w:spacing w:line="360" w:lineRule="auto"/>
              <w:ind w:firstLine="482" w:firstLineChars="200"/>
              <w:jc w:val="both"/>
              <w:rPr>
                <w:b/>
                <w:bCs/>
                <w:u w:val="none"/>
              </w:rPr>
            </w:pPr>
            <w:r>
              <w:rPr>
                <w:rFonts w:hint="eastAsia"/>
                <w:b/>
                <w:bCs/>
                <w:u w:val="none"/>
              </w:rPr>
              <w:t>6、</w:t>
            </w:r>
            <w:r>
              <w:rPr>
                <w:b/>
                <w:bCs/>
                <w:u w:val="none"/>
              </w:rPr>
              <w:t>主要生产单元及生产设施</w:t>
            </w:r>
          </w:p>
          <w:p w14:paraId="5C10BBBF">
            <w:pPr>
              <w:pStyle w:val="49"/>
              <w:adjustRightInd/>
              <w:snapToGrid/>
              <w:spacing w:line="360" w:lineRule="auto"/>
              <w:ind w:firstLine="480" w:firstLineChars="200"/>
              <w:jc w:val="both"/>
              <w:rPr>
                <w:kern w:val="0"/>
                <w:u w:val="none"/>
              </w:rPr>
            </w:pPr>
            <w:r>
              <w:rPr>
                <w:rFonts w:hint="eastAsia"/>
                <w:u w:val="none"/>
              </w:rPr>
              <w:t>项目原辅材料</w:t>
            </w:r>
            <w:r>
              <w:rPr>
                <w:u w:val="none"/>
              </w:rPr>
              <w:t>用量见表</w:t>
            </w:r>
            <w:r>
              <w:rPr>
                <w:rFonts w:hint="eastAsia"/>
                <w:u w:val="none"/>
              </w:rPr>
              <w:t>2-3</w:t>
            </w:r>
            <w:r>
              <w:rPr>
                <w:u w:val="none"/>
              </w:rPr>
              <w:t>所示</w:t>
            </w:r>
            <w:r>
              <w:rPr>
                <w:kern w:val="0"/>
                <w:u w:val="none"/>
              </w:rPr>
              <w:t>。</w:t>
            </w:r>
          </w:p>
          <w:p w14:paraId="73BE2437">
            <w:pPr>
              <w:pStyle w:val="48"/>
              <w:adjustRightInd/>
              <w:spacing w:line="240" w:lineRule="auto"/>
              <w:rPr>
                <w:snapToGrid w:val="0"/>
                <w:sz w:val="21"/>
                <w:szCs w:val="21"/>
                <w:u w:val="none"/>
              </w:rPr>
            </w:pPr>
            <w:r>
              <w:rPr>
                <w:sz w:val="21"/>
                <w:szCs w:val="21"/>
                <w:u w:val="none"/>
              </w:rPr>
              <w:t>表2-</w:t>
            </w:r>
            <w:r>
              <w:rPr>
                <w:rFonts w:hint="eastAsia"/>
                <w:sz w:val="21"/>
                <w:szCs w:val="21"/>
                <w:u w:val="none"/>
              </w:rPr>
              <w:t>3</w:t>
            </w:r>
            <w:r>
              <w:rPr>
                <w:sz w:val="21"/>
                <w:szCs w:val="21"/>
                <w:u w:val="none"/>
              </w:rPr>
              <w:t xml:space="preserve">   </w:t>
            </w:r>
            <w:r>
              <w:rPr>
                <w:rFonts w:hint="eastAsia"/>
                <w:snapToGrid w:val="0"/>
                <w:sz w:val="21"/>
                <w:szCs w:val="21"/>
                <w:u w:val="none"/>
              </w:rPr>
              <w:t>主要原辅材料</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9"/>
              <w:gridCol w:w="2802"/>
              <w:gridCol w:w="2801"/>
            </w:tblGrid>
            <w:tr w14:paraId="03C4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Pr>
                <w:p w14:paraId="7164DCB6">
                  <w:pPr>
                    <w:pStyle w:val="159"/>
                    <w:rPr>
                      <w:u w:val="none"/>
                    </w:rPr>
                  </w:pPr>
                  <w:r>
                    <w:rPr>
                      <w:rFonts w:hint="eastAsia"/>
                      <w:u w:val="none"/>
                    </w:rPr>
                    <w:t>名称</w:t>
                  </w:r>
                </w:p>
              </w:tc>
              <w:tc>
                <w:tcPr>
                  <w:tcW w:w="1667" w:type="pct"/>
                </w:tcPr>
                <w:p w14:paraId="61FA1E24">
                  <w:pPr>
                    <w:pStyle w:val="159"/>
                    <w:rPr>
                      <w:u w:val="none"/>
                    </w:rPr>
                  </w:pPr>
                  <w:r>
                    <w:rPr>
                      <w:rFonts w:hint="eastAsia"/>
                      <w:u w:val="none"/>
                    </w:rPr>
                    <w:t>年用量</w:t>
                  </w:r>
                </w:p>
              </w:tc>
              <w:tc>
                <w:tcPr>
                  <w:tcW w:w="1667" w:type="pct"/>
                </w:tcPr>
                <w:p w14:paraId="25757295">
                  <w:pPr>
                    <w:pStyle w:val="159"/>
                    <w:rPr>
                      <w:u w:val="none"/>
                    </w:rPr>
                  </w:pPr>
                  <w:r>
                    <w:rPr>
                      <w:rFonts w:hint="eastAsia"/>
                      <w:u w:val="none"/>
                    </w:rPr>
                    <w:t>来源</w:t>
                  </w:r>
                </w:p>
              </w:tc>
            </w:tr>
            <w:tr w14:paraId="06B1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Pr>
                <w:p w14:paraId="2308B259">
                  <w:pPr>
                    <w:pStyle w:val="159"/>
                    <w:rPr>
                      <w:u w:val="none"/>
                    </w:rPr>
                  </w:pPr>
                  <w:r>
                    <w:rPr>
                      <w:rFonts w:hint="eastAsia"/>
                      <w:u w:val="none"/>
                    </w:rPr>
                    <w:t>水</w:t>
                  </w:r>
                </w:p>
              </w:tc>
              <w:tc>
                <w:tcPr>
                  <w:tcW w:w="1667" w:type="pct"/>
                </w:tcPr>
                <w:p w14:paraId="30E893C8">
                  <w:pPr>
                    <w:pStyle w:val="159"/>
                    <w:rPr>
                      <w:u w:val="none"/>
                    </w:rPr>
                  </w:pPr>
                  <w:r>
                    <w:rPr>
                      <w:rFonts w:hint="eastAsia"/>
                      <w:u w:val="none"/>
                    </w:rPr>
                    <w:t>4341m</w:t>
                  </w:r>
                  <w:r>
                    <w:rPr>
                      <w:rFonts w:hint="eastAsia"/>
                      <w:u w:val="none"/>
                      <w:vertAlign w:val="superscript"/>
                    </w:rPr>
                    <w:t>3</w:t>
                  </w:r>
                </w:p>
              </w:tc>
              <w:tc>
                <w:tcPr>
                  <w:tcW w:w="1667" w:type="pct"/>
                </w:tcPr>
                <w:p w14:paraId="690B2362">
                  <w:pPr>
                    <w:pStyle w:val="159"/>
                    <w:rPr>
                      <w:u w:val="none"/>
                    </w:rPr>
                  </w:pPr>
                  <w:r>
                    <w:rPr>
                      <w:rFonts w:hint="eastAsia"/>
                      <w:u w:val="none"/>
                    </w:rPr>
                    <w:t>工业园区供水管网</w:t>
                  </w:r>
                </w:p>
              </w:tc>
            </w:tr>
            <w:tr w14:paraId="0BED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Pr>
                <w:p w14:paraId="5BA2F864">
                  <w:pPr>
                    <w:pStyle w:val="159"/>
                    <w:rPr>
                      <w:u w:val="none"/>
                    </w:rPr>
                  </w:pPr>
                  <w:r>
                    <w:rPr>
                      <w:rFonts w:hint="eastAsia"/>
                      <w:u w:val="none"/>
                    </w:rPr>
                    <w:t>电</w:t>
                  </w:r>
                </w:p>
              </w:tc>
              <w:tc>
                <w:tcPr>
                  <w:tcW w:w="1667" w:type="pct"/>
                </w:tcPr>
                <w:p w14:paraId="3D40F825">
                  <w:pPr>
                    <w:pStyle w:val="159"/>
                    <w:rPr>
                      <w:u w:val="none"/>
                    </w:rPr>
                  </w:pPr>
                  <w:r>
                    <w:rPr>
                      <w:rFonts w:hint="eastAsia"/>
                      <w:u w:val="none"/>
                    </w:rPr>
                    <w:t>0.5万</w:t>
                  </w:r>
                  <w:r>
                    <w:rPr>
                      <w:szCs w:val="21"/>
                      <w:u w:val="none"/>
                    </w:rPr>
                    <w:t>kW·h</w:t>
                  </w:r>
                </w:p>
              </w:tc>
              <w:tc>
                <w:tcPr>
                  <w:tcW w:w="1667" w:type="pct"/>
                </w:tcPr>
                <w:p w14:paraId="588F95EA">
                  <w:pPr>
                    <w:pStyle w:val="159"/>
                    <w:rPr>
                      <w:u w:val="none"/>
                    </w:rPr>
                  </w:pPr>
                  <w:r>
                    <w:rPr>
                      <w:rFonts w:hint="eastAsia"/>
                      <w:u w:val="none"/>
                    </w:rPr>
                    <w:t>工业园区电网</w:t>
                  </w:r>
                </w:p>
              </w:tc>
            </w:tr>
            <w:tr w14:paraId="0254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tcPr>
                <w:p w14:paraId="13207450">
                  <w:pPr>
                    <w:pStyle w:val="159"/>
                    <w:rPr>
                      <w:u w:val="none"/>
                    </w:rPr>
                  </w:pPr>
                  <w:r>
                    <w:rPr>
                      <w:rFonts w:hint="eastAsia"/>
                      <w:u w:val="none"/>
                    </w:rPr>
                    <w:t>磷矿石</w:t>
                  </w:r>
                </w:p>
              </w:tc>
              <w:tc>
                <w:tcPr>
                  <w:tcW w:w="1667" w:type="pct"/>
                </w:tcPr>
                <w:p w14:paraId="4AD5C13B">
                  <w:pPr>
                    <w:pStyle w:val="159"/>
                    <w:rPr>
                      <w:u w:val="none"/>
                    </w:rPr>
                  </w:pPr>
                  <w:r>
                    <w:rPr>
                      <w:rFonts w:hint="eastAsia"/>
                      <w:u w:val="none"/>
                    </w:rPr>
                    <w:t>110万吨</w:t>
                  </w:r>
                </w:p>
              </w:tc>
              <w:tc>
                <w:tcPr>
                  <w:tcW w:w="1667" w:type="pct"/>
                </w:tcPr>
                <w:p w14:paraId="5C5277CD">
                  <w:pPr>
                    <w:pStyle w:val="159"/>
                    <w:rPr>
                      <w:u w:val="none"/>
                    </w:rPr>
                  </w:pPr>
                  <w:r>
                    <w:rPr>
                      <w:rFonts w:hint="eastAsia"/>
                      <w:u w:val="none"/>
                    </w:rPr>
                    <w:t>贵州磷矿厂</w:t>
                  </w:r>
                </w:p>
              </w:tc>
            </w:tr>
          </w:tbl>
          <w:p w14:paraId="4091E1F9">
            <w:pPr>
              <w:pStyle w:val="49"/>
              <w:adjustRightInd/>
              <w:snapToGrid/>
              <w:spacing w:line="360" w:lineRule="auto"/>
              <w:ind w:firstLine="480" w:firstLineChars="200"/>
              <w:jc w:val="both"/>
              <w:rPr>
                <w:u w:val="none"/>
              </w:rPr>
            </w:pPr>
            <w:r>
              <w:rPr>
                <w:u w:val="none"/>
              </w:rPr>
              <w:t>本项目为磷矿石储运，储运中不涉及磷矿石破碎和筛分。除磷矿石外，无其他原辅料消耗。本项目储存磷矿外购于贵州磷矿厂，</w:t>
            </w:r>
            <w:r>
              <w:rPr>
                <w:rFonts w:hint="eastAsia"/>
                <w:u w:val="none"/>
              </w:rPr>
              <w:t>原料的运输由专用运输队伍利用集装箱通过铁路、货车直接运输至仓储大棚，</w:t>
            </w:r>
            <w:r>
              <w:rPr>
                <w:u w:val="none"/>
              </w:rPr>
              <w:t>磷矿石成分见下表（检验报告单见附件6）</w:t>
            </w:r>
            <w:r>
              <w:rPr>
                <w:rFonts w:hint="eastAsia"/>
                <w:u w:val="none"/>
              </w:rPr>
              <w:t>。</w:t>
            </w:r>
          </w:p>
          <w:p w14:paraId="53794A32">
            <w:pPr>
              <w:pStyle w:val="48"/>
              <w:adjustRightInd/>
              <w:spacing w:line="240" w:lineRule="auto"/>
              <w:rPr>
                <w:snapToGrid w:val="0"/>
                <w:sz w:val="21"/>
                <w:szCs w:val="21"/>
                <w:u w:val="none"/>
              </w:rPr>
            </w:pPr>
            <w:r>
              <w:rPr>
                <w:sz w:val="21"/>
                <w:szCs w:val="21"/>
                <w:u w:val="none"/>
              </w:rPr>
              <w:t>表2-</w:t>
            </w:r>
            <w:r>
              <w:rPr>
                <w:rFonts w:hint="eastAsia"/>
                <w:sz w:val="21"/>
                <w:szCs w:val="21"/>
                <w:u w:val="none"/>
              </w:rPr>
              <w:t>4</w:t>
            </w:r>
            <w:r>
              <w:rPr>
                <w:sz w:val="21"/>
                <w:szCs w:val="21"/>
                <w:u w:val="none"/>
              </w:rPr>
              <w:t xml:space="preserve">   磷矿石成分</w:t>
            </w:r>
            <w:r>
              <w:rPr>
                <w:rFonts w:hint="eastAsia"/>
                <w:snapToGrid w:val="0"/>
                <w:sz w:val="21"/>
                <w:szCs w:val="21"/>
                <w:u w:val="none"/>
              </w:rPr>
              <w:t>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827"/>
              <w:gridCol w:w="835"/>
              <w:gridCol w:w="791"/>
              <w:gridCol w:w="933"/>
              <w:gridCol w:w="996"/>
              <w:gridCol w:w="1458"/>
              <w:gridCol w:w="1510"/>
            </w:tblGrid>
            <w:tr w14:paraId="73C2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4" w:type="pct"/>
                  <w:vAlign w:val="center"/>
                </w:tcPr>
                <w:p w14:paraId="1599B852">
                  <w:pPr>
                    <w:pStyle w:val="159"/>
                    <w:rPr>
                      <w:u w:val="none"/>
                    </w:rPr>
                  </w:pPr>
                  <w:r>
                    <w:rPr>
                      <w:rFonts w:hint="eastAsia"/>
                      <w:u w:val="none"/>
                    </w:rPr>
                    <w:t>元素</w:t>
                  </w:r>
                </w:p>
              </w:tc>
              <w:tc>
                <w:tcPr>
                  <w:tcW w:w="492" w:type="pct"/>
                  <w:vAlign w:val="center"/>
                </w:tcPr>
                <w:p w14:paraId="2AD0F3A2">
                  <w:pPr>
                    <w:pStyle w:val="159"/>
                    <w:rPr>
                      <w:u w:val="none"/>
                    </w:rPr>
                  </w:pPr>
                  <w:r>
                    <w:rPr>
                      <w:rFonts w:hint="eastAsia"/>
                      <w:u w:val="none"/>
                    </w:rPr>
                    <w:t>P</w:t>
                  </w:r>
                  <w:r>
                    <w:rPr>
                      <w:rFonts w:hint="eastAsia"/>
                      <w:u w:val="none"/>
                      <w:vertAlign w:val="subscript"/>
                    </w:rPr>
                    <w:t>2</w:t>
                  </w:r>
                  <w:r>
                    <w:rPr>
                      <w:rFonts w:hint="eastAsia"/>
                      <w:u w:val="none"/>
                    </w:rPr>
                    <w:t>O</w:t>
                  </w:r>
                  <w:r>
                    <w:rPr>
                      <w:rFonts w:hint="eastAsia"/>
                      <w:u w:val="none"/>
                      <w:vertAlign w:val="subscript"/>
                    </w:rPr>
                    <w:t>5</w:t>
                  </w:r>
                </w:p>
              </w:tc>
              <w:tc>
                <w:tcPr>
                  <w:tcW w:w="497" w:type="pct"/>
                  <w:vAlign w:val="center"/>
                </w:tcPr>
                <w:p w14:paraId="0556AFFA">
                  <w:pPr>
                    <w:pStyle w:val="159"/>
                    <w:rPr>
                      <w:u w:val="none"/>
                    </w:rPr>
                  </w:pPr>
                  <w:r>
                    <w:rPr>
                      <w:rFonts w:hint="eastAsia"/>
                      <w:u w:val="none"/>
                    </w:rPr>
                    <w:t>Fe</w:t>
                  </w:r>
                  <w:r>
                    <w:rPr>
                      <w:rFonts w:hint="eastAsia"/>
                      <w:u w:val="none"/>
                      <w:vertAlign w:val="subscript"/>
                    </w:rPr>
                    <w:t>2</w:t>
                  </w:r>
                  <w:r>
                    <w:rPr>
                      <w:rFonts w:hint="eastAsia"/>
                      <w:u w:val="none"/>
                    </w:rPr>
                    <w:t>O</w:t>
                  </w:r>
                  <w:r>
                    <w:rPr>
                      <w:rFonts w:hint="eastAsia"/>
                      <w:u w:val="none"/>
                      <w:vertAlign w:val="subscript"/>
                    </w:rPr>
                    <w:t>3</w:t>
                  </w:r>
                </w:p>
              </w:tc>
              <w:tc>
                <w:tcPr>
                  <w:tcW w:w="471" w:type="pct"/>
                  <w:vAlign w:val="center"/>
                </w:tcPr>
                <w:p w14:paraId="3C97072E">
                  <w:pPr>
                    <w:pStyle w:val="159"/>
                    <w:rPr>
                      <w:u w:val="none"/>
                    </w:rPr>
                  </w:pPr>
                  <w:r>
                    <w:rPr>
                      <w:rFonts w:hint="eastAsia"/>
                      <w:u w:val="none"/>
                    </w:rPr>
                    <w:t>Al</w:t>
                  </w:r>
                  <w:r>
                    <w:rPr>
                      <w:rFonts w:hint="eastAsia"/>
                      <w:u w:val="none"/>
                      <w:vertAlign w:val="subscript"/>
                    </w:rPr>
                    <w:t>2</w:t>
                  </w:r>
                  <w:r>
                    <w:rPr>
                      <w:rFonts w:hint="eastAsia"/>
                      <w:u w:val="none"/>
                    </w:rPr>
                    <w:t>O</w:t>
                  </w:r>
                  <w:r>
                    <w:rPr>
                      <w:rFonts w:hint="eastAsia"/>
                      <w:u w:val="none"/>
                      <w:vertAlign w:val="subscript"/>
                    </w:rPr>
                    <w:t>3</w:t>
                  </w:r>
                </w:p>
              </w:tc>
              <w:tc>
                <w:tcPr>
                  <w:tcW w:w="554" w:type="pct"/>
                  <w:vAlign w:val="center"/>
                </w:tcPr>
                <w:p w14:paraId="09A7312C">
                  <w:pPr>
                    <w:pStyle w:val="159"/>
                    <w:rPr>
                      <w:u w:val="none"/>
                    </w:rPr>
                  </w:pPr>
                  <w:r>
                    <w:rPr>
                      <w:rFonts w:hint="eastAsia"/>
                      <w:u w:val="none"/>
                    </w:rPr>
                    <w:t>CaO</w:t>
                  </w:r>
                </w:p>
              </w:tc>
              <w:tc>
                <w:tcPr>
                  <w:tcW w:w="592" w:type="pct"/>
                  <w:vAlign w:val="center"/>
                </w:tcPr>
                <w:p w14:paraId="6AD12197">
                  <w:pPr>
                    <w:pStyle w:val="159"/>
                    <w:rPr>
                      <w:u w:val="none"/>
                    </w:rPr>
                  </w:pPr>
                  <w:r>
                    <w:rPr>
                      <w:rFonts w:hint="eastAsia"/>
                      <w:u w:val="none"/>
                    </w:rPr>
                    <w:t>MgO</w:t>
                  </w:r>
                </w:p>
              </w:tc>
              <w:tc>
                <w:tcPr>
                  <w:tcW w:w="867" w:type="pct"/>
                  <w:vAlign w:val="center"/>
                </w:tcPr>
                <w:p w14:paraId="45EAA58D">
                  <w:pPr>
                    <w:pStyle w:val="159"/>
                    <w:rPr>
                      <w:u w:val="none"/>
                    </w:rPr>
                  </w:pPr>
                  <w:r>
                    <w:rPr>
                      <w:rFonts w:hint="eastAsia"/>
                      <w:u w:val="none"/>
                    </w:rPr>
                    <w:t>酸不溶物</w:t>
                  </w:r>
                </w:p>
              </w:tc>
              <w:tc>
                <w:tcPr>
                  <w:tcW w:w="898" w:type="pct"/>
                  <w:vAlign w:val="center"/>
                </w:tcPr>
                <w:p w14:paraId="7E218E21">
                  <w:pPr>
                    <w:pStyle w:val="159"/>
                    <w:rPr>
                      <w:u w:val="none"/>
                    </w:rPr>
                  </w:pPr>
                  <w:r>
                    <w:rPr>
                      <w:rFonts w:hint="eastAsia"/>
                      <w:u w:val="none"/>
                    </w:rPr>
                    <w:t>灼烧失量</w:t>
                  </w:r>
                </w:p>
              </w:tc>
            </w:tr>
            <w:tr w14:paraId="6EC6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24" w:type="pct"/>
                  <w:vAlign w:val="center"/>
                </w:tcPr>
                <w:p w14:paraId="462E7B0A">
                  <w:pPr>
                    <w:pStyle w:val="159"/>
                    <w:rPr>
                      <w:u w:val="none"/>
                    </w:rPr>
                  </w:pPr>
                  <w:r>
                    <w:rPr>
                      <w:rFonts w:hint="eastAsia"/>
                      <w:u w:val="none"/>
                    </w:rPr>
                    <w:t>含量（%）</w:t>
                  </w:r>
                </w:p>
              </w:tc>
              <w:tc>
                <w:tcPr>
                  <w:tcW w:w="492" w:type="pct"/>
                  <w:vAlign w:val="center"/>
                </w:tcPr>
                <w:p w14:paraId="2242E187">
                  <w:pPr>
                    <w:pStyle w:val="159"/>
                    <w:rPr>
                      <w:u w:val="none"/>
                    </w:rPr>
                  </w:pPr>
                  <w:r>
                    <w:rPr>
                      <w:rFonts w:hint="eastAsia"/>
                      <w:u w:val="none"/>
                    </w:rPr>
                    <w:t>25.50</w:t>
                  </w:r>
                </w:p>
              </w:tc>
              <w:tc>
                <w:tcPr>
                  <w:tcW w:w="497" w:type="pct"/>
                  <w:vAlign w:val="center"/>
                </w:tcPr>
                <w:p w14:paraId="0ADDD399">
                  <w:pPr>
                    <w:jc w:val="center"/>
                    <w:rPr>
                      <w:u w:val="none"/>
                    </w:rPr>
                  </w:pPr>
                  <w:r>
                    <w:rPr>
                      <w:rFonts w:hint="eastAsia"/>
                      <w:u w:val="none"/>
                    </w:rPr>
                    <w:t>1.09</w:t>
                  </w:r>
                </w:p>
              </w:tc>
              <w:tc>
                <w:tcPr>
                  <w:tcW w:w="471" w:type="pct"/>
                  <w:vAlign w:val="center"/>
                </w:tcPr>
                <w:p w14:paraId="1770A582">
                  <w:pPr>
                    <w:jc w:val="center"/>
                    <w:rPr>
                      <w:u w:val="none"/>
                    </w:rPr>
                  </w:pPr>
                  <w:r>
                    <w:rPr>
                      <w:rFonts w:hint="eastAsia"/>
                      <w:u w:val="none"/>
                    </w:rPr>
                    <w:t>/</w:t>
                  </w:r>
                </w:p>
              </w:tc>
              <w:tc>
                <w:tcPr>
                  <w:tcW w:w="554" w:type="pct"/>
                  <w:vAlign w:val="center"/>
                </w:tcPr>
                <w:p w14:paraId="3CADE5A9">
                  <w:pPr>
                    <w:jc w:val="center"/>
                    <w:rPr>
                      <w:u w:val="none"/>
                    </w:rPr>
                  </w:pPr>
                  <w:r>
                    <w:rPr>
                      <w:rFonts w:hint="eastAsia"/>
                      <w:u w:val="none"/>
                    </w:rPr>
                    <w:t>42.95</w:t>
                  </w:r>
                </w:p>
              </w:tc>
              <w:tc>
                <w:tcPr>
                  <w:tcW w:w="592" w:type="pct"/>
                  <w:vAlign w:val="center"/>
                </w:tcPr>
                <w:p w14:paraId="7B10F678">
                  <w:pPr>
                    <w:jc w:val="center"/>
                    <w:rPr>
                      <w:u w:val="none"/>
                    </w:rPr>
                  </w:pPr>
                  <w:r>
                    <w:rPr>
                      <w:rFonts w:hint="eastAsia"/>
                      <w:u w:val="none"/>
                    </w:rPr>
                    <w:t>4.85</w:t>
                  </w:r>
                </w:p>
              </w:tc>
              <w:tc>
                <w:tcPr>
                  <w:tcW w:w="867" w:type="pct"/>
                  <w:vAlign w:val="center"/>
                </w:tcPr>
                <w:p w14:paraId="039E7528">
                  <w:pPr>
                    <w:jc w:val="center"/>
                    <w:rPr>
                      <w:u w:val="none"/>
                    </w:rPr>
                  </w:pPr>
                  <w:r>
                    <w:rPr>
                      <w:rFonts w:hint="eastAsia"/>
                      <w:u w:val="none"/>
                    </w:rPr>
                    <w:t>11.71</w:t>
                  </w:r>
                </w:p>
              </w:tc>
              <w:tc>
                <w:tcPr>
                  <w:tcW w:w="898" w:type="pct"/>
                  <w:vAlign w:val="center"/>
                </w:tcPr>
                <w:p w14:paraId="515C198A">
                  <w:pPr>
                    <w:pStyle w:val="159"/>
                    <w:rPr>
                      <w:u w:val="none"/>
                    </w:rPr>
                  </w:pPr>
                  <w:r>
                    <w:rPr>
                      <w:rFonts w:hint="eastAsia"/>
                      <w:u w:val="none"/>
                    </w:rPr>
                    <w:t>12.50</w:t>
                  </w:r>
                </w:p>
              </w:tc>
            </w:tr>
          </w:tbl>
          <w:p w14:paraId="6D548D1C">
            <w:pPr>
              <w:pStyle w:val="49"/>
              <w:adjustRightInd/>
              <w:snapToGrid/>
              <w:spacing w:line="360" w:lineRule="auto"/>
              <w:ind w:firstLine="480" w:firstLineChars="200"/>
              <w:jc w:val="both"/>
              <w:rPr>
                <w:u w:val="none"/>
              </w:rPr>
            </w:pPr>
            <w:r>
              <w:rPr>
                <w:rFonts w:hint="eastAsia"/>
                <w:u w:val="none"/>
              </w:rPr>
              <w:t>磷矿石是含磷的矿石，多产于</w:t>
            </w:r>
            <w:r>
              <w:rPr>
                <w:u w:val="none"/>
              </w:rPr>
              <w:fldChar w:fldCharType="begin"/>
            </w:r>
            <w:r>
              <w:rPr>
                <w:u w:val="none"/>
              </w:rPr>
              <w:instrText xml:space="preserve"> HYPERLINK "https://baike.so.com/doc/2251083-2381722.html" \t "https://baike.so.com/doc/_blank" </w:instrText>
            </w:r>
            <w:r>
              <w:rPr>
                <w:u w:val="none"/>
              </w:rPr>
              <w:fldChar w:fldCharType="separate"/>
            </w:r>
            <w:r>
              <w:rPr>
                <w:rFonts w:hint="eastAsia"/>
                <w:u w:val="none"/>
              </w:rPr>
              <w:t>沉积岩</w:t>
            </w:r>
            <w:r>
              <w:rPr>
                <w:rFonts w:hint="eastAsia"/>
                <w:u w:val="none"/>
              </w:rPr>
              <w:fldChar w:fldCharType="end"/>
            </w:r>
            <w:r>
              <w:rPr>
                <w:rFonts w:hint="eastAsia"/>
                <w:u w:val="none"/>
              </w:rPr>
              <w:t>，也有产于</w:t>
            </w:r>
            <w:r>
              <w:rPr>
                <w:u w:val="none"/>
              </w:rPr>
              <w:fldChar w:fldCharType="begin"/>
            </w:r>
            <w:r>
              <w:rPr>
                <w:u w:val="none"/>
              </w:rPr>
              <w:instrText xml:space="preserve"> HYPERLINK "https://baike.so.com/doc/3253533-3428101.html" \t "https://baike.so.com/doc/_blank" </w:instrText>
            </w:r>
            <w:r>
              <w:rPr>
                <w:u w:val="none"/>
              </w:rPr>
              <w:fldChar w:fldCharType="separate"/>
            </w:r>
            <w:r>
              <w:rPr>
                <w:rFonts w:hint="eastAsia"/>
                <w:u w:val="none"/>
              </w:rPr>
              <w:t>变质岩</w:t>
            </w:r>
            <w:r>
              <w:rPr>
                <w:rFonts w:hint="eastAsia"/>
                <w:u w:val="none"/>
              </w:rPr>
              <w:fldChar w:fldCharType="end"/>
            </w:r>
            <w:r>
              <w:rPr>
                <w:rFonts w:hint="eastAsia"/>
                <w:u w:val="none"/>
              </w:rPr>
              <w:t>和</w:t>
            </w:r>
            <w:r>
              <w:rPr>
                <w:u w:val="none"/>
              </w:rPr>
              <w:fldChar w:fldCharType="begin"/>
            </w:r>
            <w:r>
              <w:rPr>
                <w:u w:val="none"/>
              </w:rPr>
              <w:instrText xml:space="preserve"> HYPERLINK "https://baike.so.com/doc/3755681-3945494.html" \t "https://baike.so.com/doc/_blank" </w:instrText>
            </w:r>
            <w:r>
              <w:rPr>
                <w:u w:val="none"/>
              </w:rPr>
              <w:fldChar w:fldCharType="separate"/>
            </w:r>
            <w:r>
              <w:rPr>
                <w:rFonts w:hint="eastAsia"/>
                <w:u w:val="none"/>
              </w:rPr>
              <w:t>火成岩</w:t>
            </w:r>
            <w:r>
              <w:rPr>
                <w:rFonts w:hint="eastAsia"/>
                <w:u w:val="none"/>
              </w:rPr>
              <w:fldChar w:fldCharType="end"/>
            </w:r>
            <w:r>
              <w:rPr>
                <w:rFonts w:hint="eastAsia"/>
                <w:u w:val="none"/>
              </w:rPr>
              <w:t>。除个别情况外，矿物中的磷总是以</w:t>
            </w:r>
            <w:r>
              <w:rPr>
                <w:u w:val="none"/>
              </w:rPr>
              <w:fldChar w:fldCharType="begin"/>
            </w:r>
            <w:r>
              <w:rPr>
                <w:u w:val="none"/>
              </w:rPr>
              <w:instrText xml:space="preserve"> HYPERLINK "https://baike.so.com/doc/203044-214690.html" \t "https://baike.so.com/doc/_blank" </w:instrText>
            </w:r>
            <w:r>
              <w:rPr>
                <w:u w:val="none"/>
              </w:rPr>
              <w:fldChar w:fldCharType="separate"/>
            </w:r>
            <w:r>
              <w:rPr>
                <w:rFonts w:hint="eastAsia"/>
                <w:u w:val="none"/>
              </w:rPr>
              <w:t>正磷酸盐</w:t>
            </w:r>
            <w:r>
              <w:rPr>
                <w:rFonts w:hint="eastAsia"/>
                <w:u w:val="none"/>
              </w:rPr>
              <w:fldChar w:fldCharType="end"/>
            </w:r>
            <w:r>
              <w:rPr>
                <w:rFonts w:hint="eastAsia"/>
                <w:u w:val="none"/>
              </w:rPr>
              <w:t>形态存在，磷的主要矿物为</w:t>
            </w:r>
            <w:r>
              <w:rPr>
                <w:u w:val="none"/>
              </w:rPr>
              <w:fldChar w:fldCharType="begin"/>
            </w:r>
            <w:r>
              <w:rPr>
                <w:u w:val="none"/>
              </w:rPr>
              <w:instrText xml:space="preserve"> HYPERLINK "https://baike.so.com/doc/3962310-4157854.html" \t "https://baike.so.com/doc/_blank" </w:instrText>
            </w:r>
            <w:r>
              <w:rPr>
                <w:u w:val="none"/>
              </w:rPr>
              <w:fldChar w:fldCharType="separate"/>
            </w:r>
            <w:r>
              <w:rPr>
                <w:rFonts w:hint="eastAsia"/>
                <w:u w:val="none"/>
              </w:rPr>
              <w:t>磷灰石</w:t>
            </w:r>
            <w:r>
              <w:rPr>
                <w:rFonts w:hint="eastAsia"/>
                <w:u w:val="none"/>
              </w:rPr>
              <w:fldChar w:fldCharType="end"/>
            </w:r>
            <w:r>
              <w:rPr>
                <w:rFonts w:hint="eastAsia"/>
                <w:u w:val="none"/>
              </w:rPr>
              <w:t>。其主要成分是磷酸钙，同时还会含有氟、氯、硅、铝等其他元素。磷矿石是工业生产中重要的磷源，广泛用于生产磷肥、磷酸、黄磷、农药等产品。</w:t>
            </w:r>
          </w:p>
          <w:p w14:paraId="734C53C0">
            <w:pPr>
              <w:pStyle w:val="49"/>
              <w:adjustRightInd/>
              <w:snapToGrid/>
              <w:spacing w:line="360" w:lineRule="auto"/>
              <w:ind w:firstLine="480" w:firstLineChars="200"/>
              <w:jc w:val="both"/>
              <w:rPr>
                <w:b/>
                <w:bCs/>
                <w:u w:val="none"/>
              </w:rPr>
            </w:pPr>
            <w:r>
              <w:rPr>
                <w:rFonts w:hint="eastAsia"/>
                <w:u w:val="none"/>
              </w:rPr>
              <w:t>为了确定不同组成的磷矿石中的有效磷含量，我国一般将磷酸盐折算成五氧化二磷，用五氧化二磷的质量分数表示磷矿石中的磷含量。</w:t>
            </w:r>
          </w:p>
          <w:p w14:paraId="17EAD47C">
            <w:pPr>
              <w:pStyle w:val="49"/>
              <w:adjustRightInd/>
              <w:snapToGrid/>
              <w:spacing w:line="360" w:lineRule="auto"/>
              <w:ind w:firstLine="482" w:firstLineChars="200"/>
              <w:jc w:val="both"/>
              <w:rPr>
                <w:b/>
                <w:bCs/>
                <w:u w:val="none"/>
              </w:rPr>
            </w:pPr>
            <w:r>
              <w:rPr>
                <w:rFonts w:hint="eastAsia"/>
                <w:b/>
                <w:bCs/>
                <w:u w:val="none"/>
              </w:rPr>
              <w:t>7、</w:t>
            </w:r>
            <w:r>
              <w:rPr>
                <w:b/>
                <w:bCs/>
                <w:u w:val="none"/>
              </w:rPr>
              <w:t>劳动定员及工作制度</w:t>
            </w:r>
          </w:p>
          <w:p w14:paraId="561761DF">
            <w:pPr>
              <w:pStyle w:val="49"/>
              <w:adjustRightInd/>
              <w:snapToGrid/>
              <w:spacing w:line="360" w:lineRule="auto"/>
              <w:ind w:firstLine="480" w:firstLineChars="200"/>
              <w:jc w:val="both"/>
              <w:rPr>
                <w:u w:val="none"/>
              </w:rPr>
            </w:pPr>
            <w:r>
              <w:rPr>
                <w:rFonts w:hint="eastAsia"/>
                <w:u w:val="none"/>
              </w:rPr>
              <w:t>项目</w:t>
            </w:r>
            <w:r>
              <w:rPr>
                <w:u w:val="none"/>
              </w:rPr>
              <w:t>建成后，实行</w:t>
            </w:r>
            <w:r>
              <w:rPr>
                <w:rFonts w:hint="eastAsia"/>
                <w:u w:val="none"/>
              </w:rPr>
              <w:t>一</w:t>
            </w:r>
            <w:r>
              <w:rPr>
                <w:u w:val="none"/>
              </w:rPr>
              <w:t>班制。全年工作</w:t>
            </w:r>
            <w:r>
              <w:rPr>
                <w:rFonts w:hint="eastAsia"/>
                <w:u w:val="none"/>
              </w:rPr>
              <w:t>300</w:t>
            </w:r>
            <w:r>
              <w:rPr>
                <w:u w:val="none"/>
              </w:rPr>
              <w:t>天，每</w:t>
            </w:r>
            <w:r>
              <w:rPr>
                <w:rFonts w:hint="eastAsia"/>
                <w:u w:val="none"/>
              </w:rPr>
              <w:t>天8</w:t>
            </w:r>
            <w:r>
              <w:rPr>
                <w:u w:val="none"/>
              </w:rPr>
              <w:t>小时，</w:t>
            </w:r>
            <w:r>
              <w:rPr>
                <w:rFonts w:hint="eastAsia"/>
                <w:u w:val="none"/>
              </w:rPr>
              <w:t>劳动</w:t>
            </w:r>
            <w:r>
              <w:rPr>
                <w:u w:val="none"/>
              </w:rPr>
              <w:t>定员</w:t>
            </w:r>
            <w:r>
              <w:rPr>
                <w:rFonts w:hint="eastAsia"/>
                <w:u w:val="none"/>
              </w:rPr>
              <w:t>5</w:t>
            </w:r>
            <w:r>
              <w:rPr>
                <w:u w:val="none"/>
              </w:rPr>
              <w:t>人，其中生产人员</w:t>
            </w:r>
            <w:r>
              <w:rPr>
                <w:rFonts w:hint="eastAsia"/>
                <w:u w:val="none"/>
              </w:rPr>
              <w:t>4</w:t>
            </w:r>
            <w:r>
              <w:rPr>
                <w:u w:val="none"/>
              </w:rPr>
              <w:t>名、管理人员</w:t>
            </w:r>
            <w:r>
              <w:rPr>
                <w:rFonts w:hint="eastAsia"/>
                <w:u w:val="none"/>
              </w:rPr>
              <w:t>1</w:t>
            </w:r>
            <w:r>
              <w:rPr>
                <w:u w:val="none"/>
              </w:rPr>
              <w:t>人</w:t>
            </w:r>
            <w:r>
              <w:rPr>
                <w:rFonts w:hint="eastAsia"/>
                <w:u w:val="none"/>
              </w:rPr>
              <w:t>，工作人员在厂区用餐，管理人员在厂内食宿</w:t>
            </w:r>
            <w:r>
              <w:rPr>
                <w:u w:val="none"/>
              </w:rPr>
              <w:t>。</w:t>
            </w:r>
          </w:p>
          <w:p w14:paraId="7DCA5AD5">
            <w:pPr>
              <w:wordWrap w:val="0"/>
              <w:spacing w:line="360" w:lineRule="auto"/>
              <w:ind w:firstLine="482" w:firstLineChars="200"/>
              <w:rPr>
                <w:b/>
                <w:bCs/>
                <w:sz w:val="24"/>
                <w:u w:val="none"/>
              </w:rPr>
            </w:pPr>
            <w:r>
              <w:rPr>
                <w:rFonts w:hint="eastAsia"/>
                <w:b/>
                <w:bCs/>
                <w:sz w:val="24"/>
                <w:u w:val="none"/>
              </w:rPr>
              <w:t>8</w:t>
            </w:r>
            <w:r>
              <w:rPr>
                <w:b/>
                <w:bCs/>
                <w:sz w:val="24"/>
                <w:u w:val="none"/>
              </w:rPr>
              <w:t>、</w:t>
            </w:r>
            <w:r>
              <w:rPr>
                <w:rFonts w:hint="eastAsia"/>
                <w:b/>
                <w:bCs/>
                <w:sz w:val="24"/>
                <w:u w:val="none"/>
              </w:rPr>
              <w:t>水平衡分析</w:t>
            </w:r>
          </w:p>
          <w:p w14:paraId="46D65202">
            <w:pPr>
              <w:wordWrap w:val="0"/>
              <w:spacing w:line="360" w:lineRule="auto"/>
              <w:ind w:firstLine="480" w:firstLineChars="200"/>
              <w:rPr>
                <w:b/>
                <w:bCs/>
                <w:sz w:val="24"/>
                <w:u w:val="none"/>
              </w:rPr>
            </w:pPr>
            <w:r>
              <w:rPr>
                <w:sz w:val="24"/>
                <w:u w:val="none"/>
              </w:rPr>
              <w:t>项目运营期间用水主要包括</w:t>
            </w:r>
            <w:r>
              <w:rPr>
                <w:rFonts w:hint="eastAsia"/>
                <w:sz w:val="24"/>
                <w:u w:val="none"/>
              </w:rPr>
              <w:t>降尘用水、车辆清洗用水、职工办公生活</w:t>
            </w:r>
            <w:r>
              <w:rPr>
                <w:rFonts w:hint="eastAsia"/>
                <w:sz w:val="24"/>
                <w:u w:val="thick" w:color="FFB03A"/>
                <w:shd w:val="clear" w:fill="FFEFD7"/>
              </w:rPr>
              <w:t>用水</w:t>
            </w:r>
            <w:r>
              <w:rPr>
                <w:sz w:val="24"/>
                <w:u w:val="none"/>
              </w:rPr>
              <w:t>。</w:t>
            </w:r>
          </w:p>
          <w:p w14:paraId="7F038A48">
            <w:pPr>
              <w:wordWrap w:val="0"/>
              <w:snapToGrid w:val="0"/>
              <w:spacing w:line="360" w:lineRule="auto"/>
              <w:ind w:firstLine="482" w:firstLineChars="200"/>
              <w:rPr>
                <w:b/>
                <w:sz w:val="24"/>
                <w:u w:val="none"/>
              </w:rPr>
            </w:pPr>
            <w:r>
              <w:rPr>
                <w:rFonts w:hint="eastAsia"/>
                <w:b/>
                <w:sz w:val="24"/>
                <w:u w:val="none"/>
              </w:rPr>
              <w:t>（1）降尘用水</w:t>
            </w:r>
          </w:p>
          <w:p w14:paraId="3844A9AC">
            <w:pPr>
              <w:pStyle w:val="49"/>
              <w:adjustRightInd/>
              <w:snapToGrid/>
              <w:spacing w:line="360" w:lineRule="auto"/>
              <w:jc w:val="both"/>
              <w:rPr>
                <w:bCs/>
                <w:u w:val="none"/>
              </w:rPr>
            </w:pPr>
            <w:r>
              <w:rPr>
                <w:u w:val="none"/>
                <w:lang w:val="zh-CN"/>
              </w:rPr>
              <w:t>项目</w:t>
            </w:r>
            <w:r>
              <w:rPr>
                <w:rFonts w:hint="eastAsia"/>
                <w:u w:val="none"/>
              </w:rPr>
              <w:t>仓储</w:t>
            </w:r>
            <w:r>
              <w:rPr>
                <w:rFonts w:hint="eastAsia"/>
                <w:u w:val="none"/>
                <w:lang w:val="zh-CN"/>
              </w:rPr>
              <w:t>大棚</w:t>
            </w:r>
            <w:r>
              <w:rPr>
                <w:u w:val="none"/>
                <w:lang w:val="zh-CN"/>
              </w:rPr>
              <w:t>内建设喷雾降尘设施，对</w:t>
            </w:r>
            <w:r>
              <w:rPr>
                <w:rFonts w:hint="eastAsia"/>
                <w:u w:val="none"/>
              </w:rPr>
              <w:t>大棚</w:t>
            </w:r>
            <w:r>
              <w:rPr>
                <w:u w:val="none"/>
                <w:lang w:val="zh-CN"/>
              </w:rPr>
              <w:t>内进行喷雾降尘。项目</w:t>
            </w:r>
            <w:r>
              <w:rPr>
                <w:rFonts w:hint="eastAsia"/>
                <w:u w:val="none"/>
              </w:rPr>
              <w:t>仓储</w:t>
            </w:r>
            <w:r>
              <w:rPr>
                <w:u w:val="none"/>
                <w:lang w:val="zh-CN"/>
              </w:rPr>
              <w:t>大棚棚顶共设置约</w:t>
            </w:r>
            <w:r>
              <w:rPr>
                <w:u w:val="none"/>
              </w:rPr>
              <w:t>1</w:t>
            </w:r>
            <w:r>
              <w:rPr>
                <w:rFonts w:hint="eastAsia"/>
                <w:u w:val="none"/>
              </w:rPr>
              <w:t>00</w:t>
            </w:r>
            <w:r>
              <w:rPr>
                <w:u w:val="none"/>
                <w:lang w:val="zh-CN"/>
              </w:rPr>
              <w:t>个喷头，每天雾化喷淋洒水时间和装卸作业时间一致，约每天4小时，根据目前市面上喷雾喷头（喷嘴）参数：水流量为0.5L/min，经计算，雾化喷淋洒水约</w:t>
            </w:r>
            <w:r>
              <w:rPr>
                <w:rFonts w:hint="eastAsia"/>
                <w:u w:val="none"/>
              </w:rPr>
              <w:t>12</w:t>
            </w:r>
            <w:r>
              <w:rPr>
                <w:rFonts w:hint="eastAsia"/>
                <w:u w:val="none"/>
                <w:lang w:val="zh-CN"/>
              </w:rPr>
              <w:t>m</w:t>
            </w:r>
            <w:r>
              <w:rPr>
                <w:rFonts w:hint="eastAsia"/>
                <w:u w:val="none"/>
                <w:vertAlign w:val="superscript"/>
                <w:lang w:val="zh-CN"/>
              </w:rPr>
              <w:t>3</w:t>
            </w:r>
            <w:r>
              <w:rPr>
                <w:u w:val="none"/>
                <w:lang w:val="zh-CN"/>
              </w:rPr>
              <w:t>/d（</w:t>
            </w:r>
            <w:r>
              <w:rPr>
                <w:rFonts w:hint="eastAsia"/>
                <w:u w:val="none"/>
              </w:rPr>
              <w:t>3600</w:t>
            </w:r>
            <w:r>
              <w:rPr>
                <w:rFonts w:hint="eastAsia"/>
                <w:u w:val="none"/>
                <w:lang w:val="zh-CN"/>
              </w:rPr>
              <w:t>m</w:t>
            </w:r>
            <w:r>
              <w:rPr>
                <w:rFonts w:hint="eastAsia"/>
                <w:u w:val="none"/>
                <w:vertAlign w:val="superscript"/>
                <w:lang w:val="zh-CN"/>
              </w:rPr>
              <w:t>3</w:t>
            </w:r>
            <w:r>
              <w:rPr>
                <w:u w:val="none"/>
                <w:lang w:val="zh-CN"/>
              </w:rPr>
              <w:t>/a），该部分水均自然蒸发，无废水产生</w:t>
            </w:r>
            <w:r>
              <w:rPr>
                <w:u w:val="none"/>
              </w:rPr>
              <w:t>。</w:t>
            </w:r>
          </w:p>
          <w:p w14:paraId="6EAE4951">
            <w:pPr>
              <w:wordWrap w:val="0"/>
              <w:snapToGrid w:val="0"/>
              <w:spacing w:line="360" w:lineRule="auto"/>
              <w:ind w:firstLine="482" w:firstLineChars="200"/>
              <w:rPr>
                <w:b/>
                <w:sz w:val="24"/>
                <w:u w:val="none"/>
              </w:rPr>
            </w:pPr>
            <w:r>
              <w:rPr>
                <w:rFonts w:hint="eastAsia"/>
                <w:b/>
                <w:bCs/>
                <w:kern w:val="0"/>
                <w:sz w:val="24"/>
                <w:u w:val="none"/>
                <w:lang w:val="zh-CN"/>
              </w:rPr>
              <w:t>（</w:t>
            </w:r>
            <w:r>
              <w:rPr>
                <w:rFonts w:hint="eastAsia"/>
                <w:b/>
                <w:bCs/>
                <w:kern w:val="0"/>
                <w:sz w:val="24"/>
                <w:u w:val="none"/>
              </w:rPr>
              <w:t>2</w:t>
            </w:r>
            <w:r>
              <w:rPr>
                <w:rFonts w:hint="eastAsia"/>
                <w:b/>
                <w:bCs/>
                <w:kern w:val="0"/>
                <w:sz w:val="24"/>
                <w:u w:val="none"/>
                <w:lang w:val="zh-CN"/>
              </w:rPr>
              <w:t>）厂区空地</w:t>
            </w:r>
            <w:r>
              <w:rPr>
                <w:b/>
                <w:sz w:val="24"/>
                <w:u w:val="none"/>
              </w:rPr>
              <w:t>降尘用水</w:t>
            </w:r>
          </w:p>
          <w:p w14:paraId="0928BD9A">
            <w:pPr>
              <w:spacing w:line="360" w:lineRule="auto"/>
              <w:ind w:firstLine="480" w:firstLineChars="200"/>
              <w:jc w:val="left"/>
              <w:rPr>
                <w:sz w:val="24"/>
                <w:u w:val="none"/>
              </w:rPr>
            </w:pPr>
            <w:r>
              <w:rPr>
                <w:sz w:val="24"/>
                <w:u w:val="none"/>
              </w:rPr>
              <w:t>项目</w:t>
            </w:r>
            <w:r>
              <w:rPr>
                <w:rFonts w:hint="eastAsia"/>
                <w:sz w:val="24"/>
                <w:u w:val="thick" w:color="FFB03A"/>
                <w:shd w:val="clear" w:fill="FFEFD7"/>
              </w:rPr>
              <w:t>厂区空地</w:t>
            </w:r>
            <w:r>
              <w:rPr>
                <w:sz w:val="24"/>
                <w:u w:val="thick" w:color="FFB03A"/>
                <w:shd w:val="clear" w:fill="FFEFD7"/>
              </w:rPr>
              <w:t>面积</w:t>
            </w:r>
            <w:r>
              <w:rPr>
                <w:sz w:val="24"/>
                <w:u w:val="none"/>
              </w:rPr>
              <w:t>约</w:t>
            </w:r>
            <w:r>
              <w:rPr>
                <w:rFonts w:hint="eastAsia"/>
                <w:sz w:val="24"/>
                <w:u w:val="none"/>
              </w:rPr>
              <w:t>300</w:t>
            </w:r>
            <w:r>
              <w:rPr>
                <w:sz w:val="24"/>
                <w:u w:val="none"/>
              </w:rPr>
              <w:t>m</w:t>
            </w:r>
            <w:r>
              <w:rPr>
                <w:sz w:val="24"/>
                <w:u w:val="none"/>
                <w:vertAlign w:val="superscript"/>
              </w:rPr>
              <w:t>2</w:t>
            </w:r>
            <w:r>
              <w:rPr>
                <w:sz w:val="24"/>
                <w:u w:val="none"/>
              </w:rPr>
              <w:t>，</w:t>
            </w:r>
            <w:r>
              <w:rPr>
                <w:rFonts w:hint="eastAsia"/>
                <w:sz w:val="24"/>
                <w:u w:val="none"/>
              </w:rPr>
              <w:t>洒水降尘按2L/m</w:t>
            </w:r>
            <w:r>
              <w:rPr>
                <w:rFonts w:hint="eastAsia"/>
                <w:sz w:val="24"/>
                <w:u w:val="none"/>
                <w:vertAlign w:val="superscript"/>
              </w:rPr>
              <w:t>2</w:t>
            </w:r>
            <w:r>
              <w:rPr>
                <w:sz w:val="24"/>
                <w:u w:val="none"/>
              </w:rPr>
              <w:t>·</w:t>
            </w:r>
            <w:r>
              <w:rPr>
                <w:rFonts w:hint="eastAsia"/>
                <w:sz w:val="24"/>
                <w:u w:val="none"/>
              </w:rPr>
              <w:t>次计，晴天按225d计，晴天每天洒水2次，则厂区洒水降尘用水量为1.2m</w:t>
            </w:r>
            <w:r>
              <w:rPr>
                <w:rFonts w:hint="eastAsia"/>
                <w:sz w:val="24"/>
                <w:u w:val="none"/>
                <w:vertAlign w:val="superscript"/>
              </w:rPr>
              <w:t>3</w:t>
            </w:r>
            <w:r>
              <w:rPr>
                <w:rFonts w:hint="eastAsia"/>
                <w:sz w:val="24"/>
                <w:u w:val="none"/>
              </w:rPr>
              <w:t>/d，270m</w:t>
            </w:r>
            <w:r>
              <w:rPr>
                <w:rFonts w:hint="eastAsia"/>
                <w:sz w:val="24"/>
                <w:u w:val="none"/>
                <w:vertAlign w:val="superscript"/>
              </w:rPr>
              <w:t>3</w:t>
            </w:r>
            <w:r>
              <w:rPr>
                <w:rFonts w:hint="eastAsia"/>
                <w:sz w:val="24"/>
                <w:u w:val="none"/>
              </w:rPr>
              <w:t>/a。</w:t>
            </w:r>
            <w:r>
              <w:rPr>
                <w:sz w:val="24"/>
                <w:u w:val="none"/>
                <w:lang w:val="zh-CN"/>
              </w:rPr>
              <w:t>降尘用水全部自然蒸发，无废水产生</w:t>
            </w:r>
            <w:r>
              <w:rPr>
                <w:rFonts w:hint="eastAsia"/>
                <w:sz w:val="24"/>
                <w:u w:val="none"/>
                <w:lang w:val="zh-CN"/>
              </w:rPr>
              <w:t>。</w:t>
            </w:r>
          </w:p>
          <w:p w14:paraId="38A748E0">
            <w:pPr>
              <w:wordWrap w:val="0"/>
              <w:snapToGrid w:val="0"/>
              <w:spacing w:line="360" w:lineRule="auto"/>
              <w:ind w:firstLine="482" w:firstLineChars="200"/>
              <w:rPr>
                <w:b/>
                <w:bCs/>
                <w:sz w:val="24"/>
                <w:u w:val="none"/>
              </w:rPr>
            </w:pPr>
            <w:r>
              <w:rPr>
                <w:rFonts w:hint="eastAsia"/>
                <w:b/>
                <w:bCs/>
                <w:sz w:val="24"/>
                <w:u w:val="none"/>
              </w:rPr>
              <w:t>（3）运输车辆清洗用水</w:t>
            </w:r>
          </w:p>
          <w:p w14:paraId="56A4DC53">
            <w:pPr>
              <w:wordWrap w:val="0"/>
              <w:spacing w:line="360" w:lineRule="auto"/>
              <w:ind w:firstLine="480" w:firstLineChars="200"/>
              <w:jc w:val="left"/>
              <w:rPr>
                <w:sz w:val="24"/>
                <w:u w:val="none"/>
              </w:rPr>
            </w:pPr>
            <w:r>
              <w:rPr>
                <w:rFonts w:hint="eastAsia"/>
                <w:sz w:val="24"/>
                <w:u w:val="none"/>
              </w:rPr>
              <w:t>运输车辆卸完磷矿后轮胎及车身等部分附着少量磷矿，为减少空车时磷矿对大气的污染，出厂车辆需冲洗干净。本项目运输车辆清洗用水量以0.1m</w:t>
            </w:r>
            <w:r>
              <w:rPr>
                <w:rFonts w:hint="eastAsia"/>
                <w:sz w:val="24"/>
                <w:u w:val="none"/>
                <w:vertAlign w:val="superscript"/>
              </w:rPr>
              <w:t>3</w:t>
            </w:r>
            <w:r>
              <w:rPr>
                <w:rFonts w:hint="eastAsia"/>
                <w:sz w:val="24"/>
                <w:u w:val="none"/>
              </w:rPr>
              <w:t>/车次计，项目年转运磷矿量为110万吨，年转运300d，每天转运3666.67吨，每车次按30吨计，每天平均转运122车次，则项目运输车辆清洗用水量为12.2m</w:t>
            </w:r>
            <w:r>
              <w:rPr>
                <w:rFonts w:hint="eastAsia"/>
                <w:sz w:val="24"/>
                <w:u w:val="none"/>
                <w:vertAlign w:val="superscript"/>
              </w:rPr>
              <w:t>3</w:t>
            </w:r>
            <w:r>
              <w:rPr>
                <w:rFonts w:hint="eastAsia"/>
                <w:sz w:val="24"/>
                <w:u w:val="none"/>
              </w:rPr>
              <w:t>/d（3660m</w:t>
            </w:r>
            <w:r>
              <w:rPr>
                <w:rFonts w:hint="eastAsia"/>
                <w:sz w:val="24"/>
                <w:u w:val="none"/>
                <w:vertAlign w:val="superscript"/>
              </w:rPr>
              <w:t>3</w:t>
            </w:r>
            <w:r>
              <w:rPr>
                <w:rFonts w:hint="eastAsia"/>
                <w:sz w:val="24"/>
                <w:u w:val="none"/>
              </w:rPr>
              <w:t>/a）。冲洗废水产生系数按0.9计，则车辆清洗废水产生量为10.98m</w:t>
            </w:r>
            <w:r>
              <w:rPr>
                <w:rFonts w:hint="eastAsia"/>
                <w:sz w:val="24"/>
                <w:u w:val="none"/>
                <w:vertAlign w:val="superscript"/>
              </w:rPr>
              <w:t>3</w:t>
            </w:r>
            <w:r>
              <w:rPr>
                <w:rFonts w:hint="eastAsia"/>
                <w:sz w:val="24"/>
                <w:u w:val="none"/>
              </w:rPr>
              <w:t>/d（3294m</w:t>
            </w:r>
            <w:r>
              <w:rPr>
                <w:rFonts w:hint="eastAsia"/>
                <w:sz w:val="24"/>
                <w:u w:val="none"/>
                <w:vertAlign w:val="superscript"/>
              </w:rPr>
              <w:t>3</w:t>
            </w:r>
            <w:r>
              <w:rPr>
                <w:rFonts w:hint="eastAsia"/>
                <w:sz w:val="24"/>
                <w:u w:val="none"/>
              </w:rPr>
              <w:t>/a），车辆清洗废水排入1座54m</w:t>
            </w:r>
            <w:r>
              <w:rPr>
                <w:rFonts w:hint="eastAsia"/>
                <w:sz w:val="24"/>
                <w:u w:val="none"/>
                <w:vertAlign w:val="superscript"/>
              </w:rPr>
              <w:t>3</w:t>
            </w:r>
            <w:r>
              <w:rPr>
                <w:rFonts w:hint="eastAsia"/>
                <w:sz w:val="24"/>
                <w:u w:val="none"/>
              </w:rPr>
              <w:t>的车辆清洗废水沉淀池，经沉淀池处理后循环利用，不外排，</w:t>
            </w:r>
            <w:r>
              <w:rPr>
                <w:sz w:val="24"/>
                <w:u w:val="none"/>
              </w:rPr>
              <w:t>并配置回用水泵及管道。</w:t>
            </w:r>
            <w:r>
              <w:rPr>
                <w:rFonts w:hint="eastAsia"/>
                <w:sz w:val="24"/>
                <w:u w:val="none"/>
              </w:rPr>
              <w:t>项目运输车辆清洗循环用水量为10.98m</w:t>
            </w:r>
            <w:r>
              <w:rPr>
                <w:rFonts w:hint="eastAsia"/>
                <w:sz w:val="24"/>
                <w:u w:val="none"/>
                <w:vertAlign w:val="superscript"/>
              </w:rPr>
              <w:t>3</w:t>
            </w:r>
            <w:r>
              <w:rPr>
                <w:rFonts w:hint="eastAsia"/>
                <w:sz w:val="24"/>
                <w:u w:val="none"/>
              </w:rPr>
              <w:t>/d（3294m</w:t>
            </w:r>
            <w:r>
              <w:rPr>
                <w:rFonts w:hint="eastAsia"/>
                <w:sz w:val="24"/>
                <w:u w:val="none"/>
                <w:vertAlign w:val="superscript"/>
              </w:rPr>
              <w:t>3</w:t>
            </w:r>
            <w:r>
              <w:rPr>
                <w:rFonts w:hint="eastAsia"/>
                <w:sz w:val="24"/>
                <w:u w:val="none"/>
              </w:rPr>
              <w:t>/a），补充水量1.22m</w:t>
            </w:r>
            <w:r>
              <w:rPr>
                <w:rFonts w:hint="eastAsia"/>
                <w:sz w:val="24"/>
                <w:u w:val="none"/>
                <w:vertAlign w:val="superscript"/>
              </w:rPr>
              <w:t>3</w:t>
            </w:r>
            <w:r>
              <w:rPr>
                <w:rFonts w:hint="eastAsia"/>
                <w:sz w:val="24"/>
                <w:u w:val="none"/>
              </w:rPr>
              <w:t>/d（366m</w:t>
            </w:r>
            <w:r>
              <w:rPr>
                <w:rFonts w:hint="eastAsia"/>
                <w:sz w:val="24"/>
                <w:u w:val="none"/>
                <w:vertAlign w:val="superscript"/>
              </w:rPr>
              <w:t>3</w:t>
            </w:r>
            <w:r>
              <w:rPr>
                <w:rFonts w:hint="eastAsia"/>
                <w:sz w:val="24"/>
                <w:u w:val="none"/>
              </w:rPr>
              <w:t>/a）。</w:t>
            </w:r>
          </w:p>
          <w:p w14:paraId="31AD8C22">
            <w:pPr>
              <w:wordWrap w:val="0"/>
              <w:spacing w:line="360" w:lineRule="auto"/>
              <w:ind w:firstLine="482" w:firstLineChars="200"/>
              <w:rPr>
                <w:b/>
                <w:sz w:val="24"/>
                <w:u w:val="none"/>
              </w:rPr>
            </w:pPr>
            <w:r>
              <w:rPr>
                <w:rFonts w:hint="eastAsia"/>
                <w:b/>
                <w:sz w:val="24"/>
                <w:u w:val="none"/>
              </w:rPr>
              <w:t>（4）职工办公</w:t>
            </w:r>
            <w:r>
              <w:rPr>
                <w:b/>
                <w:sz w:val="24"/>
                <w:u w:val="none"/>
              </w:rPr>
              <w:t>生活</w:t>
            </w:r>
            <w:r>
              <w:rPr>
                <w:rFonts w:hint="eastAsia"/>
                <w:b/>
                <w:sz w:val="24"/>
                <w:u w:val="none"/>
              </w:rPr>
              <w:t>用</w:t>
            </w:r>
            <w:r>
              <w:rPr>
                <w:b/>
                <w:sz w:val="24"/>
                <w:u w:val="none"/>
              </w:rPr>
              <w:t>水</w:t>
            </w:r>
          </w:p>
          <w:p w14:paraId="2263457F">
            <w:pPr>
              <w:wordWrap w:val="0"/>
              <w:snapToGrid w:val="0"/>
              <w:spacing w:line="360" w:lineRule="auto"/>
              <w:ind w:firstLine="480" w:firstLineChars="200"/>
              <w:rPr>
                <w:bCs/>
                <w:sz w:val="24"/>
                <w:u w:val="none"/>
              </w:rPr>
            </w:pPr>
            <w:r>
              <w:rPr>
                <w:sz w:val="24"/>
                <w:u w:val="none"/>
              </w:rPr>
              <w:t>运营期间工作人员共5人，年工作 3</w:t>
            </w:r>
            <w:r>
              <w:rPr>
                <w:rFonts w:hint="eastAsia"/>
                <w:sz w:val="24"/>
                <w:u w:val="none"/>
              </w:rPr>
              <w:t>00</w:t>
            </w:r>
            <w:r>
              <w:rPr>
                <w:sz w:val="24"/>
                <w:u w:val="none"/>
              </w:rPr>
              <w:t xml:space="preserve"> 天，根据《云南省地方标准 用水定额》（DB53/T168-2019），生活用水量按</w:t>
            </w:r>
            <w:r>
              <w:rPr>
                <w:rFonts w:hint="eastAsia"/>
                <w:sz w:val="24"/>
                <w:u w:val="none"/>
              </w:rPr>
              <w:t>5</w:t>
            </w:r>
            <w:r>
              <w:rPr>
                <w:sz w:val="24"/>
                <w:u w:val="none"/>
              </w:rPr>
              <w:t>0L/（人·d）计，则</w:t>
            </w:r>
            <w:r>
              <w:rPr>
                <w:rFonts w:hint="eastAsia"/>
                <w:sz w:val="24"/>
                <w:u w:val="none"/>
              </w:rPr>
              <w:t>厂区</w:t>
            </w:r>
            <w:r>
              <w:rPr>
                <w:sz w:val="24"/>
                <w:u w:val="none"/>
              </w:rPr>
              <w:t>员工用水量为0.2</w:t>
            </w:r>
            <w:r>
              <w:rPr>
                <w:rFonts w:hint="eastAsia"/>
                <w:sz w:val="24"/>
                <w:u w:val="none"/>
              </w:rPr>
              <w:t>5m</w:t>
            </w:r>
            <w:r>
              <w:rPr>
                <w:rFonts w:hint="eastAsia"/>
                <w:sz w:val="24"/>
                <w:u w:val="none"/>
                <w:vertAlign w:val="superscript"/>
              </w:rPr>
              <w:t>3</w:t>
            </w:r>
            <w:r>
              <w:rPr>
                <w:sz w:val="24"/>
                <w:u w:val="none"/>
              </w:rPr>
              <w:t>/d（</w:t>
            </w:r>
            <w:r>
              <w:rPr>
                <w:rFonts w:hint="eastAsia"/>
                <w:sz w:val="24"/>
                <w:u w:val="none"/>
              </w:rPr>
              <w:t>75m</w:t>
            </w:r>
            <w:r>
              <w:rPr>
                <w:rFonts w:hint="eastAsia"/>
                <w:sz w:val="24"/>
                <w:u w:val="none"/>
                <w:vertAlign w:val="superscript"/>
              </w:rPr>
              <w:t>3</w:t>
            </w:r>
            <w:r>
              <w:rPr>
                <w:sz w:val="24"/>
                <w:u w:val="none"/>
              </w:rPr>
              <w:t>/a），排放系数取0.8，污水产生量为0.</w:t>
            </w:r>
            <w:r>
              <w:rPr>
                <w:rFonts w:hint="eastAsia"/>
                <w:sz w:val="24"/>
                <w:u w:val="none"/>
              </w:rPr>
              <w:t>2m</w:t>
            </w:r>
            <w:r>
              <w:rPr>
                <w:rFonts w:hint="eastAsia"/>
                <w:sz w:val="24"/>
                <w:u w:val="none"/>
                <w:vertAlign w:val="superscript"/>
              </w:rPr>
              <w:t>3</w:t>
            </w:r>
            <w:r>
              <w:rPr>
                <w:sz w:val="24"/>
                <w:u w:val="none"/>
              </w:rPr>
              <w:t>/d（</w:t>
            </w:r>
            <w:r>
              <w:rPr>
                <w:rFonts w:hint="eastAsia"/>
                <w:sz w:val="24"/>
                <w:u w:val="none"/>
              </w:rPr>
              <w:t>60m</w:t>
            </w:r>
            <w:r>
              <w:rPr>
                <w:rFonts w:hint="eastAsia"/>
                <w:sz w:val="24"/>
                <w:u w:val="none"/>
                <w:vertAlign w:val="superscript"/>
              </w:rPr>
              <w:t>3</w:t>
            </w:r>
            <w:r>
              <w:rPr>
                <w:sz w:val="24"/>
                <w:u w:val="none"/>
              </w:rPr>
              <w:t>/a）</w:t>
            </w:r>
            <w:r>
              <w:rPr>
                <w:bCs/>
                <w:sz w:val="24"/>
                <w:u w:val="none"/>
              </w:rPr>
              <w:t>。</w:t>
            </w:r>
            <w:r>
              <w:rPr>
                <w:rFonts w:hint="eastAsia"/>
                <w:sz w:val="24"/>
                <w:u w:val="none"/>
              </w:rPr>
              <w:t>参照《生活污染源产排污系数手册》，结合同类项目实际情况，此部分污水水质情况约为COD</w:t>
            </w:r>
            <w:r>
              <w:rPr>
                <w:rFonts w:hint="eastAsia"/>
                <w:sz w:val="24"/>
                <w:u w:val="none"/>
                <w:vertAlign w:val="subscript"/>
              </w:rPr>
              <w:t>cr</w:t>
            </w:r>
            <w:r>
              <w:rPr>
                <w:rFonts w:hint="eastAsia"/>
                <w:sz w:val="24"/>
                <w:u w:val="none"/>
              </w:rPr>
              <w:t>：325mg/L、BOD</w:t>
            </w:r>
            <w:r>
              <w:rPr>
                <w:rFonts w:hint="eastAsia"/>
                <w:sz w:val="24"/>
                <w:u w:val="none"/>
                <w:vertAlign w:val="subscript"/>
              </w:rPr>
              <w:t>5</w:t>
            </w:r>
            <w:r>
              <w:rPr>
                <w:rFonts w:hint="eastAsia"/>
                <w:sz w:val="24"/>
                <w:u w:val="none"/>
              </w:rPr>
              <w:t>：200mg/L、SS：220mg/L、NH</w:t>
            </w:r>
            <w:r>
              <w:rPr>
                <w:rFonts w:hint="eastAsia"/>
                <w:sz w:val="24"/>
                <w:u w:val="none"/>
                <w:vertAlign w:val="subscript"/>
              </w:rPr>
              <w:t>3</w:t>
            </w:r>
            <w:r>
              <w:rPr>
                <w:rFonts w:hint="eastAsia"/>
                <w:sz w:val="24"/>
                <w:u w:val="none"/>
              </w:rPr>
              <w:t>-N：37.7mg/L</w:t>
            </w:r>
            <w:r>
              <w:rPr>
                <w:sz w:val="24"/>
                <w:u w:val="none"/>
              </w:rPr>
              <w:t>。</w:t>
            </w:r>
            <w:r>
              <w:rPr>
                <w:rFonts w:hint="eastAsia"/>
                <w:sz w:val="24"/>
                <w:u w:val="none"/>
              </w:rPr>
              <w:t>生活污水经化粪池收集处理后排入1套处理能力为1m</w:t>
            </w:r>
            <w:r>
              <w:rPr>
                <w:rFonts w:hint="eastAsia"/>
                <w:sz w:val="24"/>
                <w:u w:val="none"/>
                <w:vertAlign w:val="superscript"/>
              </w:rPr>
              <w:t>3</w:t>
            </w:r>
            <w:r>
              <w:rPr>
                <w:rFonts w:hint="eastAsia"/>
                <w:sz w:val="24"/>
                <w:u w:val="none"/>
              </w:rPr>
              <w:t>/d的一体化污水处理站处理</w:t>
            </w:r>
            <w:r>
              <w:rPr>
                <w:rFonts w:hint="eastAsia"/>
                <w:sz w:val="24"/>
                <w:u w:val="none"/>
                <w:lang w:val="zh-TW"/>
              </w:rPr>
              <w:t>，处理达</w:t>
            </w:r>
            <w:r>
              <w:rPr>
                <w:rFonts w:hint="eastAsia"/>
                <w:sz w:val="24"/>
                <w:u w:val="none"/>
              </w:rPr>
              <w:t>到</w:t>
            </w:r>
            <w:r>
              <w:rPr>
                <w:rFonts w:hint="eastAsia"/>
                <w:sz w:val="24"/>
                <w:u w:val="none"/>
                <w:lang w:val="zh-TW"/>
              </w:rPr>
              <w:t>《农田灌溉水质标准》（GB5084-2021）中蔬菜标准限值后，采用密闭运输工具清运用于周边旱地、种植基地及菜地灌溉</w:t>
            </w:r>
            <w:r>
              <w:rPr>
                <w:rFonts w:hint="eastAsia"/>
                <w:bCs/>
                <w:sz w:val="24"/>
                <w:u w:val="none"/>
              </w:rPr>
              <w:t>。</w:t>
            </w:r>
          </w:p>
          <w:p w14:paraId="60FD76EF">
            <w:pPr>
              <w:wordWrap w:val="0"/>
              <w:spacing w:line="360" w:lineRule="auto"/>
              <w:ind w:firstLine="482" w:firstLineChars="200"/>
              <w:rPr>
                <w:b/>
                <w:sz w:val="24"/>
                <w:u w:val="none"/>
              </w:rPr>
            </w:pPr>
            <w:r>
              <w:rPr>
                <w:rFonts w:hint="eastAsia"/>
                <w:b/>
                <w:sz w:val="24"/>
                <w:u w:val="none"/>
              </w:rPr>
              <w:t>（5）场地雨污水</w:t>
            </w:r>
          </w:p>
          <w:p w14:paraId="56CCD65F">
            <w:pPr>
              <w:tabs>
                <w:tab w:val="left" w:pos="5245"/>
              </w:tabs>
              <w:spacing w:line="360" w:lineRule="auto"/>
              <w:ind w:firstLine="480" w:firstLineChars="200"/>
              <w:jc w:val="left"/>
              <w:rPr>
                <w:sz w:val="24"/>
                <w:u w:val="none"/>
              </w:rPr>
            </w:pPr>
            <w:r>
              <w:rPr>
                <w:sz w:val="24"/>
                <w:u w:val="none"/>
              </w:rPr>
              <w:t>项目</w:t>
            </w:r>
            <w:r>
              <w:rPr>
                <w:rFonts w:hint="eastAsia"/>
                <w:sz w:val="24"/>
                <w:u w:val="none"/>
              </w:rPr>
              <w:t>场区空地</w:t>
            </w:r>
            <w:r>
              <w:rPr>
                <w:sz w:val="24"/>
                <w:u w:val="none"/>
              </w:rPr>
              <w:t>面积约</w:t>
            </w:r>
            <w:r>
              <w:rPr>
                <w:rFonts w:hint="eastAsia"/>
                <w:sz w:val="24"/>
                <w:u w:val="none"/>
              </w:rPr>
              <w:t>300</w:t>
            </w:r>
            <w:r>
              <w:rPr>
                <w:sz w:val="24"/>
                <w:u w:val="none"/>
              </w:rPr>
              <w:t>m</w:t>
            </w:r>
            <w:r>
              <w:rPr>
                <w:sz w:val="24"/>
                <w:u w:val="none"/>
                <w:vertAlign w:val="superscript"/>
              </w:rPr>
              <w:t>2</w:t>
            </w:r>
            <w:r>
              <w:rPr>
                <w:sz w:val="24"/>
                <w:u w:val="none"/>
              </w:rPr>
              <w:t>，在</w:t>
            </w:r>
            <w:r>
              <w:rPr>
                <w:rFonts w:hint="eastAsia"/>
                <w:sz w:val="24"/>
                <w:u w:val="none"/>
              </w:rPr>
              <w:t>雨天，场区空地受雨水冲刷，会产生含有大量SS的场地雨污水，直接外排会影响地表水环境</w:t>
            </w:r>
            <w:r>
              <w:rPr>
                <w:kern w:val="0"/>
                <w:sz w:val="24"/>
                <w:u w:val="none"/>
                <w:lang w:val="zh-CN"/>
              </w:rPr>
              <w:t>。</w:t>
            </w:r>
            <w:r>
              <w:rPr>
                <w:sz w:val="24"/>
                <w:u w:val="none"/>
              </w:rPr>
              <w:t>场地雨污水产生量</w:t>
            </w:r>
            <w:r>
              <w:rPr>
                <w:rFonts w:hint="eastAsia" w:cs="宋体"/>
                <w:sz w:val="24"/>
                <w:u w:val="none"/>
              </w:rPr>
              <w:t>按照《室外排水设计标准》（</w:t>
            </w:r>
            <w:r>
              <w:rPr>
                <w:rFonts w:hint="eastAsia" w:cs="宋体"/>
                <w:sz w:val="24"/>
                <w:u w:val="thick" w:color="FFB03A"/>
                <w:shd w:val="clear" w:fill="FFEFD7"/>
              </w:rPr>
              <w:t>GB 50014-2021</w:t>
            </w:r>
            <w:r>
              <w:rPr>
                <w:rFonts w:hint="eastAsia" w:cs="宋体"/>
                <w:sz w:val="24"/>
                <w:u w:val="none"/>
              </w:rPr>
              <w:t>）中公式</w:t>
            </w:r>
            <w:r>
              <w:rPr>
                <w:sz w:val="24"/>
                <w:u w:val="none"/>
              </w:rPr>
              <w:t>计算：</w:t>
            </w:r>
          </w:p>
          <w:p w14:paraId="2824AE93">
            <w:pPr>
              <w:adjustRightInd w:val="0"/>
              <w:snapToGrid w:val="0"/>
              <w:spacing w:line="360" w:lineRule="auto"/>
              <w:ind w:firstLine="480" w:firstLineChars="200"/>
              <w:rPr>
                <w:sz w:val="24"/>
                <w:u w:val="none"/>
              </w:rPr>
            </w:pPr>
            <w:r>
              <w:rPr>
                <w:sz w:val="24"/>
                <w:u w:val="none"/>
              </w:rPr>
              <w:t>Q=q•ψ•F</w:t>
            </w:r>
          </w:p>
          <w:p w14:paraId="1E1B7FE0">
            <w:pPr>
              <w:adjustRightInd w:val="0"/>
              <w:snapToGrid w:val="0"/>
              <w:spacing w:line="360" w:lineRule="auto"/>
              <w:ind w:firstLine="480" w:firstLineChars="200"/>
              <w:rPr>
                <w:sz w:val="24"/>
                <w:u w:val="none"/>
              </w:rPr>
            </w:pPr>
            <w:r>
              <w:rPr>
                <w:sz w:val="24"/>
                <w:u w:val="none"/>
              </w:rPr>
              <w:t>Q</w:t>
            </w:r>
            <w:r>
              <w:rPr>
                <w:rFonts w:hint="eastAsia" w:ascii="宋体" w:hAnsi="宋体" w:cs="宋体"/>
                <w:sz w:val="24"/>
                <w:u w:val="none"/>
              </w:rPr>
              <w:t>－</w:t>
            </w:r>
            <w:r>
              <w:rPr>
                <w:sz w:val="24"/>
                <w:u w:val="none"/>
              </w:rPr>
              <w:t>雨水设计流量（L/s）；</w:t>
            </w:r>
          </w:p>
          <w:p w14:paraId="6062ED91">
            <w:pPr>
              <w:adjustRightInd w:val="0"/>
              <w:snapToGrid w:val="0"/>
              <w:spacing w:line="360" w:lineRule="auto"/>
              <w:ind w:firstLine="480" w:firstLineChars="200"/>
              <w:rPr>
                <w:sz w:val="24"/>
                <w:u w:val="none"/>
              </w:rPr>
            </w:pPr>
            <w:r>
              <w:rPr>
                <w:sz w:val="24"/>
                <w:u w:val="none"/>
              </w:rPr>
              <w:t>ψ</w:t>
            </w:r>
            <w:r>
              <w:rPr>
                <w:rFonts w:hint="eastAsia" w:ascii="宋体" w:hAnsi="宋体" w:cs="宋体"/>
                <w:sz w:val="24"/>
                <w:u w:val="none"/>
              </w:rPr>
              <w:t>－</w:t>
            </w:r>
            <w:r>
              <w:rPr>
                <w:sz w:val="24"/>
                <w:u w:val="none"/>
              </w:rPr>
              <w:t>径流系数，取ψ=0.</w:t>
            </w:r>
            <w:r>
              <w:rPr>
                <w:rFonts w:hint="eastAsia"/>
                <w:sz w:val="24"/>
                <w:u w:val="none"/>
              </w:rPr>
              <w:t>9</w:t>
            </w:r>
            <w:r>
              <w:rPr>
                <w:sz w:val="24"/>
                <w:u w:val="none"/>
              </w:rPr>
              <w:t>；</w:t>
            </w:r>
          </w:p>
          <w:p w14:paraId="0C58D83E">
            <w:pPr>
              <w:adjustRightInd w:val="0"/>
              <w:snapToGrid w:val="0"/>
              <w:spacing w:line="360" w:lineRule="auto"/>
              <w:ind w:firstLine="480" w:firstLineChars="200"/>
              <w:rPr>
                <w:sz w:val="24"/>
                <w:u w:val="none"/>
              </w:rPr>
            </w:pPr>
            <w:r>
              <w:rPr>
                <w:sz w:val="24"/>
                <w:u w:val="none"/>
              </w:rPr>
              <w:t>F</w:t>
            </w:r>
            <w:r>
              <w:rPr>
                <w:rFonts w:hint="eastAsia" w:ascii="宋体" w:hAnsi="宋体" w:cs="宋体"/>
                <w:sz w:val="24"/>
                <w:u w:val="none"/>
              </w:rPr>
              <w:t>－</w:t>
            </w:r>
            <w:r>
              <w:rPr>
                <w:sz w:val="24"/>
                <w:u w:val="none"/>
              </w:rPr>
              <w:t>汇水面积（</w:t>
            </w:r>
            <w:r>
              <w:rPr>
                <w:rFonts w:hint="eastAsia" w:cs="宋体"/>
                <w:sz w:val="24"/>
                <w:u w:val="none"/>
              </w:rPr>
              <w:t>hm</w:t>
            </w:r>
            <w:r>
              <w:rPr>
                <w:rFonts w:hint="eastAsia" w:cs="宋体"/>
                <w:sz w:val="24"/>
                <w:u w:val="none"/>
                <w:vertAlign w:val="superscript"/>
              </w:rPr>
              <w:t>2</w:t>
            </w:r>
            <w:r>
              <w:rPr>
                <w:sz w:val="24"/>
                <w:u w:val="none"/>
              </w:rPr>
              <w:t>）；</w:t>
            </w:r>
          </w:p>
          <w:p w14:paraId="174872C0">
            <w:pPr>
              <w:spacing w:line="360" w:lineRule="auto"/>
              <w:ind w:firstLine="480" w:firstLineChars="200"/>
              <w:rPr>
                <w:sz w:val="24"/>
                <w:u w:val="none"/>
              </w:rPr>
            </w:pPr>
            <w:r>
              <w:rPr>
                <w:sz w:val="24"/>
                <w:u w:val="none"/>
              </w:rPr>
              <w:t>q</w:t>
            </w:r>
            <w:r>
              <w:rPr>
                <w:rFonts w:hint="eastAsia" w:ascii="宋体" w:hAnsi="宋体" w:cs="宋体"/>
                <w:sz w:val="24"/>
                <w:u w:val="none"/>
              </w:rPr>
              <w:t>－</w:t>
            </w:r>
            <w:r>
              <w:rPr>
                <w:rFonts w:hint="eastAsia"/>
                <w:sz w:val="24"/>
                <w:u w:val="none"/>
              </w:rPr>
              <w:t>设计降雨强度</w:t>
            </w:r>
            <w:r>
              <w:rPr>
                <w:sz w:val="24"/>
                <w:u w:val="none"/>
              </w:rPr>
              <w:t>，L/s•</w:t>
            </w:r>
            <w:r>
              <w:rPr>
                <w:rFonts w:hint="eastAsia" w:cs="宋体"/>
                <w:sz w:val="24"/>
                <w:u w:val="none"/>
              </w:rPr>
              <w:t>hm</w:t>
            </w:r>
            <w:r>
              <w:rPr>
                <w:rFonts w:hint="eastAsia" w:cs="宋体"/>
                <w:sz w:val="24"/>
                <w:u w:val="none"/>
                <w:vertAlign w:val="superscript"/>
              </w:rPr>
              <w:t>2</w:t>
            </w:r>
            <w:r>
              <w:rPr>
                <w:sz w:val="24"/>
                <w:u w:val="none"/>
              </w:rPr>
              <w:t>。</w:t>
            </w:r>
          </w:p>
          <w:p w14:paraId="65151315">
            <w:pPr>
              <w:spacing w:line="360" w:lineRule="auto"/>
              <w:ind w:firstLine="480" w:firstLineChars="200"/>
              <w:rPr>
                <w:rFonts w:cs="宋体"/>
                <w:sz w:val="24"/>
                <w:u w:val="none"/>
              </w:rPr>
            </w:pPr>
            <w:r>
              <w:rPr>
                <w:rFonts w:hint="eastAsia" w:cs="宋体"/>
                <w:sz w:val="24"/>
                <w:u w:val="none"/>
              </w:rPr>
              <w:t>本项目采用暴雨强度公式进行计算，公式如下：</w:t>
            </w:r>
          </w:p>
          <w:p w14:paraId="24041820">
            <w:pPr>
              <w:spacing w:line="360" w:lineRule="auto"/>
              <w:ind w:firstLine="480" w:firstLineChars="200"/>
              <w:jc w:val="center"/>
              <w:rPr>
                <w:rFonts w:cs="宋体"/>
                <w:sz w:val="24"/>
                <w:u w:val="none"/>
              </w:rPr>
            </w:pPr>
            <w:r>
              <w:rPr>
                <w:rFonts w:hint="eastAsia" w:cs="宋体"/>
                <w:sz w:val="24"/>
                <w:u w:val="none"/>
              </w:rPr>
              <w:fldChar w:fldCharType="begin"/>
            </w:r>
            <w:r>
              <w:rPr>
                <w:rFonts w:hint="eastAsia" w:cs="宋体"/>
                <w:sz w:val="24"/>
                <w:u w:val="none"/>
              </w:rPr>
              <w:instrText xml:space="preserve">INCLUDEPICTURE \d "C:\\Users\\Administrator\\Documents\\Tencent Files\\290610773\\Image\\C2C\\IJK]62KW1ZWT]A8ELI8K)`1.png" \* MERGEFORMATINET </w:instrText>
            </w:r>
            <w:r>
              <w:rPr>
                <w:rFonts w:hint="eastAsia" w:cs="宋体"/>
                <w:sz w:val="24"/>
                <w:u w:val="none"/>
              </w:rPr>
              <w:fldChar w:fldCharType="separate"/>
            </w:r>
            <w:r>
              <w:rPr>
                <w:rFonts w:hint="eastAsia" w:cs="宋体"/>
                <w:sz w:val="24"/>
                <w:u w:val="none"/>
              </w:rPr>
              <w:drawing>
                <wp:inline distT="0" distB="0" distL="114300" distR="114300">
                  <wp:extent cx="1504950" cy="4572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8"/>
                          <a:stretch>
                            <a:fillRect/>
                          </a:stretch>
                        </pic:blipFill>
                        <pic:spPr>
                          <a:xfrm>
                            <a:off x="0" y="0"/>
                            <a:ext cx="1504950" cy="457200"/>
                          </a:xfrm>
                          <a:prstGeom prst="rect">
                            <a:avLst/>
                          </a:prstGeom>
                          <a:noFill/>
                          <a:ln>
                            <a:noFill/>
                          </a:ln>
                        </pic:spPr>
                      </pic:pic>
                    </a:graphicData>
                  </a:graphic>
                </wp:inline>
              </w:drawing>
            </w:r>
            <w:r>
              <w:rPr>
                <w:rFonts w:hint="eastAsia" w:cs="宋体"/>
                <w:sz w:val="24"/>
                <w:u w:val="none"/>
              </w:rPr>
              <w:fldChar w:fldCharType="end"/>
            </w:r>
          </w:p>
          <w:p w14:paraId="1E9F024A">
            <w:pPr>
              <w:spacing w:line="360" w:lineRule="auto"/>
              <w:ind w:firstLine="480" w:firstLineChars="200"/>
              <w:rPr>
                <w:sz w:val="24"/>
                <w:u w:val="none"/>
              </w:rPr>
            </w:pPr>
            <w:r>
              <w:rPr>
                <w:rFonts w:hint="eastAsia" w:cs="宋体"/>
                <w:sz w:val="24"/>
                <w:u w:val="none"/>
              </w:rPr>
              <w:t>式中：q</w:t>
            </w:r>
            <w:r>
              <w:rPr>
                <w:rFonts w:hint="eastAsia" w:ascii="宋体" w:hAnsi="宋体" w:cs="宋体"/>
                <w:sz w:val="24"/>
                <w:u w:val="none"/>
              </w:rPr>
              <w:t>－</w:t>
            </w:r>
            <w:r>
              <w:rPr>
                <w:rFonts w:hint="eastAsia" w:cs="宋体"/>
                <w:sz w:val="24"/>
                <w:u w:val="none"/>
              </w:rPr>
              <w:t>设计暴雨强度（L/s</w:t>
            </w:r>
            <w:r>
              <w:rPr>
                <w:rFonts w:hint="eastAsia" w:ascii="宋体" w:hAnsi="宋体" w:cs="宋体"/>
                <w:sz w:val="24"/>
                <w:u w:val="none"/>
              </w:rPr>
              <w:t>·</w:t>
            </w:r>
            <w:r>
              <w:rPr>
                <w:rFonts w:hint="eastAsia" w:cs="宋体"/>
                <w:sz w:val="24"/>
                <w:u w:val="none"/>
              </w:rPr>
              <w:t>hm</w:t>
            </w:r>
            <w:r>
              <w:rPr>
                <w:rFonts w:hint="eastAsia" w:cs="宋体"/>
                <w:sz w:val="24"/>
                <w:u w:val="none"/>
                <w:vertAlign w:val="superscript"/>
              </w:rPr>
              <w:t>2</w:t>
            </w:r>
            <w:r>
              <w:rPr>
                <w:rFonts w:hint="eastAsia" w:cs="宋体"/>
                <w:sz w:val="24"/>
                <w:u w:val="none"/>
              </w:rPr>
              <w:t>）；</w:t>
            </w:r>
          </w:p>
          <w:p w14:paraId="108453D1">
            <w:pPr>
              <w:spacing w:line="360" w:lineRule="auto"/>
              <w:ind w:firstLine="1200" w:firstLineChars="500"/>
              <w:rPr>
                <w:rFonts w:cs="宋体"/>
                <w:sz w:val="24"/>
                <w:u w:val="none"/>
              </w:rPr>
            </w:pPr>
            <w:r>
              <w:rPr>
                <w:rFonts w:hint="eastAsia" w:cs="宋体"/>
                <w:sz w:val="24"/>
                <w:u w:val="none"/>
              </w:rPr>
              <w:t>P</w:t>
            </w:r>
            <w:r>
              <w:rPr>
                <w:rFonts w:hint="eastAsia" w:ascii="宋体" w:hAnsi="宋体" w:cs="宋体"/>
                <w:sz w:val="24"/>
                <w:u w:val="none"/>
              </w:rPr>
              <w:t>－</w:t>
            </w:r>
            <w:r>
              <w:rPr>
                <w:rFonts w:hint="eastAsia" w:cs="宋体"/>
                <w:sz w:val="24"/>
                <w:u w:val="none"/>
              </w:rPr>
              <w:t>设计重现期（年），取P=2a，按照《室外排水设计标准》（</w:t>
            </w:r>
            <w:r>
              <w:rPr>
                <w:rFonts w:hint="eastAsia" w:cs="宋体"/>
                <w:sz w:val="24"/>
                <w:u w:val="thick" w:color="FFB03A"/>
                <w:shd w:val="clear" w:fill="FFEFD7"/>
              </w:rPr>
              <w:t>GB 50014-2021</w:t>
            </w:r>
            <w:r>
              <w:rPr>
                <w:rFonts w:hint="eastAsia" w:cs="宋体"/>
                <w:sz w:val="24"/>
                <w:u w:val="none"/>
              </w:rPr>
              <w:t>），4.1节要求，计算雨水量；</w:t>
            </w:r>
          </w:p>
          <w:p w14:paraId="2DF7FEB2">
            <w:pPr>
              <w:spacing w:line="360" w:lineRule="auto"/>
              <w:ind w:firstLine="1200" w:firstLineChars="500"/>
              <w:rPr>
                <w:rFonts w:cs="宋体"/>
                <w:sz w:val="24"/>
                <w:u w:val="none"/>
              </w:rPr>
            </w:pPr>
            <w:r>
              <w:rPr>
                <w:rFonts w:hint="eastAsia" w:cs="宋体"/>
                <w:sz w:val="24"/>
                <w:u w:val="none"/>
              </w:rPr>
              <w:t>t</w:t>
            </w:r>
            <w:r>
              <w:rPr>
                <w:rFonts w:hint="eastAsia" w:ascii="宋体" w:hAnsi="宋体" w:cs="宋体"/>
                <w:sz w:val="24"/>
                <w:u w:val="none"/>
              </w:rPr>
              <w:t>－</w:t>
            </w:r>
            <w:r>
              <w:rPr>
                <w:rFonts w:hint="eastAsia" w:cs="宋体"/>
                <w:sz w:val="24"/>
                <w:u w:val="none"/>
              </w:rPr>
              <w:t>降雨历时，取t=15min，参照《化工建设项目环境保护工程设计标准》（</w:t>
            </w:r>
            <w:r>
              <w:rPr>
                <w:rFonts w:hint="eastAsia" w:cs="宋体"/>
                <w:sz w:val="24"/>
                <w:u w:val="thick" w:color="FFB03A"/>
                <w:shd w:val="clear" w:fill="FFEFD7"/>
              </w:rPr>
              <w:t>GB/T 50483-2019</w:t>
            </w:r>
            <w:r>
              <w:rPr>
                <w:rFonts w:hint="eastAsia" w:cs="宋体"/>
                <w:sz w:val="24"/>
                <w:u w:val="none"/>
              </w:rPr>
              <w:t>）2.0.8“初期污染雨水，指污染区域降雨初期产生的雨水，宜取一次降雨初期15min～30min</w:t>
            </w:r>
            <w:r>
              <w:rPr>
                <w:rFonts w:hint="eastAsia" w:cs="宋体"/>
                <w:sz w:val="24"/>
                <w:u w:val="thick" w:color="FFB03A"/>
                <w:shd w:val="clear" w:fill="FFEFD7"/>
              </w:rPr>
              <w:t>雨量</w:t>
            </w:r>
            <w:r>
              <w:rPr>
                <w:rFonts w:hint="eastAsia" w:cs="宋体"/>
                <w:sz w:val="24"/>
                <w:u w:val="none"/>
              </w:rPr>
              <w:t xml:space="preserve">”。 </w:t>
            </w:r>
          </w:p>
          <w:p w14:paraId="43BA87E1">
            <w:pPr>
              <w:spacing w:line="360" w:lineRule="auto"/>
              <w:ind w:firstLine="480"/>
              <w:rPr>
                <w:sz w:val="24"/>
                <w:u w:val="none"/>
              </w:rPr>
            </w:pPr>
            <w:r>
              <w:rPr>
                <w:rFonts w:hint="eastAsia" w:cs="宋体"/>
                <w:sz w:val="24"/>
                <w:u w:val="none"/>
              </w:rPr>
              <w:t>根据上式，计算可得拟建项目所处区域暴雨强度q约为207.316L/s</w:t>
            </w:r>
            <w:r>
              <w:rPr>
                <w:rFonts w:hint="eastAsia" w:ascii="宋体" w:hAnsi="宋体" w:cs="宋体"/>
                <w:sz w:val="24"/>
                <w:u w:val="none"/>
              </w:rPr>
              <w:t>·</w:t>
            </w:r>
            <w:r>
              <w:rPr>
                <w:rFonts w:hint="eastAsia" w:cs="宋体"/>
                <w:sz w:val="24"/>
                <w:u w:val="none"/>
              </w:rPr>
              <w:t>hm</w:t>
            </w:r>
            <w:r>
              <w:rPr>
                <w:rFonts w:hint="eastAsia" w:cs="宋体"/>
                <w:sz w:val="24"/>
                <w:u w:val="none"/>
                <w:vertAlign w:val="superscript"/>
              </w:rPr>
              <w:t>2</w:t>
            </w:r>
            <w:r>
              <w:rPr>
                <w:rFonts w:hint="eastAsia" w:cs="宋体"/>
                <w:sz w:val="24"/>
                <w:u w:val="none"/>
              </w:rPr>
              <w:t>，</w:t>
            </w:r>
            <w:r>
              <w:rPr>
                <w:sz w:val="24"/>
                <w:u w:val="none"/>
              </w:rPr>
              <w:t>则</w:t>
            </w:r>
            <w:r>
              <w:rPr>
                <w:rFonts w:hint="eastAsia"/>
                <w:sz w:val="24"/>
                <w:u w:val="none"/>
              </w:rPr>
              <w:t>运营期场地雨污水</w:t>
            </w:r>
            <w:r>
              <w:rPr>
                <w:sz w:val="24"/>
                <w:u w:val="none"/>
              </w:rPr>
              <w:t>量为</w:t>
            </w:r>
            <w:r>
              <w:rPr>
                <w:rFonts w:hint="eastAsia"/>
                <w:sz w:val="24"/>
                <w:u w:val="none"/>
              </w:rPr>
              <w:t>5.6</w:t>
            </w:r>
            <w:r>
              <w:rPr>
                <w:sz w:val="24"/>
                <w:u w:val="none"/>
              </w:rPr>
              <w:t>m</w:t>
            </w:r>
            <w:r>
              <w:rPr>
                <w:sz w:val="24"/>
                <w:u w:val="none"/>
                <w:vertAlign w:val="superscript"/>
              </w:rPr>
              <w:t>3</w:t>
            </w:r>
            <w:r>
              <w:rPr>
                <w:rFonts w:hint="eastAsia"/>
                <w:sz w:val="24"/>
                <w:u w:val="none"/>
              </w:rPr>
              <w:t>/次，项目区雨天约为140天，场地雨污水量为784m</w:t>
            </w:r>
            <w:r>
              <w:rPr>
                <w:rFonts w:hint="eastAsia"/>
                <w:sz w:val="24"/>
                <w:u w:val="none"/>
                <w:vertAlign w:val="superscript"/>
              </w:rPr>
              <w:t>3</w:t>
            </w:r>
            <w:r>
              <w:rPr>
                <w:rFonts w:hint="eastAsia"/>
                <w:sz w:val="24"/>
                <w:u w:val="none"/>
              </w:rPr>
              <w:t>/a</w:t>
            </w:r>
            <w:r>
              <w:rPr>
                <w:sz w:val="24"/>
                <w:u w:val="none"/>
              </w:rPr>
              <w:t>。设计在</w:t>
            </w:r>
            <w:r>
              <w:rPr>
                <w:rFonts w:hint="eastAsia"/>
                <w:sz w:val="24"/>
                <w:u w:val="none"/>
              </w:rPr>
              <w:t>仓储大棚东</w:t>
            </w:r>
            <w:r>
              <w:rPr>
                <w:sz w:val="24"/>
                <w:u w:val="none"/>
              </w:rPr>
              <w:t>侧建设一座</w:t>
            </w:r>
            <w:r>
              <w:rPr>
                <w:rFonts w:hint="eastAsia"/>
                <w:sz w:val="24"/>
                <w:u w:val="none"/>
              </w:rPr>
              <w:t>144m</w:t>
            </w:r>
            <w:r>
              <w:rPr>
                <w:rFonts w:hint="eastAsia"/>
                <w:sz w:val="24"/>
                <w:u w:val="none"/>
                <w:vertAlign w:val="superscript"/>
              </w:rPr>
              <w:t>3</w:t>
            </w:r>
            <w:r>
              <w:rPr>
                <w:sz w:val="24"/>
                <w:u w:val="none"/>
              </w:rPr>
              <w:t>的</w:t>
            </w:r>
            <w:r>
              <w:rPr>
                <w:rFonts w:hint="eastAsia"/>
                <w:sz w:val="24"/>
                <w:u w:val="thick" w:color="FFB03A"/>
                <w:shd w:val="clear" w:fill="FFEFD7"/>
              </w:rPr>
              <w:t>二级沉淀池</w:t>
            </w:r>
            <w:r>
              <w:rPr>
                <w:rFonts w:hint="eastAsia"/>
                <w:sz w:val="24"/>
                <w:u w:val="none"/>
              </w:rPr>
              <w:t>，兼做</w:t>
            </w:r>
            <w:r>
              <w:rPr>
                <w:sz w:val="24"/>
                <w:u w:val="none"/>
              </w:rPr>
              <w:t>场地雨污水收集池，经沉淀后回用于</w:t>
            </w:r>
            <w:r>
              <w:rPr>
                <w:rFonts w:hint="eastAsia"/>
                <w:sz w:val="24"/>
                <w:u w:val="none"/>
              </w:rPr>
              <w:t>大棚喷雾降尘、车辆清洗</w:t>
            </w:r>
            <w:r>
              <w:rPr>
                <w:sz w:val="24"/>
                <w:u w:val="none"/>
              </w:rPr>
              <w:t>，容积能满足要求。</w:t>
            </w:r>
          </w:p>
          <w:p w14:paraId="4AF472F1">
            <w:pPr>
              <w:wordWrap w:val="0"/>
              <w:snapToGrid w:val="0"/>
              <w:spacing w:line="360" w:lineRule="auto"/>
              <w:ind w:firstLine="480" w:firstLineChars="200"/>
              <w:rPr>
                <w:sz w:val="24"/>
                <w:u w:val="none"/>
              </w:rPr>
            </w:pPr>
            <w:r>
              <w:rPr>
                <w:sz w:val="24"/>
                <w:u w:val="none"/>
              </w:rPr>
              <w:t>项目水平衡见下图</w:t>
            </w:r>
            <w:r>
              <w:rPr>
                <w:rFonts w:hint="eastAsia"/>
                <w:sz w:val="24"/>
                <w:u w:val="none"/>
              </w:rPr>
              <w:t>2</w:t>
            </w:r>
            <w:r>
              <w:rPr>
                <w:sz w:val="24"/>
                <w:u w:val="none"/>
              </w:rPr>
              <w:t>-</w:t>
            </w:r>
            <w:r>
              <w:rPr>
                <w:rFonts w:hint="eastAsia"/>
                <w:sz w:val="24"/>
                <w:u w:val="none"/>
              </w:rPr>
              <w:t>1和图2-2</w:t>
            </w:r>
            <w:r>
              <w:rPr>
                <w:sz w:val="24"/>
                <w:u w:val="none"/>
              </w:rPr>
              <w:t>。</w:t>
            </w:r>
          </w:p>
          <w:p w14:paraId="2CB6A07D">
            <w:pPr>
              <w:pStyle w:val="36"/>
              <w:spacing w:after="0"/>
              <w:ind w:left="0" w:leftChars="0" w:firstLine="0" w:firstLineChars="0"/>
              <w:jc w:val="center"/>
              <w:rPr>
                <w:u w:val="none"/>
              </w:rPr>
            </w:pPr>
            <w:r>
              <w:rPr>
                <w:u w:val="none"/>
              </w:rPr>
              <w:object>
                <v:shape id="_x0000_i1025" o:spt="75" type="#_x0000_t75" style="height:269.3pt;width:362.7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14:paraId="5AC19BAE">
            <w:pPr>
              <w:pStyle w:val="15"/>
              <w:spacing w:before="0"/>
              <w:jc w:val="center"/>
              <w:rPr>
                <w:b/>
                <w:bCs/>
                <w:kern w:val="2"/>
                <w:sz w:val="21"/>
                <w:szCs w:val="21"/>
                <w:u w:val="none"/>
              </w:rPr>
            </w:pPr>
            <w:r>
              <w:rPr>
                <w:rFonts w:hint="eastAsia"/>
                <w:b/>
                <w:bCs/>
                <w:kern w:val="2"/>
                <w:sz w:val="21"/>
                <w:szCs w:val="21"/>
                <w:u w:val="none"/>
              </w:rPr>
              <w:t xml:space="preserve">图2-1 </w:t>
            </w:r>
            <w:r>
              <w:rPr>
                <w:b/>
                <w:bCs/>
                <w:kern w:val="2"/>
                <w:sz w:val="21"/>
                <w:szCs w:val="21"/>
                <w:u w:val="none"/>
              </w:rPr>
              <w:t xml:space="preserve">  项目</w:t>
            </w:r>
            <w:r>
              <w:rPr>
                <w:rFonts w:hint="eastAsia"/>
                <w:b/>
                <w:bCs/>
                <w:kern w:val="2"/>
                <w:sz w:val="21"/>
                <w:szCs w:val="21"/>
                <w:u w:val="none"/>
              </w:rPr>
              <w:t>晴天</w:t>
            </w:r>
            <w:r>
              <w:rPr>
                <w:b/>
                <w:bCs/>
                <w:kern w:val="2"/>
                <w:sz w:val="21"/>
                <w:szCs w:val="21"/>
                <w:u w:val="none"/>
              </w:rPr>
              <w:t>水平衡图</w:t>
            </w:r>
            <w:r>
              <w:rPr>
                <w:rFonts w:hint="eastAsia"/>
                <w:b/>
                <w:bCs/>
                <w:kern w:val="2"/>
                <w:sz w:val="21"/>
                <w:szCs w:val="21"/>
                <w:u w:val="none"/>
              </w:rPr>
              <w:t xml:space="preserve">   </w:t>
            </w:r>
            <w:r>
              <w:rPr>
                <w:b/>
                <w:bCs/>
                <w:kern w:val="2"/>
                <w:sz w:val="21"/>
                <w:szCs w:val="21"/>
                <w:u w:val="none"/>
              </w:rPr>
              <w:t>单位：m</w:t>
            </w:r>
            <w:r>
              <w:rPr>
                <w:b/>
                <w:bCs/>
                <w:kern w:val="2"/>
                <w:sz w:val="21"/>
                <w:szCs w:val="21"/>
                <w:u w:val="none"/>
                <w:vertAlign w:val="superscript"/>
              </w:rPr>
              <w:t>3</w:t>
            </w:r>
            <w:r>
              <w:rPr>
                <w:b/>
                <w:bCs/>
                <w:kern w:val="2"/>
                <w:sz w:val="21"/>
                <w:szCs w:val="21"/>
                <w:u w:val="none"/>
              </w:rPr>
              <w:t>/</w:t>
            </w:r>
            <w:r>
              <w:rPr>
                <w:rFonts w:hint="eastAsia"/>
                <w:b/>
                <w:bCs/>
                <w:kern w:val="2"/>
                <w:sz w:val="21"/>
                <w:szCs w:val="21"/>
                <w:u w:val="none"/>
              </w:rPr>
              <w:t>d</w:t>
            </w:r>
          </w:p>
          <w:p w14:paraId="212BC3BE">
            <w:pPr>
              <w:rPr>
                <w:b/>
                <w:bCs/>
                <w:szCs w:val="21"/>
                <w:u w:val="none"/>
              </w:rPr>
            </w:pPr>
            <w:r>
              <w:rPr>
                <w:rFonts w:hint="eastAsia"/>
                <w:b/>
                <w:bCs/>
                <w:szCs w:val="21"/>
                <w:u w:val="none"/>
              </w:rPr>
              <w:object>
                <v:shape id="_x0000_i1026" o:spt="75" type="#_x0000_t75" style="height:267.45pt;width:420.55pt;" o:ole="t" filled="f" o:preferrelative="t" stroked="f" coordsize="21600,21600">
                  <v:path/>
                  <v:fill on="f" focussize="0,0"/>
                  <v:stroke on="f" joinstyle="miter"/>
                  <v:imagedata r:id="rId12" o:title=""/>
                  <o:lock v:ext="edit" aspectratio="f"/>
                  <w10:wrap type="none"/>
                  <w10:anchorlock/>
                </v:shape>
                <o:OLEObject Type="Embed" ProgID="Visio.Drawing.11" ShapeID="_x0000_i1026" DrawAspect="Content" ObjectID="_1468075726" r:id="rId11">
                  <o:LockedField>false</o:LockedField>
                </o:OLEObject>
              </w:object>
            </w:r>
          </w:p>
          <w:p w14:paraId="62E4FCC6">
            <w:pPr>
              <w:spacing w:line="360" w:lineRule="auto"/>
              <w:jc w:val="center"/>
              <w:rPr>
                <w:u w:val="none"/>
              </w:rPr>
            </w:pPr>
            <w:r>
              <w:rPr>
                <w:rFonts w:hint="eastAsia"/>
                <w:b/>
                <w:bCs/>
                <w:szCs w:val="21"/>
                <w:u w:val="none"/>
              </w:rPr>
              <w:t xml:space="preserve">图2-2 </w:t>
            </w:r>
            <w:r>
              <w:rPr>
                <w:b/>
                <w:bCs/>
                <w:szCs w:val="21"/>
                <w:u w:val="none"/>
              </w:rPr>
              <w:t xml:space="preserve">  项目</w:t>
            </w:r>
            <w:r>
              <w:rPr>
                <w:rFonts w:hint="eastAsia"/>
                <w:b/>
                <w:bCs/>
                <w:szCs w:val="21"/>
                <w:u w:val="none"/>
              </w:rPr>
              <w:t>雨天</w:t>
            </w:r>
            <w:r>
              <w:rPr>
                <w:b/>
                <w:bCs/>
                <w:szCs w:val="21"/>
                <w:u w:val="none"/>
              </w:rPr>
              <w:t>水平衡图</w:t>
            </w:r>
            <w:r>
              <w:rPr>
                <w:rFonts w:hint="eastAsia"/>
                <w:b/>
                <w:bCs/>
                <w:szCs w:val="21"/>
                <w:u w:val="none"/>
              </w:rPr>
              <w:t xml:space="preserve">   </w:t>
            </w:r>
            <w:r>
              <w:rPr>
                <w:b/>
                <w:bCs/>
                <w:szCs w:val="21"/>
                <w:u w:val="none"/>
              </w:rPr>
              <w:t>单位：m</w:t>
            </w:r>
            <w:r>
              <w:rPr>
                <w:b/>
                <w:bCs/>
                <w:szCs w:val="21"/>
                <w:u w:val="none"/>
                <w:vertAlign w:val="superscript"/>
              </w:rPr>
              <w:t>3</w:t>
            </w:r>
            <w:r>
              <w:rPr>
                <w:b/>
                <w:bCs/>
                <w:szCs w:val="21"/>
                <w:u w:val="none"/>
              </w:rPr>
              <w:t>/</w:t>
            </w:r>
            <w:r>
              <w:rPr>
                <w:rFonts w:hint="eastAsia"/>
                <w:b/>
                <w:bCs/>
                <w:szCs w:val="21"/>
                <w:u w:val="none"/>
              </w:rPr>
              <w:t>d</w:t>
            </w:r>
          </w:p>
          <w:p w14:paraId="59685422">
            <w:pPr>
              <w:pStyle w:val="49"/>
              <w:adjustRightInd/>
              <w:snapToGrid/>
              <w:spacing w:line="360" w:lineRule="auto"/>
              <w:ind w:firstLine="482" w:firstLineChars="200"/>
              <w:jc w:val="both"/>
              <w:rPr>
                <w:b/>
                <w:bCs/>
                <w:u w:val="none"/>
              </w:rPr>
            </w:pPr>
            <w:r>
              <w:rPr>
                <w:rFonts w:hint="eastAsia"/>
                <w:b/>
                <w:bCs/>
                <w:u w:val="none"/>
              </w:rPr>
              <w:t>9、</w:t>
            </w:r>
            <w:r>
              <w:rPr>
                <w:b/>
                <w:bCs/>
                <w:u w:val="none"/>
              </w:rPr>
              <w:t>厂区平面布置</w:t>
            </w:r>
          </w:p>
          <w:p w14:paraId="2AF0F0A2">
            <w:pPr>
              <w:spacing w:line="360" w:lineRule="auto"/>
              <w:ind w:firstLine="480" w:firstLineChars="200"/>
              <w:rPr>
                <w:sz w:val="24"/>
                <w:u w:val="none"/>
              </w:rPr>
            </w:pPr>
            <w:r>
              <w:rPr>
                <w:rFonts w:hint="eastAsia"/>
                <w:sz w:val="24"/>
                <w:u w:val="none"/>
              </w:rPr>
              <w:t>项目场区为多边形，地势为北高南低，分为两个台阶建设，第一个台阶建设办公生活区，位于项目北部，布置有食堂、办公楼、一体化污水处理站；第二个台阶建设储运区，位于项目南部，由西至东分别布置有仓储大棚、车辆清洗废水沉淀池、洗车平台、雨污水收集池；东北侧为进入储运区的内部道路。项目出入口位于场地北侧，紧临工业园区道路，方便车辆运输。项目西侧紧临“云南宣威磷电有限责任公司”，缩短了磷矿外销运输距离。整个厂区功能分区明确，布置合理，便于管理。</w:t>
            </w:r>
          </w:p>
          <w:p w14:paraId="4F58361C">
            <w:pPr>
              <w:spacing w:line="360" w:lineRule="auto"/>
              <w:ind w:firstLine="482" w:firstLineChars="200"/>
              <w:rPr>
                <w:rStyle w:val="42"/>
                <w:b/>
                <w:bCs/>
                <w:kern w:val="0"/>
                <w:sz w:val="24"/>
                <w:u w:val="none"/>
              </w:rPr>
            </w:pPr>
            <w:r>
              <w:rPr>
                <w:rStyle w:val="42"/>
                <w:rFonts w:hint="eastAsia"/>
                <w:b/>
                <w:bCs/>
                <w:kern w:val="0"/>
                <w:sz w:val="24"/>
                <w:u w:val="none"/>
              </w:rPr>
              <w:t>10、建设进度</w:t>
            </w:r>
          </w:p>
          <w:p w14:paraId="29471C74">
            <w:pPr>
              <w:spacing w:line="360" w:lineRule="auto"/>
              <w:ind w:firstLine="480" w:firstLineChars="200"/>
              <w:rPr>
                <w:rStyle w:val="42"/>
                <w:kern w:val="0"/>
                <w:sz w:val="24"/>
                <w:u w:val="none"/>
              </w:rPr>
            </w:pPr>
            <w:r>
              <w:rPr>
                <w:rFonts w:hint="eastAsia"/>
                <w:sz w:val="24"/>
                <w:u w:val="none"/>
              </w:rPr>
              <w:t>项目计划于2025年2月</w:t>
            </w:r>
            <w:r>
              <w:rPr>
                <w:rStyle w:val="42"/>
                <w:rFonts w:hint="eastAsia"/>
                <w:kern w:val="0"/>
                <w:sz w:val="24"/>
                <w:u w:val="none"/>
              </w:rPr>
              <w:t>开始施工，至2025年5月完工，工期为3个月。资金均由企业自筹。</w:t>
            </w:r>
          </w:p>
          <w:p w14:paraId="438B5CEB">
            <w:pPr>
              <w:spacing w:line="360" w:lineRule="auto"/>
              <w:ind w:firstLine="482" w:firstLineChars="200"/>
              <w:rPr>
                <w:rStyle w:val="42"/>
                <w:b/>
                <w:bCs/>
                <w:kern w:val="0"/>
                <w:sz w:val="24"/>
                <w:u w:val="none"/>
              </w:rPr>
            </w:pPr>
            <w:r>
              <w:rPr>
                <w:rStyle w:val="42"/>
                <w:rFonts w:hint="eastAsia"/>
                <w:b/>
                <w:bCs/>
                <w:kern w:val="0"/>
                <w:sz w:val="24"/>
                <w:u w:val="none"/>
              </w:rPr>
              <w:t>11、环保投资估算</w:t>
            </w:r>
          </w:p>
          <w:p w14:paraId="5F9EDC27">
            <w:pPr>
              <w:spacing w:line="360" w:lineRule="auto"/>
              <w:ind w:firstLine="480" w:firstLineChars="200"/>
              <w:rPr>
                <w:rStyle w:val="42"/>
                <w:kern w:val="0"/>
                <w:sz w:val="24"/>
                <w:u w:val="none"/>
              </w:rPr>
            </w:pPr>
            <w:r>
              <w:rPr>
                <w:rStyle w:val="42"/>
                <w:rFonts w:hint="eastAsia"/>
                <w:kern w:val="0"/>
                <w:sz w:val="24"/>
                <w:u w:val="none"/>
              </w:rPr>
              <w:t>建设项目总投资2000万元，其中环保投资为951万元，环保投资占总投资的47.55%。建设项目环保投资估算详见表2-4。</w:t>
            </w:r>
          </w:p>
          <w:p w14:paraId="3C78513A">
            <w:pPr>
              <w:spacing w:line="360" w:lineRule="auto"/>
              <w:jc w:val="center"/>
              <w:rPr>
                <w:b/>
                <w:szCs w:val="21"/>
                <w:u w:val="none"/>
              </w:rPr>
            </w:pPr>
            <w:r>
              <w:rPr>
                <w:rFonts w:hint="eastAsia"/>
                <w:b/>
                <w:szCs w:val="21"/>
                <w:u w:val="none"/>
              </w:rPr>
              <w:t xml:space="preserve">表2-4  </w:t>
            </w:r>
            <w:r>
              <w:rPr>
                <w:b/>
                <w:szCs w:val="21"/>
                <w:u w:val="none"/>
              </w:rPr>
              <w:t xml:space="preserve"> </w:t>
            </w:r>
            <w:r>
              <w:rPr>
                <w:rFonts w:hint="eastAsia"/>
                <w:b/>
                <w:szCs w:val="21"/>
                <w:u w:val="none"/>
              </w:rPr>
              <w:t>建设项目环保投资估算表</w:t>
            </w:r>
          </w:p>
          <w:tbl>
            <w:tblPr>
              <w:tblStyle w:val="3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593"/>
              <w:gridCol w:w="1392"/>
              <w:gridCol w:w="4099"/>
              <w:gridCol w:w="919"/>
              <w:gridCol w:w="910"/>
            </w:tblGrid>
            <w:tr w14:paraId="507A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42B3F8A1">
                  <w:pPr>
                    <w:wordWrap w:val="0"/>
                    <w:autoSpaceDE w:val="0"/>
                    <w:autoSpaceDN w:val="0"/>
                    <w:jc w:val="center"/>
                    <w:textAlignment w:val="baseline"/>
                    <w:rPr>
                      <w:b/>
                      <w:bCs/>
                      <w:kern w:val="0"/>
                      <w:szCs w:val="21"/>
                      <w:u w:val="none"/>
                    </w:rPr>
                  </w:pPr>
                  <w:r>
                    <w:rPr>
                      <w:b/>
                      <w:bCs/>
                      <w:kern w:val="0"/>
                      <w:szCs w:val="21"/>
                      <w:u w:val="none"/>
                    </w:rPr>
                    <w:t>序号</w:t>
                  </w:r>
                </w:p>
              </w:tc>
              <w:tc>
                <w:tcPr>
                  <w:tcW w:w="353" w:type="pct"/>
                  <w:vAlign w:val="center"/>
                </w:tcPr>
                <w:p w14:paraId="41EEE066">
                  <w:pPr>
                    <w:wordWrap w:val="0"/>
                    <w:autoSpaceDE w:val="0"/>
                    <w:autoSpaceDN w:val="0"/>
                    <w:jc w:val="center"/>
                    <w:textAlignment w:val="baseline"/>
                    <w:rPr>
                      <w:b/>
                      <w:bCs/>
                      <w:kern w:val="0"/>
                      <w:szCs w:val="21"/>
                      <w:u w:val="none"/>
                    </w:rPr>
                  </w:pPr>
                  <w:r>
                    <w:rPr>
                      <w:b/>
                      <w:bCs/>
                      <w:kern w:val="0"/>
                      <w:szCs w:val="21"/>
                      <w:u w:val="none"/>
                    </w:rPr>
                    <w:t>污染物</w:t>
                  </w:r>
                </w:p>
              </w:tc>
              <w:tc>
                <w:tcPr>
                  <w:tcW w:w="3270" w:type="pct"/>
                  <w:gridSpan w:val="2"/>
                  <w:vAlign w:val="center"/>
                </w:tcPr>
                <w:p w14:paraId="677D7371">
                  <w:pPr>
                    <w:wordWrap w:val="0"/>
                    <w:autoSpaceDE w:val="0"/>
                    <w:autoSpaceDN w:val="0"/>
                    <w:jc w:val="center"/>
                    <w:textAlignment w:val="baseline"/>
                    <w:rPr>
                      <w:b/>
                      <w:bCs/>
                      <w:kern w:val="0"/>
                      <w:szCs w:val="21"/>
                      <w:u w:val="none"/>
                    </w:rPr>
                  </w:pPr>
                  <w:r>
                    <w:rPr>
                      <w:b/>
                      <w:bCs/>
                      <w:kern w:val="0"/>
                      <w:szCs w:val="21"/>
                      <w:u w:val="none"/>
                    </w:rPr>
                    <w:t>环保设施</w:t>
                  </w:r>
                </w:p>
              </w:tc>
              <w:tc>
                <w:tcPr>
                  <w:tcW w:w="547" w:type="pct"/>
                  <w:vAlign w:val="center"/>
                </w:tcPr>
                <w:p w14:paraId="2D4705E1">
                  <w:pPr>
                    <w:wordWrap w:val="0"/>
                    <w:autoSpaceDE w:val="0"/>
                    <w:autoSpaceDN w:val="0"/>
                    <w:jc w:val="center"/>
                    <w:textAlignment w:val="baseline"/>
                    <w:rPr>
                      <w:b/>
                      <w:bCs/>
                      <w:kern w:val="0"/>
                      <w:szCs w:val="21"/>
                      <w:u w:val="none"/>
                    </w:rPr>
                  </w:pPr>
                  <w:r>
                    <w:rPr>
                      <w:b/>
                      <w:bCs/>
                      <w:kern w:val="0"/>
                      <w:szCs w:val="21"/>
                      <w:u w:val="none"/>
                    </w:rPr>
                    <w:t>投资金额（万元）</w:t>
                  </w:r>
                </w:p>
              </w:tc>
              <w:tc>
                <w:tcPr>
                  <w:tcW w:w="540" w:type="pct"/>
                  <w:vAlign w:val="center"/>
                </w:tcPr>
                <w:p w14:paraId="45B96EEC">
                  <w:pPr>
                    <w:wordWrap w:val="0"/>
                    <w:autoSpaceDE w:val="0"/>
                    <w:autoSpaceDN w:val="0"/>
                    <w:jc w:val="center"/>
                    <w:textAlignment w:val="baseline"/>
                    <w:rPr>
                      <w:b/>
                      <w:bCs/>
                      <w:kern w:val="0"/>
                      <w:szCs w:val="21"/>
                      <w:u w:val="none"/>
                    </w:rPr>
                  </w:pPr>
                  <w:r>
                    <w:rPr>
                      <w:b/>
                      <w:bCs/>
                      <w:kern w:val="0"/>
                      <w:szCs w:val="21"/>
                      <w:u w:val="none"/>
                    </w:rPr>
                    <w:t>备注</w:t>
                  </w:r>
                </w:p>
              </w:tc>
            </w:tr>
            <w:tr w14:paraId="230F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2C5DBCC8">
                  <w:pPr>
                    <w:wordWrap w:val="0"/>
                    <w:autoSpaceDE w:val="0"/>
                    <w:autoSpaceDN w:val="0"/>
                    <w:jc w:val="center"/>
                    <w:textAlignment w:val="baseline"/>
                    <w:rPr>
                      <w:kern w:val="0"/>
                      <w:szCs w:val="21"/>
                      <w:u w:val="none"/>
                    </w:rPr>
                  </w:pPr>
                  <w:r>
                    <w:rPr>
                      <w:b/>
                      <w:bCs/>
                      <w:kern w:val="0"/>
                      <w:szCs w:val="21"/>
                      <w:u w:val="none"/>
                    </w:rPr>
                    <w:t>施工期</w:t>
                  </w:r>
                </w:p>
              </w:tc>
            </w:tr>
            <w:tr w14:paraId="4FBF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6750B5B4">
                  <w:pPr>
                    <w:wordWrap w:val="0"/>
                    <w:autoSpaceDE w:val="0"/>
                    <w:autoSpaceDN w:val="0"/>
                    <w:jc w:val="center"/>
                    <w:textAlignment w:val="baseline"/>
                    <w:rPr>
                      <w:kern w:val="0"/>
                      <w:szCs w:val="21"/>
                      <w:u w:val="none"/>
                    </w:rPr>
                  </w:pPr>
                  <w:r>
                    <w:rPr>
                      <w:kern w:val="0"/>
                      <w:szCs w:val="21"/>
                      <w:u w:val="none"/>
                    </w:rPr>
                    <w:t>1</w:t>
                  </w:r>
                </w:p>
              </w:tc>
              <w:tc>
                <w:tcPr>
                  <w:tcW w:w="353" w:type="pct"/>
                  <w:vAlign w:val="center"/>
                </w:tcPr>
                <w:p w14:paraId="0566B7C5">
                  <w:pPr>
                    <w:wordWrap w:val="0"/>
                    <w:autoSpaceDE w:val="0"/>
                    <w:autoSpaceDN w:val="0"/>
                    <w:jc w:val="center"/>
                    <w:textAlignment w:val="baseline"/>
                    <w:rPr>
                      <w:kern w:val="0"/>
                      <w:szCs w:val="21"/>
                      <w:u w:val="none"/>
                    </w:rPr>
                  </w:pPr>
                  <w:r>
                    <w:rPr>
                      <w:kern w:val="0"/>
                      <w:szCs w:val="21"/>
                      <w:u w:val="none"/>
                    </w:rPr>
                    <w:t>扬尘</w:t>
                  </w:r>
                </w:p>
              </w:tc>
              <w:tc>
                <w:tcPr>
                  <w:tcW w:w="3270" w:type="pct"/>
                  <w:gridSpan w:val="2"/>
                  <w:vAlign w:val="center"/>
                </w:tcPr>
                <w:p w14:paraId="5E3FEE84">
                  <w:pPr>
                    <w:wordWrap w:val="0"/>
                    <w:autoSpaceDE w:val="0"/>
                    <w:autoSpaceDN w:val="0"/>
                    <w:jc w:val="center"/>
                    <w:textAlignment w:val="baseline"/>
                    <w:rPr>
                      <w:kern w:val="0"/>
                      <w:szCs w:val="21"/>
                      <w:u w:val="none"/>
                    </w:rPr>
                  </w:pPr>
                  <w:r>
                    <w:rPr>
                      <w:kern w:val="0"/>
                      <w:szCs w:val="21"/>
                      <w:u w:val="none"/>
                    </w:rPr>
                    <w:t>洒水降尘装置1套</w:t>
                  </w:r>
                  <w:r>
                    <w:rPr>
                      <w:rFonts w:hint="eastAsia"/>
                      <w:kern w:val="0"/>
                      <w:szCs w:val="21"/>
                      <w:u w:val="none"/>
                    </w:rPr>
                    <w:t>，运输车辆采取遮盖、密闭运输等措施，砂石料统一堆放，进行遮盖，水泥设置专门的堆棚堆放。</w:t>
                  </w:r>
                </w:p>
              </w:tc>
              <w:tc>
                <w:tcPr>
                  <w:tcW w:w="547" w:type="pct"/>
                  <w:vAlign w:val="center"/>
                </w:tcPr>
                <w:p w14:paraId="30663BF6">
                  <w:pPr>
                    <w:wordWrap w:val="0"/>
                    <w:autoSpaceDE w:val="0"/>
                    <w:autoSpaceDN w:val="0"/>
                    <w:jc w:val="center"/>
                    <w:textAlignment w:val="baseline"/>
                    <w:rPr>
                      <w:kern w:val="0"/>
                      <w:szCs w:val="21"/>
                      <w:u w:val="none"/>
                    </w:rPr>
                  </w:pPr>
                  <w:r>
                    <w:rPr>
                      <w:rFonts w:hint="eastAsia"/>
                      <w:kern w:val="0"/>
                      <w:szCs w:val="21"/>
                      <w:u w:val="none"/>
                    </w:rPr>
                    <w:t>0.5</w:t>
                  </w:r>
                </w:p>
              </w:tc>
              <w:tc>
                <w:tcPr>
                  <w:tcW w:w="540" w:type="pct"/>
                  <w:vAlign w:val="center"/>
                </w:tcPr>
                <w:p w14:paraId="33C7A651">
                  <w:pPr>
                    <w:wordWrap w:val="0"/>
                    <w:autoSpaceDE w:val="0"/>
                    <w:autoSpaceDN w:val="0"/>
                    <w:jc w:val="center"/>
                    <w:textAlignment w:val="baseline"/>
                    <w:rPr>
                      <w:kern w:val="0"/>
                      <w:szCs w:val="21"/>
                      <w:u w:val="none"/>
                    </w:rPr>
                  </w:pPr>
                  <w:r>
                    <w:rPr>
                      <w:kern w:val="0"/>
                      <w:szCs w:val="21"/>
                      <w:u w:val="none"/>
                    </w:rPr>
                    <w:t>新建</w:t>
                  </w:r>
                </w:p>
              </w:tc>
            </w:tr>
            <w:tr w14:paraId="7FAE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8" w:type="pct"/>
                  <w:vMerge w:val="restart"/>
                  <w:vAlign w:val="center"/>
                </w:tcPr>
                <w:p w14:paraId="7589ECA6">
                  <w:pPr>
                    <w:wordWrap w:val="0"/>
                    <w:autoSpaceDE w:val="0"/>
                    <w:autoSpaceDN w:val="0"/>
                    <w:jc w:val="center"/>
                    <w:textAlignment w:val="baseline"/>
                    <w:rPr>
                      <w:kern w:val="0"/>
                      <w:szCs w:val="21"/>
                      <w:u w:val="none"/>
                    </w:rPr>
                  </w:pPr>
                  <w:r>
                    <w:rPr>
                      <w:kern w:val="0"/>
                      <w:szCs w:val="21"/>
                      <w:u w:val="none"/>
                    </w:rPr>
                    <w:t>2</w:t>
                  </w:r>
                </w:p>
              </w:tc>
              <w:tc>
                <w:tcPr>
                  <w:tcW w:w="353" w:type="pct"/>
                  <w:vMerge w:val="restart"/>
                  <w:vAlign w:val="center"/>
                </w:tcPr>
                <w:p w14:paraId="06951CE6">
                  <w:pPr>
                    <w:wordWrap w:val="0"/>
                    <w:autoSpaceDE w:val="0"/>
                    <w:autoSpaceDN w:val="0"/>
                    <w:jc w:val="center"/>
                    <w:textAlignment w:val="baseline"/>
                    <w:rPr>
                      <w:kern w:val="0"/>
                      <w:szCs w:val="21"/>
                      <w:u w:val="none"/>
                    </w:rPr>
                  </w:pPr>
                  <w:r>
                    <w:rPr>
                      <w:kern w:val="0"/>
                      <w:szCs w:val="21"/>
                      <w:u w:val="none"/>
                    </w:rPr>
                    <w:t>废水</w:t>
                  </w:r>
                </w:p>
              </w:tc>
              <w:tc>
                <w:tcPr>
                  <w:tcW w:w="3270" w:type="pct"/>
                  <w:gridSpan w:val="2"/>
                  <w:vAlign w:val="center"/>
                </w:tcPr>
                <w:p w14:paraId="45216C04">
                  <w:pPr>
                    <w:wordWrap w:val="0"/>
                    <w:autoSpaceDE w:val="0"/>
                    <w:autoSpaceDN w:val="0"/>
                    <w:jc w:val="center"/>
                    <w:textAlignment w:val="baseline"/>
                    <w:rPr>
                      <w:kern w:val="0"/>
                      <w:szCs w:val="21"/>
                      <w:u w:val="none"/>
                    </w:rPr>
                  </w:pPr>
                  <w:r>
                    <w:rPr>
                      <w:rFonts w:hint="eastAsia"/>
                      <w:kern w:val="0"/>
                      <w:szCs w:val="21"/>
                      <w:u w:val="none"/>
                    </w:rPr>
                    <w:t>施工废水和施工人员清洗废水排入临时沉淀池，经过沉淀处理后回用于场区洒水降尘。</w:t>
                  </w:r>
                </w:p>
              </w:tc>
              <w:tc>
                <w:tcPr>
                  <w:tcW w:w="547" w:type="pct"/>
                  <w:vAlign w:val="center"/>
                </w:tcPr>
                <w:p w14:paraId="6BE64898">
                  <w:pPr>
                    <w:wordWrap w:val="0"/>
                    <w:autoSpaceDE w:val="0"/>
                    <w:autoSpaceDN w:val="0"/>
                    <w:jc w:val="center"/>
                    <w:textAlignment w:val="baseline"/>
                    <w:rPr>
                      <w:kern w:val="0"/>
                      <w:szCs w:val="21"/>
                      <w:u w:val="none"/>
                    </w:rPr>
                  </w:pPr>
                  <w:r>
                    <w:rPr>
                      <w:rFonts w:hint="eastAsia"/>
                      <w:kern w:val="0"/>
                      <w:szCs w:val="21"/>
                      <w:u w:val="none"/>
                    </w:rPr>
                    <w:t>1</w:t>
                  </w:r>
                </w:p>
              </w:tc>
              <w:tc>
                <w:tcPr>
                  <w:tcW w:w="540" w:type="pct"/>
                  <w:vAlign w:val="center"/>
                </w:tcPr>
                <w:p w14:paraId="368DB864">
                  <w:pPr>
                    <w:wordWrap w:val="0"/>
                    <w:autoSpaceDE w:val="0"/>
                    <w:autoSpaceDN w:val="0"/>
                    <w:jc w:val="center"/>
                    <w:textAlignment w:val="baseline"/>
                    <w:rPr>
                      <w:kern w:val="0"/>
                      <w:szCs w:val="21"/>
                      <w:u w:val="none"/>
                    </w:rPr>
                  </w:pPr>
                  <w:r>
                    <w:rPr>
                      <w:rFonts w:hint="eastAsia"/>
                      <w:kern w:val="0"/>
                      <w:szCs w:val="21"/>
                      <w:u w:val="none"/>
                    </w:rPr>
                    <w:t>新建</w:t>
                  </w:r>
                </w:p>
              </w:tc>
            </w:tr>
            <w:tr w14:paraId="6C0C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88" w:type="pct"/>
                  <w:vMerge w:val="continue"/>
                  <w:vAlign w:val="center"/>
                </w:tcPr>
                <w:p w14:paraId="00F8847F">
                  <w:pPr>
                    <w:wordWrap w:val="0"/>
                    <w:autoSpaceDE w:val="0"/>
                    <w:autoSpaceDN w:val="0"/>
                    <w:jc w:val="center"/>
                    <w:textAlignment w:val="baseline"/>
                    <w:rPr>
                      <w:kern w:val="0"/>
                      <w:szCs w:val="21"/>
                      <w:u w:val="none"/>
                    </w:rPr>
                  </w:pPr>
                </w:p>
              </w:tc>
              <w:tc>
                <w:tcPr>
                  <w:tcW w:w="353" w:type="pct"/>
                  <w:vMerge w:val="continue"/>
                  <w:vAlign w:val="center"/>
                </w:tcPr>
                <w:p w14:paraId="35DB5162">
                  <w:pPr>
                    <w:wordWrap w:val="0"/>
                    <w:autoSpaceDE w:val="0"/>
                    <w:autoSpaceDN w:val="0"/>
                    <w:jc w:val="center"/>
                    <w:textAlignment w:val="baseline"/>
                    <w:rPr>
                      <w:kern w:val="0"/>
                      <w:szCs w:val="21"/>
                      <w:u w:val="none"/>
                    </w:rPr>
                  </w:pPr>
                </w:p>
              </w:tc>
              <w:tc>
                <w:tcPr>
                  <w:tcW w:w="3270" w:type="pct"/>
                  <w:gridSpan w:val="2"/>
                  <w:vAlign w:val="center"/>
                </w:tcPr>
                <w:p w14:paraId="02EB5C5A">
                  <w:pPr>
                    <w:wordWrap w:val="0"/>
                    <w:jc w:val="center"/>
                    <w:rPr>
                      <w:kern w:val="0"/>
                      <w:szCs w:val="21"/>
                      <w:u w:val="none"/>
                    </w:rPr>
                  </w:pPr>
                  <w:r>
                    <w:rPr>
                      <w:rFonts w:hint="eastAsia"/>
                      <w:szCs w:val="21"/>
                      <w:u w:val="none"/>
                    </w:rPr>
                    <w:t>建设1个容积为140m</w:t>
                  </w:r>
                  <w:r>
                    <w:rPr>
                      <w:rFonts w:hint="eastAsia"/>
                      <w:szCs w:val="21"/>
                      <w:u w:val="none"/>
                      <w:vertAlign w:val="superscript"/>
                    </w:rPr>
                    <w:t>3</w:t>
                  </w:r>
                  <w:r>
                    <w:rPr>
                      <w:rFonts w:hint="eastAsia"/>
                      <w:szCs w:val="21"/>
                      <w:u w:val="none"/>
                    </w:rPr>
                    <w:t>的临时场地雨污水收集池，施工期场地雨污水经收集后排入临时场地雨污水收集池，沉淀处理后回用于施工场地降尘</w:t>
                  </w:r>
                  <w:r>
                    <w:rPr>
                      <w:rFonts w:hint="eastAsia"/>
                      <w:kern w:val="0"/>
                      <w:szCs w:val="21"/>
                      <w:u w:val="none"/>
                    </w:rPr>
                    <w:t>。</w:t>
                  </w:r>
                </w:p>
              </w:tc>
              <w:tc>
                <w:tcPr>
                  <w:tcW w:w="547" w:type="pct"/>
                  <w:vAlign w:val="center"/>
                </w:tcPr>
                <w:p w14:paraId="33567BE4">
                  <w:pPr>
                    <w:wordWrap w:val="0"/>
                    <w:autoSpaceDE w:val="0"/>
                    <w:autoSpaceDN w:val="0"/>
                    <w:jc w:val="center"/>
                    <w:textAlignment w:val="baseline"/>
                    <w:rPr>
                      <w:kern w:val="0"/>
                      <w:szCs w:val="21"/>
                      <w:u w:val="none"/>
                    </w:rPr>
                  </w:pPr>
                  <w:r>
                    <w:rPr>
                      <w:rFonts w:hint="eastAsia"/>
                      <w:kern w:val="0"/>
                      <w:szCs w:val="21"/>
                      <w:u w:val="none"/>
                    </w:rPr>
                    <w:t>7</w:t>
                  </w:r>
                </w:p>
              </w:tc>
              <w:tc>
                <w:tcPr>
                  <w:tcW w:w="540" w:type="pct"/>
                  <w:vAlign w:val="center"/>
                </w:tcPr>
                <w:p w14:paraId="2D14D943">
                  <w:pPr>
                    <w:wordWrap w:val="0"/>
                    <w:autoSpaceDE w:val="0"/>
                    <w:autoSpaceDN w:val="0"/>
                    <w:jc w:val="center"/>
                    <w:textAlignment w:val="baseline"/>
                    <w:rPr>
                      <w:kern w:val="0"/>
                      <w:szCs w:val="21"/>
                      <w:u w:val="none"/>
                    </w:rPr>
                  </w:pPr>
                  <w:r>
                    <w:rPr>
                      <w:rFonts w:hint="eastAsia"/>
                      <w:kern w:val="0"/>
                      <w:szCs w:val="21"/>
                      <w:u w:val="none"/>
                    </w:rPr>
                    <w:t>新建</w:t>
                  </w:r>
                </w:p>
              </w:tc>
            </w:tr>
            <w:tr w14:paraId="5314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38A9E09A">
                  <w:pPr>
                    <w:wordWrap w:val="0"/>
                    <w:autoSpaceDE w:val="0"/>
                    <w:autoSpaceDN w:val="0"/>
                    <w:jc w:val="center"/>
                    <w:textAlignment w:val="baseline"/>
                    <w:rPr>
                      <w:kern w:val="0"/>
                      <w:szCs w:val="21"/>
                      <w:u w:val="none"/>
                    </w:rPr>
                  </w:pPr>
                  <w:r>
                    <w:rPr>
                      <w:kern w:val="0"/>
                      <w:szCs w:val="21"/>
                      <w:u w:val="none"/>
                    </w:rPr>
                    <w:t>3</w:t>
                  </w:r>
                </w:p>
              </w:tc>
              <w:tc>
                <w:tcPr>
                  <w:tcW w:w="353" w:type="pct"/>
                  <w:vAlign w:val="center"/>
                </w:tcPr>
                <w:p w14:paraId="5CF76781">
                  <w:pPr>
                    <w:wordWrap w:val="0"/>
                    <w:autoSpaceDE w:val="0"/>
                    <w:autoSpaceDN w:val="0"/>
                    <w:jc w:val="center"/>
                    <w:textAlignment w:val="baseline"/>
                    <w:rPr>
                      <w:kern w:val="0"/>
                      <w:szCs w:val="21"/>
                      <w:u w:val="none"/>
                    </w:rPr>
                  </w:pPr>
                  <w:r>
                    <w:rPr>
                      <w:rFonts w:hint="eastAsia"/>
                      <w:kern w:val="0"/>
                      <w:szCs w:val="21"/>
                      <w:u w:val="none"/>
                    </w:rPr>
                    <w:t>噪声</w:t>
                  </w:r>
                </w:p>
              </w:tc>
              <w:tc>
                <w:tcPr>
                  <w:tcW w:w="3270" w:type="pct"/>
                  <w:gridSpan w:val="2"/>
                  <w:vAlign w:val="center"/>
                </w:tcPr>
                <w:p w14:paraId="74D946D8">
                  <w:pPr>
                    <w:wordWrap w:val="0"/>
                    <w:autoSpaceDE w:val="0"/>
                    <w:autoSpaceDN w:val="0"/>
                    <w:jc w:val="center"/>
                    <w:textAlignment w:val="baseline"/>
                    <w:rPr>
                      <w:kern w:val="0"/>
                      <w:szCs w:val="21"/>
                      <w:u w:val="none"/>
                    </w:rPr>
                  </w:pPr>
                  <w:r>
                    <w:rPr>
                      <w:kern w:val="0"/>
                      <w:szCs w:val="21"/>
                      <w:u w:val="none"/>
                    </w:rPr>
                    <w:t>合理安排施工时序，避免同时使用多</w:t>
                  </w:r>
                  <w:r>
                    <w:rPr>
                      <w:kern w:val="0"/>
                      <w:szCs w:val="21"/>
                      <w:u w:val="none" w:color="auto"/>
                      <w:shd w:val="clear" w:fill="auto"/>
                    </w:rPr>
                    <w:t>个</w:t>
                  </w:r>
                  <w:r>
                    <w:rPr>
                      <w:kern w:val="0"/>
                      <w:szCs w:val="21"/>
                      <w:u w:val="none"/>
                    </w:rPr>
                    <w:t>高噪声设备；合理进行施工布局，并在高噪声设备周围设置隔声围栏或临时声屏障</w:t>
                  </w:r>
                  <w:r>
                    <w:rPr>
                      <w:rFonts w:hint="eastAsia"/>
                      <w:kern w:val="0"/>
                      <w:szCs w:val="21"/>
                      <w:u w:val="none"/>
                    </w:rPr>
                    <w:t>等。</w:t>
                  </w:r>
                </w:p>
              </w:tc>
              <w:tc>
                <w:tcPr>
                  <w:tcW w:w="547" w:type="pct"/>
                  <w:vAlign w:val="center"/>
                </w:tcPr>
                <w:p w14:paraId="484F2BC6">
                  <w:pPr>
                    <w:wordWrap w:val="0"/>
                    <w:autoSpaceDE w:val="0"/>
                    <w:autoSpaceDN w:val="0"/>
                    <w:jc w:val="center"/>
                    <w:textAlignment w:val="baseline"/>
                    <w:rPr>
                      <w:kern w:val="0"/>
                      <w:szCs w:val="21"/>
                      <w:u w:val="none"/>
                    </w:rPr>
                  </w:pPr>
                  <w:r>
                    <w:rPr>
                      <w:rFonts w:hint="eastAsia"/>
                      <w:kern w:val="0"/>
                      <w:szCs w:val="21"/>
                      <w:u w:val="none"/>
                    </w:rPr>
                    <w:t>0.4</w:t>
                  </w:r>
                </w:p>
              </w:tc>
              <w:tc>
                <w:tcPr>
                  <w:tcW w:w="540" w:type="pct"/>
                  <w:vAlign w:val="center"/>
                </w:tcPr>
                <w:p w14:paraId="42B93D22">
                  <w:pPr>
                    <w:wordWrap w:val="0"/>
                    <w:autoSpaceDE w:val="0"/>
                    <w:autoSpaceDN w:val="0"/>
                    <w:jc w:val="center"/>
                    <w:textAlignment w:val="baseline"/>
                    <w:rPr>
                      <w:kern w:val="0"/>
                      <w:szCs w:val="21"/>
                      <w:u w:val="none"/>
                    </w:rPr>
                  </w:pPr>
                  <w:r>
                    <w:rPr>
                      <w:kern w:val="0"/>
                      <w:szCs w:val="21"/>
                      <w:u w:val="none"/>
                    </w:rPr>
                    <w:t>新建</w:t>
                  </w:r>
                </w:p>
              </w:tc>
            </w:tr>
            <w:tr w14:paraId="57BA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6F2AB82D">
                  <w:pPr>
                    <w:wordWrap w:val="0"/>
                    <w:autoSpaceDE w:val="0"/>
                    <w:autoSpaceDN w:val="0"/>
                    <w:jc w:val="center"/>
                    <w:textAlignment w:val="baseline"/>
                    <w:rPr>
                      <w:kern w:val="0"/>
                      <w:szCs w:val="21"/>
                      <w:u w:val="none"/>
                    </w:rPr>
                  </w:pPr>
                  <w:r>
                    <w:rPr>
                      <w:kern w:val="0"/>
                      <w:szCs w:val="21"/>
                      <w:u w:val="none"/>
                    </w:rPr>
                    <w:t>4</w:t>
                  </w:r>
                </w:p>
              </w:tc>
              <w:tc>
                <w:tcPr>
                  <w:tcW w:w="353" w:type="pct"/>
                  <w:vAlign w:val="center"/>
                </w:tcPr>
                <w:p w14:paraId="5D7A0C2C">
                  <w:pPr>
                    <w:wordWrap w:val="0"/>
                    <w:autoSpaceDE w:val="0"/>
                    <w:autoSpaceDN w:val="0"/>
                    <w:jc w:val="center"/>
                    <w:textAlignment w:val="baseline"/>
                    <w:rPr>
                      <w:kern w:val="0"/>
                      <w:szCs w:val="21"/>
                      <w:u w:val="none"/>
                    </w:rPr>
                  </w:pPr>
                  <w:r>
                    <w:rPr>
                      <w:kern w:val="0"/>
                      <w:szCs w:val="21"/>
                      <w:u w:val="none"/>
                    </w:rPr>
                    <w:t>固废</w:t>
                  </w:r>
                </w:p>
              </w:tc>
              <w:tc>
                <w:tcPr>
                  <w:tcW w:w="3270" w:type="pct"/>
                  <w:gridSpan w:val="2"/>
                  <w:vAlign w:val="center"/>
                </w:tcPr>
                <w:p w14:paraId="50A83E7A">
                  <w:pPr>
                    <w:wordWrap w:val="0"/>
                    <w:autoSpaceDE w:val="0"/>
                    <w:autoSpaceDN w:val="0"/>
                    <w:jc w:val="center"/>
                    <w:textAlignment w:val="baseline"/>
                    <w:rPr>
                      <w:kern w:val="0"/>
                      <w:szCs w:val="21"/>
                      <w:u w:val="none"/>
                    </w:rPr>
                  </w:pPr>
                  <w:r>
                    <w:rPr>
                      <w:kern w:val="0"/>
                      <w:szCs w:val="21"/>
                      <w:u w:val="none"/>
                    </w:rPr>
                    <w:t>建筑垃圾能回收利用部分外售物资回收公司，不能回收利用的清运至住建部门指定的建筑垃圾堆放点；</w:t>
                  </w:r>
                  <w:r>
                    <w:rPr>
                      <w:rFonts w:hint="eastAsia"/>
                      <w:kern w:val="0"/>
                      <w:szCs w:val="21"/>
                      <w:u w:val="none"/>
                    </w:rPr>
                    <w:t>土方全部回填于厂区地势低洼处；</w:t>
                  </w:r>
                  <w:r>
                    <w:rPr>
                      <w:kern w:val="0"/>
                      <w:szCs w:val="21"/>
                      <w:u w:val="none"/>
                    </w:rPr>
                    <w:t>设置</w:t>
                  </w:r>
                  <w:r>
                    <w:rPr>
                      <w:rFonts w:hint="eastAsia"/>
                      <w:kern w:val="0"/>
                      <w:szCs w:val="21"/>
                      <w:u w:val="none"/>
                    </w:rPr>
                    <w:t>1</w:t>
                  </w:r>
                  <w:r>
                    <w:rPr>
                      <w:kern w:val="0"/>
                      <w:szCs w:val="21"/>
                      <w:u w:val="none"/>
                    </w:rPr>
                    <w:t>个带盖垃圾桶，生活垃圾分类收集后，</w:t>
                  </w:r>
                  <w:r>
                    <w:rPr>
                      <w:rFonts w:hint="eastAsia"/>
                      <w:kern w:val="0"/>
                      <w:szCs w:val="21"/>
                      <w:u w:val="none"/>
                    </w:rPr>
                    <w:t>交由工业园区环卫部门清运处置。</w:t>
                  </w:r>
                </w:p>
              </w:tc>
              <w:tc>
                <w:tcPr>
                  <w:tcW w:w="547" w:type="pct"/>
                  <w:vAlign w:val="center"/>
                </w:tcPr>
                <w:p w14:paraId="001461F0">
                  <w:pPr>
                    <w:wordWrap w:val="0"/>
                    <w:autoSpaceDE w:val="0"/>
                    <w:autoSpaceDN w:val="0"/>
                    <w:jc w:val="center"/>
                    <w:textAlignment w:val="baseline"/>
                    <w:rPr>
                      <w:kern w:val="0"/>
                      <w:szCs w:val="21"/>
                      <w:u w:val="none"/>
                    </w:rPr>
                  </w:pPr>
                  <w:r>
                    <w:rPr>
                      <w:rFonts w:hint="eastAsia"/>
                      <w:kern w:val="0"/>
                      <w:szCs w:val="21"/>
                      <w:u w:val="none"/>
                    </w:rPr>
                    <w:t>0.5</w:t>
                  </w:r>
                </w:p>
              </w:tc>
              <w:tc>
                <w:tcPr>
                  <w:tcW w:w="540" w:type="pct"/>
                  <w:vAlign w:val="center"/>
                </w:tcPr>
                <w:p w14:paraId="091B21BB">
                  <w:pPr>
                    <w:wordWrap w:val="0"/>
                    <w:autoSpaceDE w:val="0"/>
                    <w:autoSpaceDN w:val="0"/>
                    <w:jc w:val="center"/>
                    <w:textAlignment w:val="baseline"/>
                    <w:rPr>
                      <w:kern w:val="0"/>
                      <w:szCs w:val="21"/>
                      <w:u w:val="none"/>
                    </w:rPr>
                  </w:pPr>
                  <w:r>
                    <w:rPr>
                      <w:kern w:val="0"/>
                      <w:szCs w:val="21"/>
                      <w:u w:val="none"/>
                    </w:rPr>
                    <w:t>新建</w:t>
                  </w:r>
                </w:p>
              </w:tc>
            </w:tr>
            <w:tr w14:paraId="152D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 w:type="pct"/>
                  <w:vAlign w:val="center"/>
                </w:tcPr>
                <w:p w14:paraId="62FFF7A4">
                  <w:pPr>
                    <w:wordWrap w:val="0"/>
                    <w:autoSpaceDE w:val="0"/>
                    <w:autoSpaceDN w:val="0"/>
                    <w:jc w:val="center"/>
                    <w:textAlignment w:val="baseline"/>
                    <w:rPr>
                      <w:kern w:val="0"/>
                      <w:szCs w:val="21"/>
                      <w:u w:val="none"/>
                    </w:rPr>
                  </w:pPr>
                  <w:r>
                    <w:rPr>
                      <w:rFonts w:hint="eastAsia"/>
                      <w:kern w:val="0"/>
                      <w:szCs w:val="21"/>
                      <w:u w:val="none"/>
                    </w:rPr>
                    <w:t>5</w:t>
                  </w:r>
                </w:p>
              </w:tc>
              <w:tc>
                <w:tcPr>
                  <w:tcW w:w="353" w:type="pct"/>
                  <w:vAlign w:val="center"/>
                </w:tcPr>
                <w:p w14:paraId="67870C0F">
                  <w:pPr>
                    <w:wordWrap w:val="0"/>
                    <w:autoSpaceDE w:val="0"/>
                    <w:autoSpaceDN w:val="0"/>
                    <w:jc w:val="center"/>
                    <w:textAlignment w:val="baseline"/>
                    <w:rPr>
                      <w:kern w:val="0"/>
                      <w:szCs w:val="21"/>
                      <w:u w:val="none"/>
                    </w:rPr>
                  </w:pPr>
                  <w:r>
                    <w:rPr>
                      <w:rFonts w:hint="eastAsia"/>
                      <w:kern w:val="0"/>
                      <w:szCs w:val="21"/>
                      <w:u w:val="none"/>
                    </w:rPr>
                    <w:t>生态环境</w:t>
                  </w:r>
                </w:p>
              </w:tc>
              <w:tc>
                <w:tcPr>
                  <w:tcW w:w="3270" w:type="pct"/>
                  <w:gridSpan w:val="2"/>
                  <w:vAlign w:val="center"/>
                </w:tcPr>
                <w:p w14:paraId="711BB86A">
                  <w:pPr>
                    <w:wordWrap w:val="0"/>
                    <w:autoSpaceDE w:val="0"/>
                    <w:autoSpaceDN w:val="0"/>
                    <w:jc w:val="center"/>
                    <w:textAlignment w:val="baseline"/>
                    <w:rPr>
                      <w:kern w:val="0"/>
                      <w:szCs w:val="21"/>
                      <w:u w:val="none"/>
                    </w:rPr>
                  </w:pPr>
                  <w:r>
                    <w:rPr>
                      <w:kern w:val="0"/>
                      <w:szCs w:val="21"/>
                      <w:u w:val="none"/>
                    </w:rPr>
                    <w:t>严格实施主体工程和水保方案设计的措施；施工中经常对临时排水沟、沉淀池进行检查、清理等水土保持措施</w:t>
                  </w:r>
                  <w:r>
                    <w:rPr>
                      <w:rFonts w:hint="eastAsia"/>
                      <w:kern w:val="0"/>
                      <w:szCs w:val="21"/>
                      <w:u w:val="none"/>
                    </w:rPr>
                    <w:t>。</w:t>
                  </w:r>
                </w:p>
              </w:tc>
              <w:tc>
                <w:tcPr>
                  <w:tcW w:w="547" w:type="pct"/>
                  <w:vAlign w:val="center"/>
                </w:tcPr>
                <w:p w14:paraId="6A1A2A1A">
                  <w:pPr>
                    <w:wordWrap w:val="0"/>
                    <w:autoSpaceDE w:val="0"/>
                    <w:autoSpaceDN w:val="0"/>
                    <w:jc w:val="center"/>
                    <w:textAlignment w:val="baseline"/>
                    <w:rPr>
                      <w:kern w:val="0"/>
                      <w:szCs w:val="21"/>
                      <w:u w:val="none"/>
                    </w:rPr>
                  </w:pPr>
                  <w:r>
                    <w:rPr>
                      <w:rFonts w:hint="eastAsia"/>
                      <w:kern w:val="0"/>
                      <w:szCs w:val="21"/>
                      <w:u w:val="none"/>
                    </w:rPr>
                    <w:t>0.5</w:t>
                  </w:r>
                </w:p>
              </w:tc>
              <w:tc>
                <w:tcPr>
                  <w:tcW w:w="540" w:type="pct"/>
                  <w:vAlign w:val="center"/>
                </w:tcPr>
                <w:p w14:paraId="101559F7">
                  <w:pPr>
                    <w:wordWrap w:val="0"/>
                    <w:autoSpaceDE w:val="0"/>
                    <w:autoSpaceDN w:val="0"/>
                    <w:jc w:val="center"/>
                    <w:textAlignment w:val="baseline"/>
                    <w:rPr>
                      <w:kern w:val="0"/>
                      <w:szCs w:val="21"/>
                      <w:u w:val="none"/>
                    </w:rPr>
                  </w:pPr>
                  <w:r>
                    <w:rPr>
                      <w:kern w:val="0"/>
                      <w:szCs w:val="21"/>
                      <w:u w:val="none"/>
                    </w:rPr>
                    <w:t>新建</w:t>
                  </w:r>
                </w:p>
              </w:tc>
            </w:tr>
            <w:tr w14:paraId="04B3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4B1A19A">
                  <w:pPr>
                    <w:wordWrap w:val="0"/>
                    <w:autoSpaceDE w:val="0"/>
                    <w:autoSpaceDN w:val="0"/>
                    <w:jc w:val="center"/>
                    <w:textAlignment w:val="baseline"/>
                    <w:rPr>
                      <w:kern w:val="0"/>
                      <w:szCs w:val="21"/>
                      <w:u w:val="none"/>
                    </w:rPr>
                  </w:pPr>
                  <w:r>
                    <w:rPr>
                      <w:b/>
                      <w:bCs/>
                      <w:kern w:val="0"/>
                      <w:szCs w:val="21"/>
                      <w:u w:val="none"/>
                    </w:rPr>
                    <w:t>运营期</w:t>
                  </w:r>
                </w:p>
              </w:tc>
            </w:tr>
            <w:tr w14:paraId="09B1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 w:type="pct"/>
                  <w:vMerge w:val="restart"/>
                  <w:vAlign w:val="center"/>
                </w:tcPr>
                <w:p w14:paraId="2667220F">
                  <w:pPr>
                    <w:wordWrap w:val="0"/>
                    <w:autoSpaceDE w:val="0"/>
                    <w:autoSpaceDN w:val="0"/>
                    <w:jc w:val="center"/>
                    <w:textAlignment w:val="baseline"/>
                    <w:rPr>
                      <w:kern w:val="0"/>
                      <w:szCs w:val="21"/>
                      <w:u w:val="none"/>
                    </w:rPr>
                  </w:pPr>
                  <w:r>
                    <w:rPr>
                      <w:rFonts w:hint="eastAsia"/>
                      <w:kern w:val="0"/>
                      <w:szCs w:val="21"/>
                      <w:u w:val="none"/>
                    </w:rPr>
                    <w:t>6</w:t>
                  </w:r>
                </w:p>
              </w:tc>
              <w:tc>
                <w:tcPr>
                  <w:tcW w:w="353" w:type="pct"/>
                  <w:vMerge w:val="restart"/>
                  <w:vAlign w:val="center"/>
                </w:tcPr>
                <w:p w14:paraId="19DD787B">
                  <w:pPr>
                    <w:wordWrap w:val="0"/>
                    <w:autoSpaceDE w:val="0"/>
                    <w:autoSpaceDN w:val="0"/>
                    <w:jc w:val="center"/>
                    <w:textAlignment w:val="baseline"/>
                    <w:rPr>
                      <w:kern w:val="0"/>
                      <w:szCs w:val="21"/>
                      <w:u w:val="none"/>
                    </w:rPr>
                  </w:pPr>
                  <w:r>
                    <w:rPr>
                      <w:kern w:val="0"/>
                      <w:szCs w:val="21"/>
                      <w:u w:val="none"/>
                    </w:rPr>
                    <w:t>废水</w:t>
                  </w:r>
                </w:p>
              </w:tc>
              <w:tc>
                <w:tcPr>
                  <w:tcW w:w="3270" w:type="pct"/>
                  <w:gridSpan w:val="2"/>
                  <w:vAlign w:val="center"/>
                </w:tcPr>
                <w:p w14:paraId="415C62A0">
                  <w:pPr>
                    <w:adjustRightInd w:val="0"/>
                    <w:snapToGrid w:val="0"/>
                    <w:jc w:val="center"/>
                    <w:rPr>
                      <w:kern w:val="0"/>
                      <w:szCs w:val="21"/>
                      <w:u w:val="none"/>
                    </w:rPr>
                  </w:pPr>
                  <w:r>
                    <w:rPr>
                      <w:rFonts w:hint="eastAsia"/>
                      <w:bCs/>
                      <w:u w:val="none"/>
                    </w:rPr>
                    <w:t>洗车平台1侧建设1座54m</w:t>
                  </w:r>
                  <w:r>
                    <w:rPr>
                      <w:rFonts w:hint="eastAsia"/>
                      <w:bCs/>
                      <w:u w:val="none"/>
                      <w:vertAlign w:val="superscript"/>
                    </w:rPr>
                    <w:t>3</w:t>
                  </w:r>
                  <w:r>
                    <w:rPr>
                      <w:rFonts w:hint="eastAsia"/>
                      <w:bCs/>
                      <w:u w:val="none"/>
                    </w:rPr>
                    <w:t>的车辆清洗废水沉淀池，池子采用混凝土</w:t>
                  </w:r>
                  <w:r>
                    <w:rPr>
                      <w:bCs/>
                      <w:u w:val="none"/>
                    </w:rPr>
                    <w:t>硬化</w:t>
                  </w:r>
                  <w:r>
                    <w:rPr>
                      <w:rFonts w:hint="eastAsia"/>
                      <w:bCs/>
                      <w:u w:val="none"/>
                    </w:rPr>
                    <w:t>，并配置回用水泵及管道</w:t>
                  </w:r>
                  <w:r>
                    <w:rPr>
                      <w:rFonts w:hint="eastAsia"/>
                      <w:kern w:val="0"/>
                      <w:szCs w:val="21"/>
                      <w:u w:val="none"/>
                    </w:rPr>
                    <w:t>。</w:t>
                  </w:r>
                </w:p>
              </w:tc>
              <w:tc>
                <w:tcPr>
                  <w:tcW w:w="547" w:type="pct"/>
                  <w:vAlign w:val="center"/>
                </w:tcPr>
                <w:p w14:paraId="6870DEA9">
                  <w:pPr>
                    <w:adjustRightInd w:val="0"/>
                    <w:snapToGrid w:val="0"/>
                    <w:jc w:val="center"/>
                    <w:rPr>
                      <w:kern w:val="0"/>
                      <w:szCs w:val="21"/>
                      <w:u w:val="none"/>
                    </w:rPr>
                  </w:pPr>
                  <w:r>
                    <w:rPr>
                      <w:rFonts w:hint="eastAsia"/>
                      <w:bCs/>
                      <w:szCs w:val="21"/>
                      <w:u w:val="none"/>
                    </w:rPr>
                    <w:t>5</w:t>
                  </w:r>
                </w:p>
              </w:tc>
              <w:tc>
                <w:tcPr>
                  <w:tcW w:w="540" w:type="pct"/>
                  <w:vAlign w:val="center"/>
                </w:tcPr>
                <w:p w14:paraId="7FD6AF7B">
                  <w:pPr>
                    <w:wordWrap w:val="0"/>
                    <w:autoSpaceDE w:val="0"/>
                    <w:autoSpaceDN w:val="0"/>
                    <w:jc w:val="center"/>
                    <w:textAlignment w:val="baseline"/>
                    <w:rPr>
                      <w:kern w:val="0"/>
                      <w:szCs w:val="21"/>
                      <w:u w:val="none"/>
                    </w:rPr>
                  </w:pPr>
                  <w:r>
                    <w:rPr>
                      <w:rFonts w:hint="eastAsia"/>
                      <w:kern w:val="0"/>
                      <w:szCs w:val="21"/>
                      <w:u w:val="none"/>
                    </w:rPr>
                    <w:t>新建</w:t>
                  </w:r>
                </w:p>
              </w:tc>
            </w:tr>
            <w:tr w14:paraId="08C0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16AD82B0">
                  <w:pPr>
                    <w:wordWrap w:val="0"/>
                    <w:autoSpaceDE w:val="0"/>
                    <w:autoSpaceDN w:val="0"/>
                    <w:jc w:val="center"/>
                    <w:textAlignment w:val="baseline"/>
                    <w:rPr>
                      <w:kern w:val="0"/>
                      <w:szCs w:val="21"/>
                      <w:u w:val="none"/>
                    </w:rPr>
                  </w:pPr>
                </w:p>
              </w:tc>
              <w:tc>
                <w:tcPr>
                  <w:tcW w:w="353" w:type="pct"/>
                  <w:vMerge w:val="continue"/>
                  <w:vAlign w:val="center"/>
                </w:tcPr>
                <w:p w14:paraId="54150BE4">
                  <w:pPr>
                    <w:wordWrap w:val="0"/>
                    <w:autoSpaceDE w:val="0"/>
                    <w:autoSpaceDN w:val="0"/>
                    <w:jc w:val="center"/>
                    <w:textAlignment w:val="baseline"/>
                    <w:rPr>
                      <w:kern w:val="0"/>
                      <w:szCs w:val="21"/>
                      <w:u w:val="none"/>
                    </w:rPr>
                  </w:pPr>
                </w:p>
              </w:tc>
              <w:tc>
                <w:tcPr>
                  <w:tcW w:w="3270" w:type="pct"/>
                  <w:gridSpan w:val="2"/>
                  <w:vAlign w:val="center"/>
                </w:tcPr>
                <w:p w14:paraId="21353178">
                  <w:pPr>
                    <w:adjustRightInd w:val="0"/>
                    <w:snapToGrid w:val="0"/>
                    <w:jc w:val="center"/>
                    <w:rPr>
                      <w:kern w:val="0"/>
                      <w:szCs w:val="21"/>
                      <w:u w:val="none"/>
                    </w:rPr>
                  </w:pPr>
                  <w:r>
                    <w:rPr>
                      <w:rFonts w:hint="eastAsia"/>
                      <w:bCs/>
                      <w:u w:val="none"/>
                    </w:rPr>
                    <w:t>彩钢瓦大棚建设雨水集雨槽及排水管，场地建设雨污分流系统</w:t>
                  </w:r>
                </w:p>
              </w:tc>
              <w:tc>
                <w:tcPr>
                  <w:tcW w:w="547" w:type="pct"/>
                  <w:vAlign w:val="center"/>
                </w:tcPr>
                <w:p w14:paraId="4ADE1129">
                  <w:pPr>
                    <w:adjustRightInd w:val="0"/>
                    <w:snapToGrid w:val="0"/>
                    <w:jc w:val="center"/>
                    <w:rPr>
                      <w:kern w:val="0"/>
                      <w:szCs w:val="21"/>
                      <w:u w:val="none"/>
                    </w:rPr>
                  </w:pPr>
                  <w:r>
                    <w:rPr>
                      <w:rFonts w:hint="eastAsia"/>
                      <w:bCs/>
                      <w:szCs w:val="21"/>
                      <w:u w:val="none"/>
                    </w:rPr>
                    <w:t>30</w:t>
                  </w:r>
                </w:p>
              </w:tc>
              <w:tc>
                <w:tcPr>
                  <w:tcW w:w="540" w:type="pct"/>
                  <w:vAlign w:val="center"/>
                </w:tcPr>
                <w:p w14:paraId="19119339">
                  <w:pPr>
                    <w:wordWrap w:val="0"/>
                    <w:autoSpaceDE w:val="0"/>
                    <w:autoSpaceDN w:val="0"/>
                    <w:jc w:val="center"/>
                    <w:textAlignment w:val="baseline"/>
                    <w:rPr>
                      <w:kern w:val="0"/>
                      <w:szCs w:val="21"/>
                      <w:u w:val="none"/>
                    </w:rPr>
                  </w:pPr>
                  <w:r>
                    <w:rPr>
                      <w:rFonts w:hint="eastAsia"/>
                      <w:kern w:val="0"/>
                      <w:szCs w:val="21"/>
                      <w:u w:val="none"/>
                    </w:rPr>
                    <w:t>新建</w:t>
                  </w:r>
                </w:p>
              </w:tc>
            </w:tr>
            <w:tr w14:paraId="0A44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88" w:type="pct"/>
                  <w:vMerge w:val="continue"/>
                  <w:vAlign w:val="center"/>
                </w:tcPr>
                <w:p w14:paraId="2BCED891">
                  <w:pPr>
                    <w:wordWrap w:val="0"/>
                    <w:autoSpaceDE w:val="0"/>
                    <w:autoSpaceDN w:val="0"/>
                    <w:jc w:val="center"/>
                    <w:textAlignment w:val="baseline"/>
                    <w:rPr>
                      <w:kern w:val="0"/>
                      <w:szCs w:val="21"/>
                      <w:u w:val="none"/>
                    </w:rPr>
                  </w:pPr>
                </w:p>
              </w:tc>
              <w:tc>
                <w:tcPr>
                  <w:tcW w:w="353" w:type="pct"/>
                  <w:vMerge w:val="continue"/>
                  <w:vAlign w:val="center"/>
                </w:tcPr>
                <w:p w14:paraId="06CB8321">
                  <w:pPr>
                    <w:wordWrap w:val="0"/>
                    <w:autoSpaceDE w:val="0"/>
                    <w:autoSpaceDN w:val="0"/>
                    <w:jc w:val="center"/>
                    <w:textAlignment w:val="baseline"/>
                    <w:rPr>
                      <w:kern w:val="0"/>
                      <w:szCs w:val="21"/>
                      <w:u w:val="none"/>
                    </w:rPr>
                  </w:pPr>
                </w:p>
              </w:tc>
              <w:tc>
                <w:tcPr>
                  <w:tcW w:w="3270" w:type="pct"/>
                  <w:gridSpan w:val="2"/>
                  <w:vAlign w:val="center"/>
                </w:tcPr>
                <w:p w14:paraId="4E74DDA1">
                  <w:pPr>
                    <w:adjustRightInd w:val="0"/>
                    <w:snapToGrid w:val="0"/>
                    <w:jc w:val="center"/>
                    <w:rPr>
                      <w:kern w:val="0"/>
                      <w:szCs w:val="21"/>
                      <w:u w:val="none"/>
                    </w:rPr>
                  </w:pPr>
                  <w:r>
                    <w:rPr>
                      <w:rFonts w:hint="eastAsia"/>
                      <w:bCs/>
                      <w:u w:val="none"/>
                    </w:rPr>
                    <w:t>1座容积约144m</w:t>
                  </w:r>
                  <w:r>
                    <w:rPr>
                      <w:rFonts w:hint="eastAsia"/>
                      <w:bCs/>
                      <w:u w:val="none"/>
                      <w:vertAlign w:val="superscript"/>
                    </w:rPr>
                    <w:t>3</w:t>
                  </w:r>
                  <w:r>
                    <w:rPr>
                      <w:rFonts w:hint="eastAsia"/>
                      <w:bCs/>
                      <w:u w:val="none"/>
                    </w:rPr>
                    <w:t>的场地雨污水收集池，场地雨污水经场地雨污水收集池沉淀处理后回用于降尘、车辆清洗</w:t>
                  </w:r>
                  <w:r>
                    <w:rPr>
                      <w:rFonts w:hint="eastAsia"/>
                      <w:kern w:val="0"/>
                      <w:szCs w:val="21"/>
                      <w:u w:val="none"/>
                    </w:rPr>
                    <w:t>。</w:t>
                  </w:r>
                </w:p>
              </w:tc>
              <w:tc>
                <w:tcPr>
                  <w:tcW w:w="547" w:type="pct"/>
                  <w:vAlign w:val="center"/>
                </w:tcPr>
                <w:p w14:paraId="538940A6">
                  <w:pPr>
                    <w:adjustRightInd w:val="0"/>
                    <w:snapToGrid w:val="0"/>
                    <w:jc w:val="center"/>
                    <w:rPr>
                      <w:kern w:val="0"/>
                      <w:szCs w:val="21"/>
                      <w:u w:val="none"/>
                    </w:rPr>
                  </w:pPr>
                  <w:r>
                    <w:rPr>
                      <w:rFonts w:hint="eastAsia"/>
                      <w:bCs/>
                      <w:szCs w:val="21"/>
                      <w:u w:val="none"/>
                    </w:rPr>
                    <w:t>9</w:t>
                  </w:r>
                </w:p>
              </w:tc>
              <w:tc>
                <w:tcPr>
                  <w:tcW w:w="540" w:type="pct"/>
                  <w:vAlign w:val="center"/>
                </w:tcPr>
                <w:p w14:paraId="443DA9F2">
                  <w:pPr>
                    <w:wordWrap w:val="0"/>
                    <w:autoSpaceDE w:val="0"/>
                    <w:autoSpaceDN w:val="0"/>
                    <w:jc w:val="center"/>
                    <w:textAlignment w:val="baseline"/>
                    <w:rPr>
                      <w:kern w:val="0"/>
                      <w:szCs w:val="21"/>
                      <w:u w:val="none"/>
                    </w:rPr>
                  </w:pPr>
                  <w:r>
                    <w:rPr>
                      <w:rFonts w:hint="eastAsia"/>
                      <w:kern w:val="0"/>
                      <w:szCs w:val="21"/>
                      <w:u w:val="none"/>
                    </w:rPr>
                    <w:t>新建</w:t>
                  </w:r>
                </w:p>
              </w:tc>
            </w:tr>
            <w:tr w14:paraId="0C5A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88" w:type="pct"/>
                  <w:vMerge w:val="continue"/>
                  <w:vAlign w:val="center"/>
                </w:tcPr>
                <w:p w14:paraId="554D9FB7">
                  <w:pPr>
                    <w:wordWrap w:val="0"/>
                    <w:autoSpaceDE w:val="0"/>
                    <w:autoSpaceDN w:val="0"/>
                    <w:jc w:val="center"/>
                    <w:textAlignment w:val="baseline"/>
                    <w:rPr>
                      <w:kern w:val="0"/>
                      <w:szCs w:val="21"/>
                      <w:u w:val="none"/>
                    </w:rPr>
                  </w:pPr>
                </w:p>
              </w:tc>
              <w:tc>
                <w:tcPr>
                  <w:tcW w:w="353" w:type="pct"/>
                  <w:vMerge w:val="continue"/>
                  <w:vAlign w:val="center"/>
                </w:tcPr>
                <w:p w14:paraId="7FE93D25">
                  <w:pPr>
                    <w:wordWrap w:val="0"/>
                    <w:autoSpaceDE w:val="0"/>
                    <w:autoSpaceDN w:val="0"/>
                    <w:jc w:val="center"/>
                    <w:textAlignment w:val="baseline"/>
                    <w:rPr>
                      <w:kern w:val="0"/>
                      <w:szCs w:val="21"/>
                      <w:u w:val="none"/>
                    </w:rPr>
                  </w:pPr>
                </w:p>
              </w:tc>
              <w:tc>
                <w:tcPr>
                  <w:tcW w:w="3270" w:type="pct"/>
                  <w:gridSpan w:val="2"/>
                  <w:vAlign w:val="center"/>
                </w:tcPr>
                <w:p w14:paraId="189705C4">
                  <w:pPr>
                    <w:adjustRightInd w:val="0"/>
                    <w:snapToGrid w:val="0"/>
                    <w:jc w:val="center"/>
                    <w:rPr>
                      <w:bCs/>
                      <w:u w:val="none"/>
                    </w:rPr>
                  </w:pPr>
                  <w:r>
                    <w:rPr>
                      <w:bCs/>
                      <w:szCs w:val="21"/>
                      <w:u w:val="none"/>
                    </w:rPr>
                    <w:t>1套处理能力为1m</w:t>
                  </w:r>
                  <w:r>
                    <w:rPr>
                      <w:bCs/>
                      <w:szCs w:val="21"/>
                      <w:u w:val="none"/>
                      <w:vertAlign w:val="superscript"/>
                    </w:rPr>
                    <w:t>3</w:t>
                  </w:r>
                  <w:r>
                    <w:rPr>
                      <w:bCs/>
                      <w:szCs w:val="21"/>
                      <w:u w:val="none"/>
                    </w:rPr>
                    <w:t>/d的一体化污水处理站处理</w:t>
                  </w:r>
                  <w:r>
                    <w:rPr>
                      <w:rFonts w:hint="eastAsia"/>
                      <w:bCs/>
                      <w:u w:val="none"/>
                    </w:rPr>
                    <w:t>，</w:t>
                  </w:r>
                  <w:r>
                    <w:rPr>
                      <w:bCs/>
                      <w:szCs w:val="21"/>
                      <w:u w:val="none"/>
                    </w:rPr>
                    <w:t>职工办公生活污水经化粪池处理后排入</w:t>
                  </w:r>
                  <w:r>
                    <w:rPr>
                      <w:rFonts w:hint="eastAsia"/>
                      <w:bCs/>
                      <w:szCs w:val="21"/>
                      <w:u w:val="none"/>
                    </w:rPr>
                    <w:t>一体化污水处理站</w:t>
                  </w:r>
                  <w:r>
                    <w:rPr>
                      <w:bCs/>
                      <w:szCs w:val="21"/>
                      <w:u w:val="none"/>
                      <w:lang w:val="zh-TW"/>
                    </w:rPr>
                    <w:t>，</w:t>
                  </w:r>
                  <w:r>
                    <w:rPr>
                      <w:rFonts w:hint="eastAsia"/>
                      <w:szCs w:val="21"/>
                      <w:u w:val="none"/>
                      <w:lang w:val="zh-TW"/>
                    </w:rPr>
                    <w:t>处理达</w:t>
                  </w:r>
                  <w:r>
                    <w:rPr>
                      <w:rFonts w:hint="eastAsia"/>
                      <w:szCs w:val="21"/>
                      <w:u w:val="none"/>
                    </w:rPr>
                    <w:t>到</w:t>
                  </w:r>
                  <w:r>
                    <w:rPr>
                      <w:rFonts w:hint="eastAsia"/>
                      <w:u w:val="none"/>
                      <w:lang w:val="zh-TW"/>
                    </w:rPr>
                    <w:t>《农田灌溉水质标准》（GB5084-2021）中蔬菜标准限值后，采用密闭运输工具清运用于周边旱地、种植基地及菜地灌溉</w:t>
                  </w:r>
                  <w:r>
                    <w:rPr>
                      <w:rFonts w:hint="eastAsia"/>
                      <w:kern w:val="0"/>
                      <w:szCs w:val="21"/>
                      <w:u w:val="none"/>
                    </w:rPr>
                    <w:t>。</w:t>
                  </w:r>
                </w:p>
              </w:tc>
              <w:tc>
                <w:tcPr>
                  <w:tcW w:w="547" w:type="pct"/>
                  <w:vAlign w:val="center"/>
                </w:tcPr>
                <w:p w14:paraId="1FD2045C">
                  <w:pPr>
                    <w:adjustRightInd w:val="0"/>
                    <w:snapToGrid w:val="0"/>
                    <w:jc w:val="center"/>
                    <w:rPr>
                      <w:bCs/>
                      <w:szCs w:val="21"/>
                      <w:u w:val="none"/>
                    </w:rPr>
                  </w:pPr>
                  <w:r>
                    <w:rPr>
                      <w:rFonts w:hint="eastAsia"/>
                      <w:bCs/>
                      <w:szCs w:val="21"/>
                      <w:u w:val="none"/>
                    </w:rPr>
                    <w:t>3</w:t>
                  </w:r>
                </w:p>
              </w:tc>
              <w:tc>
                <w:tcPr>
                  <w:tcW w:w="540" w:type="pct"/>
                  <w:vAlign w:val="center"/>
                </w:tcPr>
                <w:p w14:paraId="274B6CAB">
                  <w:pPr>
                    <w:wordWrap w:val="0"/>
                    <w:autoSpaceDE w:val="0"/>
                    <w:autoSpaceDN w:val="0"/>
                    <w:jc w:val="center"/>
                    <w:textAlignment w:val="baseline"/>
                    <w:rPr>
                      <w:kern w:val="0"/>
                      <w:szCs w:val="21"/>
                      <w:u w:val="none"/>
                    </w:rPr>
                  </w:pPr>
                  <w:r>
                    <w:rPr>
                      <w:rFonts w:hint="eastAsia"/>
                      <w:kern w:val="0"/>
                      <w:szCs w:val="21"/>
                      <w:u w:val="none"/>
                    </w:rPr>
                    <w:t>新建</w:t>
                  </w:r>
                </w:p>
              </w:tc>
            </w:tr>
            <w:tr w14:paraId="66D3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 w:type="pct"/>
                  <w:vMerge w:val="continue"/>
                  <w:vAlign w:val="center"/>
                </w:tcPr>
                <w:p w14:paraId="7D1FC3A5">
                  <w:pPr>
                    <w:wordWrap w:val="0"/>
                    <w:autoSpaceDE w:val="0"/>
                    <w:autoSpaceDN w:val="0"/>
                    <w:jc w:val="center"/>
                    <w:textAlignment w:val="baseline"/>
                    <w:rPr>
                      <w:kern w:val="0"/>
                      <w:szCs w:val="21"/>
                      <w:u w:val="none"/>
                    </w:rPr>
                  </w:pPr>
                </w:p>
              </w:tc>
              <w:tc>
                <w:tcPr>
                  <w:tcW w:w="353" w:type="pct"/>
                  <w:vMerge w:val="continue"/>
                  <w:vAlign w:val="center"/>
                </w:tcPr>
                <w:p w14:paraId="68414C5B">
                  <w:pPr>
                    <w:wordWrap w:val="0"/>
                    <w:autoSpaceDE w:val="0"/>
                    <w:autoSpaceDN w:val="0"/>
                    <w:jc w:val="center"/>
                    <w:textAlignment w:val="baseline"/>
                    <w:rPr>
                      <w:kern w:val="0"/>
                      <w:szCs w:val="21"/>
                      <w:u w:val="none"/>
                    </w:rPr>
                  </w:pPr>
                </w:p>
              </w:tc>
              <w:tc>
                <w:tcPr>
                  <w:tcW w:w="3270" w:type="pct"/>
                  <w:gridSpan w:val="2"/>
                  <w:vAlign w:val="center"/>
                </w:tcPr>
                <w:p w14:paraId="37FB5352">
                  <w:pPr>
                    <w:adjustRightInd w:val="0"/>
                    <w:snapToGrid w:val="0"/>
                    <w:jc w:val="center"/>
                    <w:rPr>
                      <w:kern w:val="0"/>
                      <w:szCs w:val="21"/>
                      <w:u w:val="none"/>
                    </w:rPr>
                  </w:pPr>
                  <w:r>
                    <w:rPr>
                      <w:rFonts w:hint="eastAsia"/>
                      <w:bCs/>
                      <w:u w:val="none"/>
                    </w:rPr>
                    <w:t>1个5m</w:t>
                  </w:r>
                  <w:r>
                    <w:rPr>
                      <w:rFonts w:hint="eastAsia"/>
                      <w:bCs/>
                      <w:u w:val="none"/>
                      <w:vertAlign w:val="superscript"/>
                    </w:rPr>
                    <w:t>3</w:t>
                  </w:r>
                  <w:r>
                    <w:rPr>
                      <w:rFonts w:hint="eastAsia"/>
                      <w:bCs/>
                      <w:u w:val="none"/>
                    </w:rPr>
                    <w:t>的化粪池</w:t>
                  </w:r>
                  <w:r>
                    <w:rPr>
                      <w:rFonts w:hint="eastAsia"/>
                      <w:kern w:val="0"/>
                      <w:szCs w:val="21"/>
                      <w:u w:val="none"/>
                    </w:rPr>
                    <w:t>。</w:t>
                  </w:r>
                </w:p>
              </w:tc>
              <w:tc>
                <w:tcPr>
                  <w:tcW w:w="547" w:type="pct"/>
                  <w:vAlign w:val="center"/>
                </w:tcPr>
                <w:p w14:paraId="723B64CC">
                  <w:pPr>
                    <w:adjustRightInd w:val="0"/>
                    <w:snapToGrid w:val="0"/>
                    <w:jc w:val="center"/>
                    <w:rPr>
                      <w:kern w:val="0"/>
                      <w:szCs w:val="21"/>
                      <w:u w:val="none"/>
                    </w:rPr>
                  </w:pPr>
                  <w:r>
                    <w:rPr>
                      <w:rFonts w:hint="eastAsia"/>
                      <w:bCs/>
                      <w:szCs w:val="21"/>
                      <w:u w:val="none"/>
                    </w:rPr>
                    <w:t>0.8</w:t>
                  </w:r>
                </w:p>
              </w:tc>
              <w:tc>
                <w:tcPr>
                  <w:tcW w:w="540" w:type="pct"/>
                  <w:vAlign w:val="center"/>
                </w:tcPr>
                <w:p w14:paraId="32AAD6DC">
                  <w:pPr>
                    <w:wordWrap w:val="0"/>
                    <w:autoSpaceDE w:val="0"/>
                    <w:autoSpaceDN w:val="0"/>
                    <w:jc w:val="center"/>
                    <w:textAlignment w:val="baseline"/>
                    <w:rPr>
                      <w:kern w:val="0"/>
                      <w:szCs w:val="21"/>
                      <w:u w:val="none"/>
                    </w:rPr>
                  </w:pPr>
                  <w:r>
                    <w:rPr>
                      <w:rFonts w:hint="eastAsia"/>
                      <w:kern w:val="0"/>
                      <w:szCs w:val="21"/>
                      <w:u w:val="none"/>
                    </w:rPr>
                    <w:t>新建</w:t>
                  </w:r>
                </w:p>
              </w:tc>
            </w:tr>
            <w:tr w14:paraId="4E9C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8" w:type="pct"/>
                  <w:vMerge w:val="continue"/>
                  <w:vAlign w:val="center"/>
                </w:tcPr>
                <w:p w14:paraId="637CE902">
                  <w:pPr>
                    <w:wordWrap w:val="0"/>
                    <w:autoSpaceDE w:val="0"/>
                    <w:autoSpaceDN w:val="0"/>
                    <w:jc w:val="center"/>
                    <w:textAlignment w:val="baseline"/>
                    <w:rPr>
                      <w:kern w:val="0"/>
                      <w:szCs w:val="21"/>
                      <w:u w:val="none"/>
                    </w:rPr>
                  </w:pPr>
                </w:p>
              </w:tc>
              <w:tc>
                <w:tcPr>
                  <w:tcW w:w="353" w:type="pct"/>
                  <w:vMerge w:val="continue"/>
                  <w:vAlign w:val="center"/>
                </w:tcPr>
                <w:p w14:paraId="4BEBAFF7">
                  <w:pPr>
                    <w:wordWrap w:val="0"/>
                    <w:autoSpaceDE w:val="0"/>
                    <w:autoSpaceDN w:val="0"/>
                    <w:jc w:val="center"/>
                    <w:textAlignment w:val="baseline"/>
                    <w:rPr>
                      <w:kern w:val="0"/>
                      <w:szCs w:val="21"/>
                      <w:u w:val="none"/>
                    </w:rPr>
                  </w:pPr>
                </w:p>
              </w:tc>
              <w:tc>
                <w:tcPr>
                  <w:tcW w:w="3270" w:type="pct"/>
                  <w:gridSpan w:val="2"/>
                  <w:shd w:val="clear" w:color="auto" w:fill="auto"/>
                  <w:vAlign w:val="center"/>
                </w:tcPr>
                <w:p w14:paraId="5855AEBA">
                  <w:pPr>
                    <w:adjustRightInd w:val="0"/>
                    <w:snapToGrid w:val="0"/>
                    <w:jc w:val="center"/>
                    <w:rPr>
                      <w:kern w:val="0"/>
                      <w:szCs w:val="21"/>
                      <w:u w:val="none"/>
                    </w:rPr>
                  </w:pPr>
                  <w:r>
                    <w:rPr>
                      <w:rFonts w:hint="eastAsia"/>
                      <w:bCs/>
                      <w:u w:val="none"/>
                    </w:rPr>
                    <w:t>1个1.5m</w:t>
                  </w:r>
                  <w:r>
                    <w:rPr>
                      <w:rFonts w:hint="eastAsia"/>
                      <w:bCs/>
                      <w:u w:val="none"/>
                      <w:vertAlign w:val="superscript"/>
                    </w:rPr>
                    <w:t>3</w:t>
                  </w:r>
                  <w:r>
                    <w:rPr>
                      <w:rFonts w:hint="eastAsia"/>
                      <w:bCs/>
                      <w:u w:val="none"/>
                    </w:rPr>
                    <w:t>的清水池</w:t>
                  </w:r>
                  <w:r>
                    <w:rPr>
                      <w:rFonts w:hint="eastAsia"/>
                      <w:kern w:val="0"/>
                      <w:szCs w:val="21"/>
                      <w:u w:val="none"/>
                    </w:rPr>
                    <w:t>。</w:t>
                  </w:r>
                </w:p>
              </w:tc>
              <w:tc>
                <w:tcPr>
                  <w:tcW w:w="547" w:type="pct"/>
                  <w:shd w:val="clear" w:color="auto" w:fill="auto"/>
                  <w:vAlign w:val="center"/>
                </w:tcPr>
                <w:p w14:paraId="2BDDBB9F">
                  <w:pPr>
                    <w:adjustRightInd w:val="0"/>
                    <w:snapToGrid w:val="0"/>
                    <w:jc w:val="center"/>
                    <w:rPr>
                      <w:kern w:val="0"/>
                      <w:szCs w:val="21"/>
                      <w:u w:val="none"/>
                    </w:rPr>
                  </w:pPr>
                  <w:r>
                    <w:rPr>
                      <w:rFonts w:hint="eastAsia"/>
                      <w:bCs/>
                      <w:szCs w:val="21"/>
                      <w:u w:val="none"/>
                    </w:rPr>
                    <w:t>0.2</w:t>
                  </w:r>
                </w:p>
              </w:tc>
              <w:tc>
                <w:tcPr>
                  <w:tcW w:w="540" w:type="pct"/>
                  <w:shd w:val="clear" w:color="auto" w:fill="auto"/>
                  <w:vAlign w:val="center"/>
                </w:tcPr>
                <w:p w14:paraId="78025C1E">
                  <w:pPr>
                    <w:wordWrap w:val="0"/>
                    <w:autoSpaceDE w:val="0"/>
                    <w:autoSpaceDN w:val="0"/>
                    <w:jc w:val="center"/>
                    <w:textAlignment w:val="baseline"/>
                    <w:rPr>
                      <w:kern w:val="0"/>
                      <w:szCs w:val="21"/>
                      <w:u w:val="none"/>
                    </w:rPr>
                  </w:pPr>
                  <w:r>
                    <w:rPr>
                      <w:rFonts w:hint="eastAsia"/>
                      <w:kern w:val="0"/>
                      <w:szCs w:val="21"/>
                      <w:u w:val="none"/>
                    </w:rPr>
                    <w:t>新建</w:t>
                  </w:r>
                </w:p>
              </w:tc>
            </w:tr>
            <w:tr w14:paraId="32DF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88" w:type="pct"/>
                  <w:vMerge w:val="restart"/>
                  <w:vAlign w:val="center"/>
                </w:tcPr>
                <w:p w14:paraId="28D37425">
                  <w:pPr>
                    <w:wordWrap w:val="0"/>
                    <w:autoSpaceDE w:val="0"/>
                    <w:autoSpaceDN w:val="0"/>
                    <w:jc w:val="center"/>
                    <w:textAlignment w:val="baseline"/>
                    <w:rPr>
                      <w:kern w:val="0"/>
                      <w:szCs w:val="21"/>
                      <w:u w:val="none"/>
                    </w:rPr>
                  </w:pPr>
                  <w:r>
                    <w:rPr>
                      <w:rFonts w:hint="eastAsia"/>
                      <w:kern w:val="0"/>
                      <w:szCs w:val="21"/>
                      <w:u w:val="none"/>
                    </w:rPr>
                    <w:t>7</w:t>
                  </w:r>
                </w:p>
              </w:tc>
              <w:tc>
                <w:tcPr>
                  <w:tcW w:w="353" w:type="pct"/>
                  <w:vMerge w:val="restart"/>
                  <w:vAlign w:val="center"/>
                </w:tcPr>
                <w:p w14:paraId="7122E0AD">
                  <w:pPr>
                    <w:wordWrap w:val="0"/>
                    <w:autoSpaceDE w:val="0"/>
                    <w:autoSpaceDN w:val="0"/>
                    <w:jc w:val="center"/>
                    <w:textAlignment w:val="baseline"/>
                    <w:rPr>
                      <w:kern w:val="0"/>
                      <w:szCs w:val="21"/>
                      <w:u w:val="none"/>
                    </w:rPr>
                  </w:pPr>
                  <w:r>
                    <w:rPr>
                      <w:kern w:val="0"/>
                      <w:szCs w:val="21"/>
                      <w:u w:val="none"/>
                    </w:rPr>
                    <w:t>废气</w:t>
                  </w:r>
                </w:p>
              </w:tc>
              <w:tc>
                <w:tcPr>
                  <w:tcW w:w="828" w:type="pct"/>
                  <w:vAlign w:val="center"/>
                </w:tcPr>
                <w:p w14:paraId="682DCBD8">
                  <w:pPr>
                    <w:adjustRightInd w:val="0"/>
                    <w:snapToGrid w:val="0"/>
                    <w:jc w:val="center"/>
                    <w:rPr>
                      <w:kern w:val="0"/>
                      <w:szCs w:val="21"/>
                      <w:u w:val="none"/>
                    </w:rPr>
                  </w:pPr>
                  <w:r>
                    <w:rPr>
                      <w:rFonts w:hint="eastAsia"/>
                      <w:bCs/>
                      <w:u w:val="none"/>
                    </w:rPr>
                    <w:t>卸料粉尘</w:t>
                  </w:r>
                </w:p>
              </w:tc>
              <w:tc>
                <w:tcPr>
                  <w:tcW w:w="2441" w:type="pct"/>
                  <w:vAlign w:val="center"/>
                </w:tcPr>
                <w:p w14:paraId="4A974FC8">
                  <w:pPr>
                    <w:adjustRightInd w:val="0"/>
                    <w:snapToGrid w:val="0"/>
                    <w:jc w:val="center"/>
                    <w:rPr>
                      <w:kern w:val="0"/>
                      <w:szCs w:val="21"/>
                      <w:u w:val="none"/>
                    </w:rPr>
                  </w:pPr>
                  <w:r>
                    <w:rPr>
                      <w:rFonts w:hint="eastAsia"/>
                      <w:bCs/>
                      <w:u w:val="none"/>
                    </w:rPr>
                    <w:t>1</w:t>
                  </w:r>
                  <w:r>
                    <w:rPr>
                      <w:bCs/>
                      <w:u w:val="none"/>
                    </w:rPr>
                    <w:t>座全封闭钢结构</w:t>
                  </w:r>
                  <w:r>
                    <w:rPr>
                      <w:rFonts w:hint="eastAsia"/>
                      <w:bCs/>
                      <w:u w:val="none"/>
                    </w:rPr>
                    <w:t>仓储棚</w:t>
                  </w:r>
                  <w:r>
                    <w:rPr>
                      <w:bCs/>
                      <w:u w:val="none"/>
                    </w:rPr>
                    <w:t>（长</w:t>
                  </w:r>
                  <w:r>
                    <w:rPr>
                      <w:rFonts w:hint="eastAsia"/>
                      <w:bCs/>
                      <w:u w:val="none"/>
                    </w:rPr>
                    <w:t>130</w:t>
                  </w:r>
                  <w:r>
                    <w:rPr>
                      <w:bCs/>
                      <w:u w:val="none"/>
                    </w:rPr>
                    <w:t>m</w:t>
                  </w:r>
                  <w:r>
                    <w:rPr>
                      <w:rFonts w:hint="eastAsia"/>
                      <w:bCs/>
                      <w:u w:val="none"/>
                    </w:rPr>
                    <w:t>、</w:t>
                  </w:r>
                  <w:r>
                    <w:rPr>
                      <w:bCs/>
                      <w:u w:val="none"/>
                    </w:rPr>
                    <w:t>宽</w:t>
                  </w:r>
                  <w:r>
                    <w:rPr>
                      <w:rFonts w:hint="eastAsia"/>
                      <w:bCs/>
                      <w:u w:val="none"/>
                    </w:rPr>
                    <w:t>50</w:t>
                  </w:r>
                  <w:r>
                    <w:rPr>
                      <w:bCs/>
                      <w:u w:val="none"/>
                    </w:rPr>
                    <w:t>m</w:t>
                  </w:r>
                  <w:r>
                    <w:rPr>
                      <w:rFonts w:hint="eastAsia"/>
                      <w:bCs/>
                      <w:u w:val="none"/>
                    </w:rPr>
                    <w:t>、</w:t>
                  </w:r>
                  <w:r>
                    <w:rPr>
                      <w:bCs/>
                      <w:u w:val="none"/>
                    </w:rPr>
                    <w:t>高</w:t>
                  </w:r>
                  <w:r>
                    <w:rPr>
                      <w:rFonts w:hint="eastAsia"/>
                      <w:bCs/>
                      <w:u w:val="none"/>
                    </w:rPr>
                    <w:t>12</w:t>
                  </w:r>
                  <w:r>
                    <w:rPr>
                      <w:bCs/>
                      <w:u w:val="none"/>
                    </w:rPr>
                    <w:t>m），</w:t>
                  </w:r>
                  <w:r>
                    <w:rPr>
                      <w:rFonts w:hint="eastAsia"/>
                      <w:bCs/>
                      <w:u w:val="none"/>
                    </w:rPr>
                    <w:t>占地面积6500m</w:t>
                  </w:r>
                  <w:r>
                    <w:rPr>
                      <w:rFonts w:hint="eastAsia"/>
                      <w:bCs/>
                      <w:u w:val="none"/>
                      <w:vertAlign w:val="superscript"/>
                    </w:rPr>
                    <w:t>2</w:t>
                  </w:r>
                  <w:r>
                    <w:rPr>
                      <w:rFonts w:hint="eastAsia"/>
                      <w:bCs/>
                      <w:u w:val="none"/>
                    </w:rPr>
                    <w:t>，并配套建设覆盖全场的喷雾洒水抑尘系统和机械通风系统</w:t>
                  </w:r>
                  <w:r>
                    <w:rPr>
                      <w:rFonts w:hint="eastAsia"/>
                      <w:kern w:val="0"/>
                      <w:szCs w:val="21"/>
                      <w:u w:val="none"/>
                    </w:rPr>
                    <w:t>。</w:t>
                  </w:r>
                </w:p>
              </w:tc>
              <w:tc>
                <w:tcPr>
                  <w:tcW w:w="547" w:type="pct"/>
                  <w:vMerge w:val="restart"/>
                  <w:vAlign w:val="center"/>
                </w:tcPr>
                <w:p w14:paraId="45F36C20">
                  <w:pPr>
                    <w:wordWrap w:val="0"/>
                    <w:autoSpaceDE w:val="0"/>
                    <w:autoSpaceDN w:val="0"/>
                    <w:jc w:val="center"/>
                    <w:textAlignment w:val="baseline"/>
                    <w:rPr>
                      <w:kern w:val="0"/>
                      <w:szCs w:val="21"/>
                      <w:u w:val="none"/>
                    </w:rPr>
                  </w:pPr>
                  <w:r>
                    <w:rPr>
                      <w:rFonts w:hint="eastAsia"/>
                      <w:kern w:val="0"/>
                      <w:szCs w:val="21"/>
                      <w:u w:val="none"/>
                    </w:rPr>
                    <w:t>870</w:t>
                  </w:r>
                </w:p>
              </w:tc>
              <w:tc>
                <w:tcPr>
                  <w:tcW w:w="540" w:type="pct"/>
                  <w:vMerge w:val="restart"/>
                  <w:vAlign w:val="center"/>
                </w:tcPr>
                <w:p w14:paraId="094A6519">
                  <w:pPr>
                    <w:wordWrap w:val="0"/>
                    <w:jc w:val="center"/>
                    <w:rPr>
                      <w:kern w:val="0"/>
                      <w:szCs w:val="21"/>
                      <w:u w:val="none"/>
                    </w:rPr>
                  </w:pPr>
                  <w:r>
                    <w:rPr>
                      <w:rFonts w:hint="eastAsia"/>
                      <w:kern w:val="0"/>
                      <w:szCs w:val="21"/>
                      <w:u w:val="none"/>
                    </w:rPr>
                    <w:t>新建</w:t>
                  </w:r>
                </w:p>
              </w:tc>
            </w:tr>
            <w:tr w14:paraId="684F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Merge w:val="continue"/>
                  <w:vAlign w:val="center"/>
                </w:tcPr>
                <w:p w14:paraId="09F1B11E">
                  <w:pPr>
                    <w:wordWrap w:val="0"/>
                    <w:autoSpaceDE w:val="0"/>
                    <w:autoSpaceDN w:val="0"/>
                    <w:jc w:val="center"/>
                    <w:textAlignment w:val="baseline"/>
                    <w:rPr>
                      <w:kern w:val="0"/>
                      <w:szCs w:val="21"/>
                      <w:u w:val="none"/>
                    </w:rPr>
                  </w:pPr>
                </w:p>
              </w:tc>
              <w:tc>
                <w:tcPr>
                  <w:tcW w:w="353" w:type="pct"/>
                  <w:vMerge w:val="continue"/>
                  <w:vAlign w:val="center"/>
                </w:tcPr>
                <w:p w14:paraId="0C80A04F">
                  <w:pPr>
                    <w:wordWrap w:val="0"/>
                    <w:autoSpaceDE w:val="0"/>
                    <w:autoSpaceDN w:val="0"/>
                    <w:jc w:val="center"/>
                    <w:textAlignment w:val="baseline"/>
                    <w:rPr>
                      <w:kern w:val="0"/>
                      <w:szCs w:val="21"/>
                      <w:u w:val="none"/>
                    </w:rPr>
                  </w:pPr>
                </w:p>
              </w:tc>
              <w:tc>
                <w:tcPr>
                  <w:tcW w:w="828" w:type="pct"/>
                  <w:vAlign w:val="center"/>
                </w:tcPr>
                <w:p w14:paraId="5B1E424B">
                  <w:pPr>
                    <w:adjustRightInd w:val="0"/>
                    <w:snapToGrid w:val="0"/>
                    <w:jc w:val="center"/>
                    <w:rPr>
                      <w:kern w:val="0"/>
                      <w:szCs w:val="21"/>
                      <w:u w:val="none"/>
                    </w:rPr>
                  </w:pPr>
                  <w:r>
                    <w:rPr>
                      <w:rFonts w:hint="eastAsia"/>
                      <w:bCs/>
                      <w:u w:val="none"/>
                    </w:rPr>
                    <w:t>磷矿堆场扬尘</w:t>
                  </w:r>
                </w:p>
              </w:tc>
              <w:tc>
                <w:tcPr>
                  <w:tcW w:w="2441" w:type="pct"/>
                  <w:vAlign w:val="center"/>
                </w:tcPr>
                <w:p w14:paraId="4057D5DF">
                  <w:pPr>
                    <w:adjustRightInd w:val="0"/>
                    <w:snapToGrid w:val="0"/>
                    <w:jc w:val="center"/>
                    <w:rPr>
                      <w:kern w:val="0"/>
                      <w:szCs w:val="21"/>
                      <w:u w:val="none"/>
                    </w:rPr>
                  </w:pPr>
                  <w:r>
                    <w:rPr>
                      <w:rFonts w:hint="eastAsia"/>
                      <w:bCs/>
                      <w:u w:val="none"/>
                    </w:rPr>
                    <w:t>磷矿堆存于封闭彩钢瓦大棚内，大棚顶部配套建设覆盖全场的喷雾洒水抑尘系统，定时洒水降尘</w:t>
                  </w:r>
                  <w:r>
                    <w:rPr>
                      <w:rFonts w:hint="eastAsia"/>
                      <w:kern w:val="0"/>
                      <w:szCs w:val="21"/>
                      <w:u w:val="none"/>
                    </w:rPr>
                    <w:t>。</w:t>
                  </w:r>
                </w:p>
              </w:tc>
              <w:tc>
                <w:tcPr>
                  <w:tcW w:w="547" w:type="pct"/>
                  <w:vMerge w:val="continue"/>
                  <w:vAlign w:val="center"/>
                </w:tcPr>
                <w:p w14:paraId="0D9CFC0E">
                  <w:pPr>
                    <w:wordWrap w:val="0"/>
                    <w:autoSpaceDE w:val="0"/>
                    <w:autoSpaceDN w:val="0"/>
                    <w:jc w:val="center"/>
                    <w:textAlignment w:val="baseline"/>
                    <w:rPr>
                      <w:kern w:val="0"/>
                      <w:szCs w:val="21"/>
                      <w:u w:val="none"/>
                    </w:rPr>
                  </w:pPr>
                </w:p>
              </w:tc>
              <w:tc>
                <w:tcPr>
                  <w:tcW w:w="540" w:type="pct"/>
                  <w:vMerge w:val="continue"/>
                  <w:vAlign w:val="center"/>
                </w:tcPr>
                <w:p w14:paraId="3F87DE1C">
                  <w:pPr>
                    <w:wordWrap w:val="0"/>
                    <w:jc w:val="center"/>
                    <w:rPr>
                      <w:kern w:val="0"/>
                      <w:szCs w:val="21"/>
                      <w:u w:val="none"/>
                    </w:rPr>
                  </w:pPr>
                </w:p>
              </w:tc>
            </w:tr>
            <w:tr w14:paraId="36BC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88" w:type="pct"/>
                  <w:vMerge w:val="continue"/>
                  <w:vAlign w:val="center"/>
                </w:tcPr>
                <w:p w14:paraId="7B55AC70">
                  <w:pPr>
                    <w:wordWrap w:val="0"/>
                    <w:autoSpaceDE w:val="0"/>
                    <w:autoSpaceDN w:val="0"/>
                    <w:jc w:val="center"/>
                    <w:textAlignment w:val="baseline"/>
                    <w:rPr>
                      <w:kern w:val="0"/>
                      <w:szCs w:val="21"/>
                      <w:u w:val="none"/>
                    </w:rPr>
                  </w:pPr>
                </w:p>
              </w:tc>
              <w:tc>
                <w:tcPr>
                  <w:tcW w:w="353" w:type="pct"/>
                  <w:vMerge w:val="continue"/>
                  <w:vAlign w:val="center"/>
                </w:tcPr>
                <w:p w14:paraId="4C8DA0AB">
                  <w:pPr>
                    <w:wordWrap w:val="0"/>
                    <w:autoSpaceDE w:val="0"/>
                    <w:autoSpaceDN w:val="0"/>
                    <w:jc w:val="center"/>
                    <w:textAlignment w:val="baseline"/>
                    <w:rPr>
                      <w:kern w:val="0"/>
                      <w:szCs w:val="21"/>
                      <w:u w:val="none"/>
                    </w:rPr>
                  </w:pPr>
                </w:p>
              </w:tc>
              <w:tc>
                <w:tcPr>
                  <w:tcW w:w="828" w:type="pct"/>
                  <w:vAlign w:val="center"/>
                </w:tcPr>
                <w:p w14:paraId="378EDCFE">
                  <w:pPr>
                    <w:adjustRightInd w:val="0"/>
                    <w:snapToGrid w:val="0"/>
                    <w:jc w:val="center"/>
                    <w:rPr>
                      <w:kern w:val="0"/>
                      <w:szCs w:val="21"/>
                      <w:u w:val="none"/>
                    </w:rPr>
                  </w:pPr>
                  <w:r>
                    <w:rPr>
                      <w:rFonts w:hint="eastAsia"/>
                      <w:bCs/>
                      <w:u w:val="none"/>
                    </w:rPr>
                    <w:t>运输车辆扬尘</w:t>
                  </w:r>
                </w:p>
              </w:tc>
              <w:tc>
                <w:tcPr>
                  <w:tcW w:w="2441" w:type="pct"/>
                  <w:vAlign w:val="center"/>
                </w:tcPr>
                <w:p w14:paraId="39A22C50">
                  <w:pPr>
                    <w:adjustRightInd w:val="0"/>
                    <w:snapToGrid w:val="0"/>
                    <w:jc w:val="center"/>
                    <w:rPr>
                      <w:kern w:val="0"/>
                      <w:szCs w:val="21"/>
                      <w:u w:val="none"/>
                    </w:rPr>
                  </w:pPr>
                  <w:r>
                    <w:rPr>
                      <w:rFonts w:hint="eastAsia"/>
                      <w:bCs/>
                      <w:u w:val="none"/>
                    </w:rPr>
                    <w:t>设置1个洗车平台，对运输车辆进行清洗，防止车辆带泥上路，车辆运输磷矿采取密闭运输；</w:t>
                  </w:r>
                  <w:r>
                    <w:rPr>
                      <w:rFonts w:hint="eastAsia"/>
                      <w:bCs/>
                      <w:spacing w:val="-10"/>
                      <w:szCs w:val="21"/>
                      <w:u w:val="none"/>
                    </w:rPr>
                    <w:t>对厂区内地面进行定期洒水、清扫</w:t>
                  </w:r>
                  <w:r>
                    <w:rPr>
                      <w:rFonts w:hint="eastAsia"/>
                      <w:kern w:val="0"/>
                      <w:szCs w:val="21"/>
                      <w:u w:val="none"/>
                    </w:rPr>
                    <w:t>。</w:t>
                  </w:r>
                </w:p>
              </w:tc>
              <w:tc>
                <w:tcPr>
                  <w:tcW w:w="547" w:type="pct"/>
                  <w:vAlign w:val="center"/>
                </w:tcPr>
                <w:p w14:paraId="4A8952FB">
                  <w:pPr>
                    <w:wordWrap w:val="0"/>
                    <w:autoSpaceDE w:val="0"/>
                    <w:autoSpaceDN w:val="0"/>
                    <w:jc w:val="center"/>
                    <w:textAlignment w:val="baseline"/>
                    <w:rPr>
                      <w:kern w:val="0"/>
                      <w:szCs w:val="21"/>
                      <w:u w:val="none"/>
                    </w:rPr>
                  </w:pPr>
                  <w:r>
                    <w:rPr>
                      <w:rFonts w:hint="eastAsia"/>
                      <w:kern w:val="0"/>
                      <w:szCs w:val="21"/>
                      <w:u w:val="none"/>
                    </w:rPr>
                    <w:t>5</w:t>
                  </w:r>
                </w:p>
              </w:tc>
              <w:tc>
                <w:tcPr>
                  <w:tcW w:w="540" w:type="pct"/>
                  <w:vAlign w:val="center"/>
                </w:tcPr>
                <w:p w14:paraId="7598ADF0">
                  <w:pPr>
                    <w:wordWrap w:val="0"/>
                    <w:jc w:val="center"/>
                    <w:rPr>
                      <w:kern w:val="0"/>
                      <w:szCs w:val="21"/>
                      <w:u w:val="none"/>
                    </w:rPr>
                  </w:pPr>
                  <w:r>
                    <w:rPr>
                      <w:rFonts w:hint="eastAsia"/>
                      <w:kern w:val="0"/>
                      <w:szCs w:val="21"/>
                      <w:u w:val="none"/>
                    </w:rPr>
                    <w:t>新建</w:t>
                  </w:r>
                </w:p>
              </w:tc>
            </w:tr>
            <w:tr w14:paraId="1E88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60E2550D">
                  <w:pPr>
                    <w:wordWrap w:val="0"/>
                    <w:autoSpaceDE w:val="0"/>
                    <w:autoSpaceDN w:val="0"/>
                    <w:jc w:val="center"/>
                    <w:textAlignment w:val="baseline"/>
                    <w:rPr>
                      <w:kern w:val="0"/>
                      <w:szCs w:val="21"/>
                      <w:u w:val="none"/>
                    </w:rPr>
                  </w:pPr>
                  <w:r>
                    <w:rPr>
                      <w:rFonts w:hint="eastAsia"/>
                      <w:kern w:val="0"/>
                      <w:szCs w:val="21"/>
                      <w:u w:val="none"/>
                    </w:rPr>
                    <w:t>8</w:t>
                  </w:r>
                </w:p>
              </w:tc>
              <w:tc>
                <w:tcPr>
                  <w:tcW w:w="353" w:type="pct"/>
                  <w:vAlign w:val="center"/>
                </w:tcPr>
                <w:p w14:paraId="745E859E">
                  <w:pPr>
                    <w:wordWrap w:val="0"/>
                    <w:autoSpaceDE w:val="0"/>
                    <w:autoSpaceDN w:val="0"/>
                    <w:jc w:val="center"/>
                    <w:textAlignment w:val="baseline"/>
                    <w:rPr>
                      <w:kern w:val="0"/>
                      <w:szCs w:val="21"/>
                      <w:u w:val="none"/>
                    </w:rPr>
                  </w:pPr>
                  <w:r>
                    <w:rPr>
                      <w:kern w:val="0"/>
                      <w:szCs w:val="21"/>
                      <w:u w:val="none"/>
                    </w:rPr>
                    <w:t>噪声</w:t>
                  </w:r>
                </w:p>
              </w:tc>
              <w:tc>
                <w:tcPr>
                  <w:tcW w:w="3270" w:type="pct"/>
                  <w:gridSpan w:val="2"/>
                  <w:vAlign w:val="center"/>
                </w:tcPr>
                <w:p w14:paraId="2E9D6CB7">
                  <w:pPr>
                    <w:wordWrap w:val="0"/>
                    <w:autoSpaceDE w:val="0"/>
                    <w:autoSpaceDN w:val="0"/>
                    <w:jc w:val="center"/>
                    <w:textAlignment w:val="baseline"/>
                    <w:rPr>
                      <w:kern w:val="0"/>
                      <w:szCs w:val="21"/>
                      <w:u w:val="none"/>
                    </w:rPr>
                  </w:pPr>
                  <w:r>
                    <w:rPr>
                      <w:kern w:val="0"/>
                      <w:szCs w:val="21"/>
                      <w:u w:val="none"/>
                    </w:rPr>
                    <w:t>生产设备置于厂房内，及时对设备进行检修，确保设备处于良好的运行状态。</w:t>
                  </w:r>
                </w:p>
              </w:tc>
              <w:tc>
                <w:tcPr>
                  <w:tcW w:w="547" w:type="pct"/>
                  <w:vAlign w:val="center"/>
                </w:tcPr>
                <w:p w14:paraId="2CB41D96">
                  <w:pPr>
                    <w:wordWrap w:val="0"/>
                    <w:autoSpaceDE w:val="0"/>
                    <w:autoSpaceDN w:val="0"/>
                    <w:jc w:val="center"/>
                    <w:textAlignment w:val="baseline"/>
                    <w:rPr>
                      <w:kern w:val="0"/>
                      <w:szCs w:val="21"/>
                      <w:u w:val="none"/>
                    </w:rPr>
                  </w:pPr>
                  <w:r>
                    <w:rPr>
                      <w:rFonts w:hint="eastAsia"/>
                      <w:kern w:val="0"/>
                      <w:szCs w:val="21"/>
                      <w:u w:val="none"/>
                    </w:rPr>
                    <w:t>2</w:t>
                  </w:r>
                </w:p>
              </w:tc>
              <w:tc>
                <w:tcPr>
                  <w:tcW w:w="540" w:type="pct"/>
                  <w:vAlign w:val="center"/>
                </w:tcPr>
                <w:p w14:paraId="7A9DC9D4">
                  <w:pPr>
                    <w:wordWrap w:val="0"/>
                    <w:autoSpaceDE w:val="0"/>
                    <w:autoSpaceDN w:val="0"/>
                    <w:jc w:val="center"/>
                    <w:textAlignment w:val="baseline"/>
                    <w:rPr>
                      <w:kern w:val="0"/>
                      <w:szCs w:val="21"/>
                      <w:u w:val="none"/>
                    </w:rPr>
                  </w:pPr>
                  <w:r>
                    <w:rPr>
                      <w:kern w:val="0"/>
                      <w:szCs w:val="21"/>
                      <w:u w:val="none"/>
                    </w:rPr>
                    <w:t>新建</w:t>
                  </w:r>
                </w:p>
              </w:tc>
            </w:tr>
            <w:tr w14:paraId="429A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8" w:type="pct"/>
                  <w:vMerge w:val="restart"/>
                  <w:vAlign w:val="center"/>
                </w:tcPr>
                <w:p w14:paraId="65F9385A">
                  <w:pPr>
                    <w:wordWrap w:val="0"/>
                    <w:autoSpaceDE w:val="0"/>
                    <w:autoSpaceDN w:val="0"/>
                    <w:jc w:val="center"/>
                    <w:textAlignment w:val="baseline"/>
                    <w:rPr>
                      <w:kern w:val="0"/>
                      <w:szCs w:val="21"/>
                      <w:u w:val="none"/>
                    </w:rPr>
                  </w:pPr>
                  <w:r>
                    <w:rPr>
                      <w:rFonts w:hint="eastAsia"/>
                      <w:kern w:val="0"/>
                      <w:szCs w:val="21"/>
                      <w:u w:val="none"/>
                    </w:rPr>
                    <w:t>9</w:t>
                  </w:r>
                </w:p>
              </w:tc>
              <w:tc>
                <w:tcPr>
                  <w:tcW w:w="353" w:type="pct"/>
                  <w:vMerge w:val="restart"/>
                  <w:vAlign w:val="center"/>
                </w:tcPr>
                <w:p w14:paraId="2CB89268">
                  <w:pPr>
                    <w:wordWrap w:val="0"/>
                    <w:autoSpaceDE w:val="0"/>
                    <w:autoSpaceDN w:val="0"/>
                    <w:jc w:val="center"/>
                    <w:textAlignment w:val="baseline"/>
                    <w:rPr>
                      <w:kern w:val="0"/>
                      <w:szCs w:val="21"/>
                      <w:u w:val="none"/>
                    </w:rPr>
                  </w:pPr>
                  <w:r>
                    <w:rPr>
                      <w:rFonts w:hint="eastAsia"/>
                      <w:kern w:val="0"/>
                      <w:szCs w:val="21"/>
                      <w:u w:val="none"/>
                    </w:rPr>
                    <w:t>固体废物</w:t>
                  </w:r>
                </w:p>
              </w:tc>
              <w:tc>
                <w:tcPr>
                  <w:tcW w:w="828" w:type="pct"/>
                  <w:vAlign w:val="center"/>
                </w:tcPr>
                <w:p w14:paraId="41E849C8">
                  <w:pPr>
                    <w:wordWrap w:val="0"/>
                    <w:autoSpaceDE w:val="0"/>
                    <w:autoSpaceDN w:val="0"/>
                    <w:jc w:val="center"/>
                    <w:textAlignment w:val="baseline"/>
                    <w:rPr>
                      <w:kern w:val="0"/>
                      <w:szCs w:val="21"/>
                      <w:u w:val="none"/>
                    </w:rPr>
                  </w:pPr>
                  <w:r>
                    <w:rPr>
                      <w:rFonts w:hint="eastAsia"/>
                      <w:kern w:val="0"/>
                      <w:szCs w:val="21"/>
                      <w:u w:val="none"/>
                    </w:rPr>
                    <w:t>生活垃圾</w:t>
                  </w:r>
                </w:p>
              </w:tc>
              <w:tc>
                <w:tcPr>
                  <w:tcW w:w="2441" w:type="pct"/>
                  <w:vAlign w:val="center"/>
                </w:tcPr>
                <w:p w14:paraId="19367DE8">
                  <w:pPr>
                    <w:wordWrap w:val="0"/>
                    <w:autoSpaceDE w:val="0"/>
                    <w:autoSpaceDN w:val="0"/>
                    <w:jc w:val="center"/>
                    <w:textAlignment w:val="baseline"/>
                    <w:rPr>
                      <w:kern w:val="0"/>
                      <w:szCs w:val="21"/>
                      <w:u w:val="none"/>
                    </w:rPr>
                  </w:pPr>
                  <w:r>
                    <w:rPr>
                      <w:rFonts w:hint="eastAsia"/>
                      <w:kern w:val="0"/>
                      <w:szCs w:val="21"/>
                      <w:u w:val="none"/>
                    </w:rPr>
                    <w:t>设置1个带盖垃圾桶，生活垃圾经收集后定期交由工业园区环卫部门清运处置。</w:t>
                  </w:r>
                </w:p>
              </w:tc>
              <w:tc>
                <w:tcPr>
                  <w:tcW w:w="547" w:type="pct"/>
                  <w:vAlign w:val="center"/>
                </w:tcPr>
                <w:p w14:paraId="3B4EF7F9">
                  <w:pPr>
                    <w:wordWrap w:val="0"/>
                    <w:autoSpaceDE w:val="0"/>
                    <w:autoSpaceDN w:val="0"/>
                    <w:jc w:val="center"/>
                    <w:textAlignment w:val="baseline"/>
                    <w:rPr>
                      <w:kern w:val="0"/>
                      <w:szCs w:val="21"/>
                      <w:u w:val="none"/>
                    </w:rPr>
                  </w:pPr>
                  <w:r>
                    <w:rPr>
                      <w:rFonts w:hint="eastAsia"/>
                      <w:kern w:val="0"/>
                      <w:szCs w:val="21"/>
                      <w:u w:val="none"/>
                    </w:rPr>
                    <w:t>0.1</w:t>
                  </w:r>
                </w:p>
              </w:tc>
              <w:tc>
                <w:tcPr>
                  <w:tcW w:w="540" w:type="pct"/>
                  <w:vAlign w:val="center"/>
                </w:tcPr>
                <w:p w14:paraId="03B61A54">
                  <w:pPr>
                    <w:wordWrap w:val="0"/>
                    <w:autoSpaceDE w:val="0"/>
                    <w:autoSpaceDN w:val="0"/>
                    <w:jc w:val="center"/>
                    <w:textAlignment w:val="baseline"/>
                    <w:rPr>
                      <w:kern w:val="0"/>
                      <w:szCs w:val="21"/>
                      <w:u w:val="none"/>
                    </w:rPr>
                  </w:pPr>
                  <w:r>
                    <w:rPr>
                      <w:rFonts w:hint="eastAsia"/>
                      <w:kern w:val="0"/>
                      <w:szCs w:val="21"/>
                      <w:u w:val="none"/>
                    </w:rPr>
                    <w:t>新建</w:t>
                  </w:r>
                </w:p>
              </w:tc>
            </w:tr>
            <w:tr w14:paraId="221B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8" w:type="pct"/>
                  <w:vMerge w:val="continue"/>
                  <w:vAlign w:val="center"/>
                </w:tcPr>
                <w:p w14:paraId="48CAD9BC">
                  <w:pPr>
                    <w:wordWrap w:val="0"/>
                    <w:autoSpaceDE w:val="0"/>
                    <w:autoSpaceDN w:val="0"/>
                    <w:jc w:val="center"/>
                    <w:textAlignment w:val="baseline"/>
                    <w:rPr>
                      <w:kern w:val="0"/>
                      <w:szCs w:val="21"/>
                      <w:u w:val="none"/>
                    </w:rPr>
                  </w:pPr>
                </w:p>
              </w:tc>
              <w:tc>
                <w:tcPr>
                  <w:tcW w:w="353" w:type="pct"/>
                  <w:vMerge w:val="continue"/>
                  <w:vAlign w:val="center"/>
                </w:tcPr>
                <w:p w14:paraId="28AADFB8">
                  <w:pPr>
                    <w:wordWrap w:val="0"/>
                    <w:autoSpaceDE w:val="0"/>
                    <w:autoSpaceDN w:val="0"/>
                    <w:jc w:val="center"/>
                    <w:textAlignment w:val="baseline"/>
                    <w:rPr>
                      <w:kern w:val="0"/>
                      <w:szCs w:val="21"/>
                      <w:u w:val="none"/>
                    </w:rPr>
                  </w:pPr>
                </w:p>
              </w:tc>
              <w:tc>
                <w:tcPr>
                  <w:tcW w:w="828" w:type="pct"/>
                  <w:vAlign w:val="center"/>
                </w:tcPr>
                <w:p w14:paraId="44A6270D">
                  <w:pPr>
                    <w:wordWrap w:val="0"/>
                    <w:autoSpaceDE w:val="0"/>
                    <w:autoSpaceDN w:val="0"/>
                    <w:jc w:val="center"/>
                    <w:textAlignment w:val="baseline"/>
                    <w:rPr>
                      <w:kern w:val="0"/>
                      <w:szCs w:val="21"/>
                      <w:u w:val="none"/>
                    </w:rPr>
                  </w:pPr>
                  <w:r>
                    <w:rPr>
                      <w:rFonts w:hint="eastAsia"/>
                      <w:kern w:val="0"/>
                      <w:szCs w:val="21"/>
                      <w:u w:val="none"/>
                    </w:rPr>
                    <w:t>场地雨污水收集池沉渣和车辆清洗废水沉淀池沉渣</w:t>
                  </w:r>
                </w:p>
              </w:tc>
              <w:tc>
                <w:tcPr>
                  <w:tcW w:w="2441" w:type="pct"/>
                  <w:vAlign w:val="center"/>
                </w:tcPr>
                <w:p w14:paraId="474155A1">
                  <w:pPr>
                    <w:wordWrap w:val="0"/>
                    <w:jc w:val="center"/>
                    <w:rPr>
                      <w:kern w:val="0"/>
                      <w:szCs w:val="21"/>
                      <w:u w:val="none"/>
                    </w:rPr>
                  </w:pPr>
                  <w:r>
                    <w:rPr>
                      <w:rFonts w:hint="eastAsia"/>
                      <w:kern w:val="0"/>
                      <w:szCs w:val="21"/>
                      <w:u w:val="none"/>
                    </w:rPr>
                    <w:t>清掏后堆存于仓储大棚内，外售云南宣威磷电有限责任公司</w:t>
                  </w:r>
                  <w:r>
                    <w:rPr>
                      <w:rFonts w:hint="eastAsia"/>
                      <w:bCs/>
                      <w:szCs w:val="21"/>
                      <w:u w:val="none"/>
                    </w:rPr>
                    <w:t>作为</w:t>
                  </w:r>
                  <w:r>
                    <w:rPr>
                      <w:rFonts w:hint="eastAsia"/>
                      <w:kern w:val="0"/>
                      <w:szCs w:val="21"/>
                      <w:u w:val="none"/>
                    </w:rPr>
                    <w:t>其“8万t/a黄磷生产项目”的原料。</w:t>
                  </w:r>
                </w:p>
              </w:tc>
              <w:tc>
                <w:tcPr>
                  <w:tcW w:w="547" w:type="pct"/>
                  <w:vAlign w:val="center"/>
                </w:tcPr>
                <w:p w14:paraId="5E9A6CE7">
                  <w:pPr>
                    <w:wordWrap w:val="0"/>
                    <w:autoSpaceDE w:val="0"/>
                    <w:autoSpaceDN w:val="0"/>
                    <w:jc w:val="center"/>
                    <w:textAlignment w:val="baseline"/>
                    <w:rPr>
                      <w:kern w:val="0"/>
                      <w:szCs w:val="21"/>
                      <w:u w:val="none"/>
                    </w:rPr>
                  </w:pPr>
                  <w:r>
                    <w:rPr>
                      <w:rFonts w:hint="eastAsia"/>
                      <w:kern w:val="0"/>
                      <w:szCs w:val="21"/>
                      <w:u w:val="none"/>
                    </w:rPr>
                    <w:t>1</w:t>
                  </w:r>
                </w:p>
              </w:tc>
              <w:tc>
                <w:tcPr>
                  <w:tcW w:w="540" w:type="pct"/>
                  <w:vAlign w:val="center"/>
                </w:tcPr>
                <w:p w14:paraId="23E4D53F">
                  <w:pPr>
                    <w:wordWrap w:val="0"/>
                    <w:autoSpaceDE w:val="0"/>
                    <w:autoSpaceDN w:val="0"/>
                    <w:jc w:val="center"/>
                    <w:textAlignment w:val="baseline"/>
                    <w:rPr>
                      <w:kern w:val="0"/>
                      <w:szCs w:val="21"/>
                      <w:u w:val="none"/>
                    </w:rPr>
                  </w:pPr>
                  <w:r>
                    <w:rPr>
                      <w:rFonts w:hint="eastAsia"/>
                      <w:szCs w:val="21"/>
                      <w:u w:val="none"/>
                    </w:rPr>
                    <w:t>新建</w:t>
                  </w:r>
                </w:p>
              </w:tc>
            </w:tr>
            <w:tr w14:paraId="1A05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88" w:type="pct"/>
                  <w:vAlign w:val="center"/>
                </w:tcPr>
                <w:p w14:paraId="27D95402">
                  <w:pPr>
                    <w:wordWrap w:val="0"/>
                    <w:autoSpaceDE w:val="0"/>
                    <w:autoSpaceDN w:val="0"/>
                    <w:jc w:val="center"/>
                    <w:textAlignment w:val="baseline"/>
                    <w:rPr>
                      <w:kern w:val="0"/>
                      <w:szCs w:val="21"/>
                      <w:u w:val="none"/>
                    </w:rPr>
                  </w:pPr>
                  <w:r>
                    <w:rPr>
                      <w:rFonts w:hint="eastAsia"/>
                      <w:kern w:val="0"/>
                      <w:szCs w:val="21"/>
                      <w:u w:val="none"/>
                    </w:rPr>
                    <w:t>10</w:t>
                  </w:r>
                </w:p>
              </w:tc>
              <w:tc>
                <w:tcPr>
                  <w:tcW w:w="353" w:type="pct"/>
                  <w:vAlign w:val="center"/>
                </w:tcPr>
                <w:p w14:paraId="58024AB9">
                  <w:pPr>
                    <w:wordWrap w:val="0"/>
                    <w:autoSpaceDE w:val="0"/>
                    <w:autoSpaceDN w:val="0"/>
                    <w:jc w:val="center"/>
                    <w:textAlignment w:val="baseline"/>
                    <w:rPr>
                      <w:kern w:val="0"/>
                      <w:szCs w:val="21"/>
                      <w:u w:val="none"/>
                    </w:rPr>
                  </w:pPr>
                  <w:r>
                    <w:rPr>
                      <w:rFonts w:hint="eastAsia"/>
                      <w:kern w:val="0"/>
                      <w:szCs w:val="21"/>
                      <w:u w:val="none"/>
                    </w:rPr>
                    <w:t>地下水</w:t>
                  </w:r>
                </w:p>
              </w:tc>
              <w:tc>
                <w:tcPr>
                  <w:tcW w:w="3270" w:type="pct"/>
                  <w:gridSpan w:val="2"/>
                  <w:vAlign w:val="center"/>
                </w:tcPr>
                <w:p w14:paraId="685FEDD1">
                  <w:pPr>
                    <w:wordWrap w:val="0"/>
                    <w:jc w:val="center"/>
                    <w:rPr>
                      <w:kern w:val="0"/>
                      <w:szCs w:val="21"/>
                      <w:u w:val="none"/>
                    </w:rPr>
                  </w:pPr>
                  <w:r>
                    <w:rPr>
                      <w:rFonts w:hint="eastAsia"/>
                      <w:szCs w:val="21"/>
                      <w:u w:val="none"/>
                    </w:rPr>
                    <w:t>仓储大棚、洗车废水沉淀池、场地雨污水收集池、一体化污水处理站、清水池和</w:t>
                  </w:r>
                  <w:r>
                    <w:rPr>
                      <w:rFonts w:hint="eastAsia"/>
                      <w:kern w:val="0"/>
                      <w:szCs w:val="21"/>
                      <w:u w:val="none"/>
                    </w:rPr>
                    <w:t>化粪池采用抗渗混凝土结构，参照《环境影响评价技术导则 地下水环境》（HJ 610-2016）中一般防渗区的防渗要求进行防渗，防渗层的防渗性能等效于厚度≥1.5m，渗透系数≤1.0×10</w:t>
                  </w:r>
                  <w:r>
                    <w:rPr>
                      <w:rFonts w:hint="eastAsia"/>
                      <w:kern w:val="0"/>
                      <w:szCs w:val="21"/>
                      <w:u w:val="none"/>
                      <w:vertAlign w:val="superscript"/>
                    </w:rPr>
                    <w:t>-7</w:t>
                  </w:r>
                  <w:r>
                    <w:rPr>
                      <w:rFonts w:hint="eastAsia"/>
                      <w:kern w:val="0"/>
                      <w:szCs w:val="21"/>
                      <w:u w:val="none"/>
                    </w:rPr>
                    <w:t>cm/s的黏土层的防渗性能。其他区域进行一般地面硬化。</w:t>
                  </w:r>
                </w:p>
              </w:tc>
              <w:tc>
                <w:tcPr>
                  <w:tcW w:w="547" w:type="pct"/>
                  <w:vAlign w:val="center"/>
                </w:tcPr>
                <w:p w14:paraId="092E76A4">
                  <w:pPr>
                    <w:wordWrap w:val="0"/>
                    <w:autoSpaceDE w:val="0"/>
                    <w:autoSpaceDN w:val="0"/>
                    <w:jc w:val="center"/>
                    <w:textAlignment w:val="baseline"/>
                    <w:rPr>
                      <w:kern w:val="0"/>
                      <w:szCs w:val="21"/>
                      <w:u w:val="none"/>
                    </w:rPr>
                  </w:pPr>
                  <w:r>
                    <w:rPr>
                      <w:rFonts w:hint="eastAsia"/>
                      <w:kern w:val="0"/>
                      <w:szCs w:val="21"/>
                      <w:u w:val="none"/>
                    </w:rPr>
                    <w:t>15</w:t>
                  </w:r>
                </w:p>
              </w:tc>
              <w:tc>
                <w:tcPr>
                  <w:tcW w:w="540" w:type="pct"/>
                  <w:vAlign w:val="center"/>
                </w:tcPr>
                <w:p w14:paraId="029E6621">
                  <w:pPr>
                    <w:wordWrap w:val="0"/>
                    <w:autoSpaceDE w:val="0"/>
                    <w:autoSpaceDN w:val="0"/>
                    <w:jc w:val="center"/>
                    <w:textAlignment w:val="baseline"/>
                    <w:rPr>
                      <w:szCs w:val="21"/>
                      <w:u w:val="none"/>
                    </w:rPr>
                  </w:pPr>
                  <w:r>
                    <w:rPr>
                      <w:rFonts w:hint="eastAsia"/>
                      <w:szCs w:val="21"/>
                      <w:u w:val="none"/>
                    </w:rPr>
                    <w:t>新建</w:t>
                  </w:r>
                </w:p>
              </w:tc>
            </w:tr>
            <w:tr w14:paraId="72C5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pct"/>
                  <w:gridSpan w:val="3"/>
                  <w:vAlign w:val="center"/>
                </w:tcPr>
                <w:p w14:paraId="4C73BF93">
                  <w:pPr>
                    <w:wordWrap w:val="0"/>
                    <w:autoSpaceDE w:val="0"/>
                    <w:autoSpaceDN w:val="0"/>
                    <w:jc w:val="center"/>
                    <w:textAlignment w:val="baseline"/>
                    <w:rPr>
                      <w:kern w:val="0"/>
                      <w:szCs w:val="21"/>
                      <w:u w:val="none"/>
                    </w:rPr>
                  </w:pPr>
                  <w:r>
                    <w:rPr>
                      <w:kern w:val="0"/>
                      <w:szCs w:val="21"/>
                      <w:u w:val="none"/>
                    </w:rPr>
                    <w:t>总计</w:t>
                  </w:r>
                </w:p>
              </w:tc>
              <w:tc>
                <w:tcPr>
                  <w:tcW w:w="3529" w:type="pct"/>
                  <w:gridSpan w:val="3"/>
                  <w:vAlign w:val="center"/>
                </w:tcPr>
                <w:p w14:paraId="3DAD4E34">
                  <w:pPr>
                    <w:wordWrap w:val="0"/>
                    <w:autoSpaceDE w:val="0"/>
                    <w:autoSpaceDN w:val="0"/>
                    <w:jc w:val="center"/>
                    <w:textAlignment w:val="baseline"/>
                    <w:rPr>
                      <w:kern w:val="0"/>
                      <w:szCs w:val="21"/>
                      <w:u w:val="none"/>
                    </w:rPr>
                  </w:pPr>
                  <w:r>
                    <w:rPr>
                      <w:rFonts w:hint="eastAsia"/>
                      <w:kern w:val="0"/>
                      <w:szCs w:val="21"/>
                      <w:u w:val="none"/>
                    </w:rPr>
                    <w:t>951</w:t>
                  </w:r>
                </w:p>
              </w:tc>
            </w:tr>
          </w:tbl>
          <w:p w14:paraId="1D1E34E1">
            <w:pPr>
              <w:spacing w:line="360" w:lineRule="auto"/>
              <w:ind w:firstLine="420" w:firstLineChars="200"/>
              <w:rPr>
                <w:u w:val="none"/>
              </w:rPr>
            </w:pPr>
          </w:p>
        </w:tc>
      </w:tr>
      <w:tr w14:paraId="1EE1E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30" w:type="dxa"/>
            <w:vAlign w:val="center"/>
          </w:tcPr>
          <w:p w14:paraId="43B06BAA">
            <w:pPr>
              <w:pStyle w:val="32"/>
              <w:adjustRightInd w:val="0"/>
              <w:snapToGrid w:val="0"/>
              <w:spacing w:before="0" w:beforeAutospacing="0" w:after="0" w:afterAutospacing="0"/>
              <w:jc w:val="center"/>
              <w:rPr>
                <w:rFonts w:ascii="Times New Roman" w:hAnsi="Times New Roman"/>
                <w:szCs w:val="24"/>
                <w:u w:val="none"/>
              </w:rPr>
            </w:pPr>
            <w:bookmarkStart w:id="6" w:name="_Toc67408757"/>
            <w:r>
              <w:rPr>
                <w:rFonts w:ascii="Times New Roman" w:hAnsi="Times New Roman"/>
                <w:szCs w:val="24"/>
                <w:u w:val="none"/>
              </w:rPr>
              <w:t>工艺流程和产排污环节</w:t>
            </w:r>
            <w:bookmarkEnd w:id="6"/>
          </w:p>
        </w:tc>
        <w:tc>
          <w:tcPr>
            <w:tcW w:w="8630" w:type="dxa"/>
          </w:tcPr>
          <w:p w14:paraId="4AD4C0E8">
            <w:pPr>
              <w:pStyle w:val="49"/>
              <w:adjustRightInd/>
              <w:snapToGrid/>
              <w:spacing w:line="360" w:lineRule="auto"/>
              <w:ind w:firstLine="0"/>
              <w:jc w:val="both"/>
              <w:rPr>
                <w:b/>
                <w:bCs/>
                <w:u w:val="none"/>
              </w:rPr>
            </w:pPr>
            <w:r>
              <w:rPr>
                <w:b/>
                <w:bCs/>
                <w:u w:val="none"/>
              </w:rPr>
              <w:t>（一）</w:t>
            </w:r>
            <w:r>
              <w:rPr>
                <w:b/>
                <w:bCs/>
                <w:u w:val="thick" w:color="FFB03A"/>
                <w:shd w:val="clear" w:fill="FFEFD7"/>
              </w:rPr>
              <w:t>施工期工艺流程</w:t>
            </w:r>
            <w:r>
              <w:rPr>
                <w:b/>
                <w:bCs/>
                <w:u w:val="none"/>
              </w:rPr>
              <w:t>及产污环节</w:t>
            </w:r>
          </w:p>
          <w:p w14:paraId="0132C5C2">
            <w:pPr>
              <w:spacing w:line="360" w:lineRule="auto"/>
              <w:ind w:firstLine="480" w:firstLineChars="200"/>
              <w:rPr>
                <w:sz w:val="24"/>
                <w:u w:val="none"/>
              </w:rPr>
            </w:pPr>
            <w:r>
              <w:rPr>
                <w:rFonts w:hint="eastAsia"/>
                <w:sz w:val="24"/>
                <w:u w:val="none"/>
              </w:rPr>
              <w:t>项目施工内容主要包括基础工程、主体工程、设备的安装与配套工程、竣工验收等。这些工序会产生噪声、废气、固体废物和废水等污染物，其排放量随工序和施工强度不同而变化，</w:t>
            </w:r>
            <w:r>
              <w:rPr>
                <w:rFonts w:hint="eastAsia"/>
                <w:sz w:val="24"/>
                <w:u w:val="thick" w:color="FFB03A"/>
                <w:shd w:val="clear" w:fill="FFEFD7"/>
              </w:rPr>
              <w:t>施工期工艺流程</w:t>
            </w:r>
            <w:r>
              <w:rPr>
                <w:rFonts w:hint="eastAsia"/>
                <w:sz w:val="24"/>
                <w:u w:val="none"/>
              </w:rPr>
              <w:t>及产污环节见图2-3。</w:t>
            </w:r>
          </w:p>
          <w:p w14:paraId="2A15C335">
            <w:pPr>
              <w:spacing w:line="360" w:lineRule="auto"/>
              <w:jc w:val="center"/>
              <w:textAlignment w:val="baseline"/>
              <w:rPr>
                <w:sz w:val="24"/>
                <w:u w:val="none"/>
              </w:rPr>
            </w:pPr>
            <w:r>
              <w:rPr>
                <w:sz w:val="24"/>
                <w:u w:val="none"/>
              </w:rPr>
              <w:object>
                <v:shape id="_x0000_i1027" o:spt="75" type="#_x0000_t75" style="height:257.8pt;width:398pt;" o:ole="t" filled="f" o:preferrelative="t" stroked="f" coordsize="21600,21600">
                  <v:path/>
                  <v:fill on="f" focussize="0,0"/>
                  <v:stroke on="f" joinstyle="miter"/>
                  <v:imagedata r:id="rId14" o:title=""/>
                  <o:lock v:ext="edit" aspectratio="t"/>
                  <w10:wrap type="none"/>
                  <w10:anchorlock/>
                </v:shape>
                <o:OLEObject Type="Embed" ProgID="Visio.Drawing.11" ShapeID="_x0000_i1027" DrawAspect="Content" ObjectID="_1468075727" r:id="rId13">
                  <o:LockedField>false</o:LockedField>
                </o:OLEObject>
              </w:object>
            </w:r>
          </w:p>
          <w:p w14:paraId="3BEA3673">
            <w:pPr>
              <w:spacing w:line="360" w:lineRule="auto"/>
              <w:ind w:firstLine="149"/>
              <w:jc w:val="center"/>
              <w:textAlignment w:val="baseline"/>
              <w:rPr>
                <w:sz w:val="24"/>
                <w:u w:val="none"/>
              </w:rPr>
            </w:pPr>
            <w:r>
              <w:rPr>
                <w:b/>
                <w:bCs/>
                <w:szCs w:val="21"/>
                <w:u w:val="none"/>
              </w:rPr>
              <w:t>图</w:t>
            </w:r>
            <w:r>
              <w:rPr>
                <w:rFonts w:hint="eastAsia"/>
                <w:b/>
                <w:bCs/>
                <w:szCs w:val="21"/>
                <w:u w:val="none"/>
              </w:rPr>
              <w:t>2</w:t>
            </w:r>
            <w:r>
              <w:rPr>
                <w:b/>
                <w:bCs/>
                <w:szCs w:val="21"/>
                <w:u w:val="none"/>
              </w:rPr>
              <w:t>-</w:t>
            </w:r>
            <w:r>
              <w:rPr>
                <w:rFonts w:hint="eastAsia"/>
                <w:b/>
                <w:bCs/>
                <w:szCs w:val="21"/>
                <w:u w:val="none"/>
              </w:rPr>
              <w:t>3</w:t>
            </w:r>
            <w:r>
              <w:rPr>
                <w:b/>
                <w:bCs/>
                <w:szCs w:val="21"/>
                <w:u w:val="none"/>
              </w:rPr>
              <w:t xml:space="preserve">   </w:t>
            </w:r>
            <w:r>
              <w:rPr>
                <w:b/>
                <w:bCs/>
                <w:szCs w:val="21"/>
                <w:u w:val="thick" w:color="FFB03A"/>
                <w:shd w:val="clear" w:fill="FFEFD7"/>
              </w:rPr>
              <w:t>施工期工艺流程</w:t>
            </w:r>
            <w:r>
              <w:rPr>
                <w:b/>
                <w:bCs/>
                <w:szCs w:val="21"/>
                <w:u w:val="none"/>
              </w:rPr>
              <w:t>及产污节点</w:t>
            </w:r>
          </w:p>
          <w:p w14:paraId="77A3976C">
            <w:pPr>
              <w:spacing w:line="360" w:lineRule="auto"/>
              <w:ind w:firstLine="482" w:firstLineChars="200"/>
              <w:rPr>
                <w:b/>
                <w:bCs/>
                <w:sz w:val="24"/>
                <w:u w:val="none"/>
              </w:rPr>
            </w:pPr>
            <w:r>
              <w:rPr>
                <w:b/>
                <w:bCs/>
                <w:sz w:val="24"/>
                <w:u w:val="none"/>
              </w:rPr>
              <w:t>施工</w:t>
            </w:r>
            <w:r>
              <w:rPr>
                <w:rFonts w:hint="eastAsia"/>
                <w:b/>
                <w:bCs/>
                <w:sz w:val="24"/>
                <w:u w:val="none"/>
              </w:rPr>
              <w:t>组织</w:t>
            </w:r>
            <w:r>
              <w:rPr>
                <w:b/>
                <w:bCs/>
                <w:sz w:val="24"/>
                <w:u w:val="none"/>
              </w:rPr>
              <w:t>：</w:t>
            </w:r>
          </w:p>
          <w:p w14:paraId="72C5896C">
            <w:pPr>
              <w:widowControl/>
              <w:spacing w:line="360" w:lineRule="auto"/>
              <w:ind w:firstLine="480" w:firstLineChars="200"/>
              <w:rPr>
                <w:sz w:val="24"/>
                <w:u w:val="none"/>
              </w:rPr>
            </w:pPr>
            <w:r>
              <w:rPr>
                <w:rFonts w:hint="eastAsia"/>
                <w:sz w:val="24"/>
                <w:u w:val="none"/>
              </w:rPr>
              <w:t>项目计划建设期为3个月，项目高峰期施工人员为15人，施工人员均来自周边剩余劳动力。工程施工过程中不新增占地、不设置施工营地，仅在项目北侧设置一个活动板房作为管理用房，施工人员不在厂区食宿。项目紧邻乡村公路，交通便利，项目所用混凝土为商品混凝土，无需在现场搅拌</w:t>
            </w:r>
            <w:r>
              <w:rPr>
                <w:sz w:val="24"/>
                <w:u w:val="none"/>
              </w:rPr>
              <w:t>。</w:t>
            </w:r>
            <w:r>
              <w:rPr>
                <w:rFonts w:hint="eastAsia"/>
                <w:sz w:val="24"/>
                <w:u w:val="none"/>
              </w:rPr>
              <w:t>项目砂石料外购，项目不设置砂石料场。</w:t>
            </w:r>
          </w:p>
          <w:p w14:paraId="2BD808E0">
            <w:pPr>
              <w:spacing w:line="360" w:lineRule="auto"/>
              <w:ind w:firstLine="480" w:firstLineChars="200"/>
              <w:rPr>
                <w:sz w:val="24"/>
                <w:u w:val="none"/>
              </w:rPr>
            </w:pPr>
            <w:r>
              <w:rPr>
                <w:rFonts w:hint="eastAsia"/>
                <w:sz w:val="24"/>
                <w:u w:val="none"/>
              </w:rPr>
              <w:t>工艺简述如下：</w:t>
            </w:r>
          </w:p>
          <w:p w14:paraId="082A155D">
            <w:pPr>
              <w:spacing w:line="360" w:lineRule="auto"/>
              <w:ind w:firstLine="480" w:firstLineChars="200"/>
              <w:rPr>
                <w:sz w:val="24"/>
                <w:u w:val="none"/>
              </w:rPr>
            </w:pPr>
            <w:r>
              <w:rPr>
                <w:rFonts w:hint="eastAsia"/>
                <w:sz w:val="24"/>
                <w:u w:val="none"/>
              </w:rPr>
              <w:t>（1）基础工程：包括土方（挖方、填方）、桩基工程等基础工程。基础工程挖土方量与回填方量在项目区可实现挖填方平衡；此过程会产生设备运行噪声和扬尘，同时混凝土等拌制与浇灌时会产生施工废水。</w:t>
            </w:r>
          </w:p>
          <w:p w14:paraId="5350C122">
            <w:pPr>
              <w:spacing w:line="360" w:lineRule="auto"/>
              <w:ind w:firstLine="480" w:firstLineChars="200"/>
              <w:rPr>
                <w:sz w:val="24"/>
                <w:u w:val="none"/>
              </w:rPr>
            </w:pPr>
            <w:r>
              <w:rPr>
                <w:rFonts w:hint="eastAsia"/>
                <w:sz w:val="24"/>
                <w:u w:val="none"/>
              </w:rPr>
              <w:t>（2）主体工程：主体工程的主要施工内容为钢架大棚的组装建设，包括模板、钢筋、混凝土三个主要分项工程。主体工程在施工过程中将产生混凝土振捣棒、卷扬机等施工机械的运行噪声和尾气，在施工和物料运输等过程中产生大量扬尘，同时会产生施工废水和建筑垃圾等。</w:t>
            </w:r>
          </w:p>
          <w:p w14:paraId="3BFB8342">
            <w:pPr>
              <w:spacing w:line="360" w:lineRule="auto"/>
              <w:ind w:firstLine="480" w:firstLineChars="200"/>
              <w:rPr>
                <w:sz w:val="24"/>
                <w:u w:val="none"/>
              </w:rPr>
            </w:pPr>
            <w:r>
              <w:rPr>
                <w:rFonts w:hint="eastAsia"/>
                <w:sz w:val="24"/>
                <w:u w:val="none"/>
              </w:rPr>
              <w:t>（3）设备安装及配套工程：主要包括生产设备的安装，此过程会产生噪声、废气和固体废物。</w:t>
            </w:r>
          </w:p>
          <w:p w14:paraId="5CCE758F">
            <w:pPr>
              <w:spacing w:line="360" w:lineRule="auto"/>
              <w:ind w:firstLine="480" w:firstLineChars="200"/>
              <w:rPr>
                <w:sz w:val="24"/>
                <w:u w:val="none"/>
              </w:rPr>
            </w:pPr>
            <w:r>
              <w:rPr>
                <w:rFonts w:hint="eastAsia"/>
                <w:sz w:val="24"/>
                <w:u w:val="none"/>
              </w:rPr>
              <w:t>（4）工程验收：项目工程建设完成后，对工程进行验收，验收合格后投入使用。</w:t>
            </w:r>
          </w:p>
          <w:p w14:paraId="1EFABD95">
            <w:pPr>
              <w:pStyle w:val="49"/>
              <w:snapToGrid/>
              <w:spacing w:line="360" w:lineRule="auto"/>
              <w:ind w:firstLine="0"/>
              <w:rPr>
                <w:b/>
                <w:bCs/>
                <w:u w:val="none"/>
              </w:rPr>
            </w:pPr>
            <w:r>
              <w:rPr>
                <w:b/>
                <w:bCs/>
                <w:u w:val="none"/>
              </w:rPr>
              <w:t>（二）运营期工艺流程及产污环节</w:t>
            </w:r>
          </w:p>
          <w:p w14:paraId="51B25969">
            <w:pPr>
              <w:pStyle w:val="49"/>
              <w:spacing w:line="240" w:lineRule="auto"/>
              <w:ind w:firstLine="0"/>
              <w:jc w:val="center"/>
              <w:rPr>
                <w:u w:val="none"/>
              </w:rPr>
            </w:pPr>
            <w:r>
              <w:rPr>
                <w:u w:val="none"/>
              </w:rPr>
              <mc:AlternateContent>
                <mc:Choice Requires="wps">
                  <w:drawing>
                    <wp:anchor distT="0" distB="0" distL="114300" distR="114300" simplePos="0" relativeHeight="251659264" behindDoc="0" locked="0" layoutInCell="1" allowOverlap="1">
                      <wp:simplePos x="0" y="0"/>
                      <wp:positionH relativeFrom="column">
                        <wp:posOffset>1871345</wp:posOffset>
                      </wp:positionH>
                      <wp:positionV relativeFrom="paragraph">
                        <wp:posOffset>27940</wp:posOffset>
                      </wp:positionV>
                      <wp:extent cx="1654175" cy="873760"/>
                      <wp:effectExtent l="0" t="0" r="0" b="0"/>
                      <wp:wrapNone/>
                      <wp:docPr id="4" name="文本框 4"/>
                      <wp:cNvGraphicFramePr/>
                      <a:graphic xmlns:a="http://schemas.openxmlformats.org/drawingml/2006/main">
                        <a:graphicData uri="http://schemas.microsoft.com/office/word/2010/wordprocessingShape">
                          <wps:wsp>
                            <wps:cNvSpPr txBox="1"/>
                            <wps:spPr>
                              <a:xfrm>
                                <a:off x="2901950" y="7045325"/>
                                <a:ext cx="1654175" cy="873760"/>
                              </a:xfrm>
                              <a:prstGeom prst="rect">
                                <a:avLst/>
                              </a:prstGeom>
                              <a:noFill/>
                              <a:ln w="6350">
                                <a:noFill/>
                              </a:ln>
                              <a:effectLst/>
                            </wps:spPr>
                            <wps:txbx>
                              <w:txbxContent>
                                <w:p w14:paraId="7F20E09C">
                                  <w:pPr>
                                    <w:pStyle w:val="159"/>
                                    <w:rPr>
                                      <w:sz w:val="18"/>
                                      <w:szCs w:val="18"/>
                                    </w:rPr>
                                  </w:pPr>
                                  <w:r>
                                    <w:rPr>
                                      <w:rFonts w:hint="eastAsia"/>
                                      <w:sz w:val="18"/>
                                      <w:szCs w:val="18"/>
                                    </w:rPr>
                                    <w:t>封闭大棚内操作，棚顶配备洒水降尘措施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7.35pt;margin-top:2.2pt;height:68.8pt;width:130.25pt;z-index:251659264;mso-width-relative:page;mso-height-relative:page;" filled="f" stroked="f" coordsize="21600,21600" o:gfxdata="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oov7M2gAAAAkBAAAP&#10;AAAAAAAAAAEAIAAAACIAAABkcnMvZG93bnJldi54bWxQSwECFAAUAAAACACHTuJAt2V5A08CAACA&#10;BAAADgAAAAAAAAABACAAAAApAQAAZHJzL2Uyb0RvYy54bWxQSwUGAAAAAAYABgBZAQAA6gUAAAAA&#10;">
                      <v:fill on="f" focussize="0,0"/>
                      <v:stroke on="f" weight="0.5pt"/>
                      <v:imagedata o:title=""/>
                      <o:lock v:ext="edit" aspectratio="f"/>
                      <v:textbox>
                        <w:txbxContent>
                          <w:p w14:paraId="7F20E09C">
                            <w:pPr>
                              <w:pStyle w:val="159"/>
                              <w:rPr>
                                <w:sz w:val="18"/>
                                <w:szCs w:val="18"/>
                              </w:rPr>
                            </w:pPr>
                            <w:r>
                              <w:rPr>
                                <w:rFonts w:hint="eastAsia"/>
                                <w:sz w:val="18"/>
                                <w:szCs w:val="18"/>
                              </w:rPr>
                              <w:t>封闭大棚内操作，棚顶配备洒水降尘措施</w:t>
                            </w:r>
                          </w:p>
                        </w:txbxContent>
                      </v:textbox>
                    </v:shape>
                  </w:pict>
                </mc:Fallback>
              </mc:AlternateContent>
            </w:r>
            <w:r>
              <w:rPr>
                <w:u w:val="none"/>
              </w:rPr>
              <w:object>
                <v:shape id="_x0000_i1028" o:spt="75" type="#_x0000_t75" style="height:161.55pt;width:331.9pt;" o:ole="t" filled="f" o:preferrelative="t" stroked="f" coordsize="21600,21600">
                  <v:path/>
                  <v:fill on="f" focussize="0,0"/>
                  <v:stroke on="f" joinstyle="miter"/>
                  <v:imagedata r:id="rId16" o:title=""/>
                  <o:lock v:ext="edit" aspectratio="t"/>
                  <w10:wrap type="none"/>
                  <w10:anchorlock/>
                </v:shape>
                <o:OLEObject Type="Embed" ProgID="Visio.Drawing.11" ShapeID="_x0000_i1028" DrawAspect="Content" ObjectID="_1468075728" r:id="rId15">
                  <o:LockedField>false</o:LockedField>
                </o:OLEObject>
              </w:object>
            </w:r>
          </w:p>
          <w:p w14:paraId="3FCC2FFC">
            <w:pPr>
              <w:pStyle w:val="49"/>
              <w:adjustRightInd/>
              <w:snapToGrid/>
              <w:spacing w:line="360" w:lineRule="auto"/>
              <w:ind w:firstLine="0"/>
              <w:jc w:val="center"/>
              <w:rPr>
                <w:u w:val="none"/>
              </w:rPr>
            </w:pPr>
            <w:r>
              <w:rPr>
                <w:b/>
                <w:bCs/>
                <w:sz w:val="21"/>
                <w:szCs w:val="21"/>
                <w:u w:val="none"/>
              </w:rPr>
              <w:t>图2</w:t>
            </w:r>
            <w:r>
              <w:rPr>
                <w:rFonts w:hint="eastAsia"/>
                <w:b/>
                <w:bCs/>
                <w:sz w:val="21"/>
                <w:szCs w:val="21"/>
                <w:u w:val="none"/>
              </w:rPr>
              <w:t>-4</w:t>
            </w:r>
            <w:r>
              <w:rPr>
                <w:b/>
                <w:bCs/>
                <w:sz w:val="21"/>
                <w:szCs w:val="21"/>
                <w:u w:val="none"/>
              </w:rPr>
              <w:t xml:space="preserve">   </w:t>
            </w:r>
            <w:r>
              <w:rPr>
                <w:rFonts w:hint="eastAsia"/>
                <w:b/>
                <w:bCs/>
                <w:sz w:val="21"/>
                <w:szCs w:val="21"/>
                <w:u w:val="none"/>
              </w:rPr>
              <w:t>运营期</w:t>
            </w:r>
            <w:r>
              <w:rPr>
                <w:b/>
                <w:bCs/>
                <w:sz w:val="21"/>
                <w:szCs w:val="21"/>
                <w:u w:val="none"/>
              </w:rPr>
              <w:t>生产工艺流程及产污环节示意图</w:t>
            </w:r>
          </w:p>
          <w:p w14:paraId="4BCDD6D7">
            <w:pPr>
              <w:pStyle w:val="49"/>
              <w:adjustRightInd/>
              <w:snapToGrid/>
              <w:spacing w:line="360" w:lineRule="auto"/>
              <w:ind w:firstLine="482" w:firstLineChars="200"/>
              <w:rPr>
                <w:b/>
                <w:bCs/>
                <w:u w:val="none"/>
              </w:rPr>
            </w:pPr>
            <w:r>
              <w:rPr>
                <w:b/>
                <w:bCs/>
                <w:u w:val="none"/>
              </w:rPr>
              <w:t>简要工艺说明：</w:t>
            </w:r>
          </w:p>
          <w:p w14:paraId="05E8A24B">
            <w:pPr>
              <w:pStyle w:val="49"/>
              <w:adjustRightInd/>
              <w:snapToGrid/>
              <w:spacing w:line="360" w:lineRule="auto"/>
              <w:rPr>
                <w:u w:val="none"/>
              </w:rPr>
            </w:pPr>
            <w:r>
              <w:rPr>
                <w:rFonts w:hint="eastAsia"/>
                <w:u w:val="none"/>
              </w:rPr>
              <w:t>本项目工艺流程简单，仅进行磷矿的集运，不进行磷矿的加工。磷矿经由自卸汽车运入仓储大棚，进场前先上磅秤进行称重，过磅后卸入仓储大棚储存，运输汽车卸车前先进行洒水降尘再卸车，磷矿在堆场储存时由仓储大棚设置的喷淋设施定期对磷矿堆洒水抑尘，需要装车外售</w:t>
            </w:r>
            <w:r>
              <w:rPr>
                <w:rFonts w:hint="eastAsia"/>
                <w:u w:val="thick" w:color="FFB03A"/>
                <w:shd w:val="clear" w:fill="FFEFD7"/>
              </w:rPr>
              <w:t>磷矿</w:t>
            </w:r>
            <w:r>
              <w:rPr>
                <w:rFonts w:hint="eastAsia"/>
                <w:u w:val="none"/>
              </w:rPr>
              <w:t>洒水后将车厢用篷布遮盖严实，密闭运输，做到磷矿不落地。</w:t>
            </w:r>
          </w:p>
          <w:p w14:paraId="24CCE880">
            <w:pPr>
              <w:pStyle w:val="49"/>
              <w:adjustRightInd/>
              <w:snapToGrid/>
              <w:spacing w:line="360" w:lineRule="auto"/>
              <w:ind w:firstLine="0"/>
              <w:jc w:val="both"/>
              <w:rPr>
                <w:b/>
                <w:bCs/>
                <w:u w:val="none"/>
              </w:rPr>
            </w:pPr>
            <w:r>
              <w:rPr>
                <w:b/>
                <w:bCs/>
                <w:u w:val="none"/>
              </w:rPr>
              <w:t>（三）主要产污环节</w:t>
            </w:r>
          </w:p>
          <w:p w14:paraId="5DB61ABC">
            <w:pPr>
              <w:pStyle w:val="49"/>
              <w:adjustRightInd/>
              <w:snapToGrid/>
              <w:spacing w:line="360" w:lineRule="auto"/>
              <w:ind w:firstLine="480" w:firstLineChars="200"/>
              <w:jc w:val="both"/>
              <w:rPr>
                <w:u w:val="none"/>
              </w:rPr>
            </w:pPr>
            <w:r>
              <w:rPr>
                <w:u w:val="none"/>
              </w:rPr>
              <w:t>①废水：</w:t>
            </w:r>
            <w:r>
              <w:rPr>
                <w:rFonts w:hint="eastAsia"/>
                <w:u w:val="none"/>
              </w:rPr>
              <w:t>职工办公</w:t>
            </w:r>
            <w:r>
              <w:rPr>
                <w:u w:val="none"/>
              </w:rPr>
              <w:t>生活污水</w:t>
            </w:r>
            <w:r>
              <w:rPr>
                <w:rFonts w:hint="eastAsia"/>
                <w:u w:val="none"/>
              </w:rPr>
              <w:t>、车辆清洗废水</w:t>
            </w:r>
            <w:r>
              <w:rPr>
                <w:u w:val="none"/>
              </w:rPr>
              <w:t>及</w:t>
            </w:r>
            <w:r>
              <w:rPr>
                <w:rFonts w:hint="eastAsia"/>
                <w:u w:val="none"/>
              </w:rPr>
              <w:t>场地雨污水</w:t>
            </w:r>
            <w:r>
              <w:rPr>
                <w:u w:val="none"/>
              </w:rPr>
              <w:t>。</w:t>
            </w:r>
          </w:p>
          <w:p w14:paraId="1CE8EC82">
            <w:pPr>
              <w:pStyle w:val="49"/>
              <w:adjustRightInd/>
              <w:snapToGrid/>
              <w:spacing w:line="360" w:lineRule="auto"/>
              <w:ind w:firstLine="480" w:firstLineChars="200"/>
              <w:jc w:val="both"/>
              <w:rPr>
                <w:u w:val="none"/>
              </w:rPr>
            </w:pPr>
            <w:r>
              <w:rPr>
                <w:u w:val="none"/>
              </w:rPr>
              <w:t>②废气：</w:t>
            </w:r>
            <w:r>
              <w:rPr>
                <w:rFonts w:hint="eastAsia"/>
                <w:u w:val="none"/>
              </w:rPr>
              <w:t>堆场扬尘、运输扬尘、装卸粉尘</w:t>
            </w:r>
            <w:r>
              <w:rPr>
                <w:u w:val="none"/>
              </w:rPr>
              <w:t>。</w:t>
            </w:r>
          </w:p>
          <w:p w14:paraId="02C461A7">
            <w:pPr>
              <w:pStyle w:val="49"/>
              <w:adjustRightInd/>
              <w:snapToGrid/>
              <w:spacing w:line="360" w:lineRule="auto"/>
              <w:ind w:firstLine="480" w:firstLineChars="200"/>
              <w:jc w:val="both"/>
              <w:rPr>
                <w:u w:val="none"/>
              </w:rPr>
            </w:pPr>
            <w:r>
              <w:rPr>
                <w:u w:val="none"/>
              </w:rPr>
              <w:t>③噪声：设备运行时产生的噪声</w:t>
            </w:r>
            <w:r>
              <w:rPr>
                <w:rFonts w:hint="eastAsia"/>
                <w:u w:val="none"/>
              </w:rPr>
              <w:t>。</w:t>
            </w:r>
          </w:p>
          <w:p w14:paraId="16FBB6CB">
            <w:pPr>
              <w:pStyle w:val="49"/>
              <w:adjustRightInd/>
              <w:snapToGrid/>
              <w:spacing w:line="360" w:lineRule="auto"/>
              <w:ind w:firstLine="480" w:firstLineChars="200"/>
              <w:jc w:val="both"/>
              <w:rPr>
                <w:b/>
                <w:bCs/>
                <w:sz w:val="21"/>
                <w:szCs w:val="21"/>
                <w:u w:val="none"/>
              </w:rPr>
            </w:pPr>
            <w:r>
              <w:rPr>
                <w:u w:val="none"/>
              </w:rPr>
              <w:t>④</w:t>
            </w:r>
            <w:r>
              <w:rPr>
                <w:rFonts w:hint="eastAsia"/>
                <w:u w:val="none"/>
              </w:rPr>
              <w:t>固体废物</w:t>
            </w:r>
            <w:r>
              <w:rPr>
                <w:u w:val="none"/>
              </w:rPr>
              <w:t>：本项目固废主要为员工</w:t>
            </w:r>
            <w:r>
              <w:rPr>
                <w:rFonts w:hint="eastAsia"/>
                <w:u w:val="none"/>
              </w:rPr>
              <w:t>办公</w:t>
            </w:r>
            <w:r>
              <w:rPr>
                <w:u w:val="none"/>
              </w:rPr>
              <w:t>生活垃圾</w:t>
            </w:r>
            <w:r>
              <w:rPr>
                <w:rFonts w:hint="eastAsia"/>
                <w:u w:val="none"/>
              </w:rPr>
              <w:t>、场地雨污水收集池沉渣和车辆清洗废水沉淀池沉渣。</w:t>
            </w:r>
          </w:p>
        </w:tc>
      </w:tr>
      <w:tr w14:paraId="05030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1" w:hRule="atLeast"/>
          <w:jc w:val="center"/>
        </w:trPr>
        <w:tc>
          <w:tcPr>
            <w:tcW w:w="430" w:type="dxa"/>
            <w:vAlign w:val="center"/>
          </w:tcPr>
          <w:p w14:paraId="5F2C45E4">
            <w:pPr>
              <w:pStyle w:val="32"/>
              <w:adjustRightInd w:val="0"/>
              <w:snapToGrid w:val="0"/>
              <w:spacing w:before="0" w:beforeAutospacing="0" w:after="0" w:afterAutospacing="0"/>
              <w:jc w:val="center"/>
              <w:rPr>
                <w:rFonts w:ascii="Times New Roman" w:hAnsi="Times New Roman"/>
                <w:szCs w:val="24"/>
                <w:u w:val="none"/>
              </w:rPr>
            </w:pPr>
            <w:r>
              <w:rPr>
                <w:rFonts w:ascii="Times New Roman" w:hAnsi="Times New Roman"/>
                <w:bCs/>
                <w:kern w:val="2"/>
                <w:szCs w:val="24"/>
                <w:u w:val="none"/>
              </w:rPr>
              <w:t>原有环境污染问题</w:t>
            </w:r>
          </w:p>
        </w:tc>
        <w:tc>
          <w:tcPr>
            <w:tcW w:w="8630" w:type="dxa"/>
            <w:vAlign w:val="center"/>
          </w:tcPr>
          <w:p w14:paraId="37F64375">
            <w:pPr>
              <w:spacing w:line="360" w:lineRule="auto"/>
              <w:ind w:firstLine="480" w:firstLineChars="200"/>
              <w:rPr>
                <w:bCs/>
                <w:szCs w:val="21"/>
                <w:u w:val="none"/>
              </w:rPr>
            </w:pPr>
            <w:r>
              <w:rPr>
                <w:rFonts w:hint="eastAsia"/>
                <w:sz w:val="24"/>
                <w:u w:val="none"/>
              </w:rPr>
              <w:t>本项目为新建项目，无与项目有关的原有环境污染问题。</w:t>
            </w:r>
          </w:p>
        </w:tc>
      </w:tr>
    </w:tbl>
    <w:p w14:paraId="645CAA66">
      <w:pPr>
        <w:rPr>
          <w:u w:val="none"/>
        </w:rPr>
        <w:sectPr>
          <w:pgSz w:w="11906" w:h="16838"/>
          <w:pgMar w:top="1701" w:right="1531" w:bottom="1701" w:left="1531" w:header="851" w:footer="851" w:gutter="0"/>
          <w:cols w:space="720" w:num="1"/>
          <w:docGrid w:linePitch="312" w:charSpace="0"/>
        </w:sectPr>
      </w:pPr>
    </w:p>
    <w:p w14:paraId="0F15C323">
      <w:pPr>
        <w:pStyle w:val="32"/>
        <w:jc w:val="center"/>
        <w:outlineLvl w:val="0"/>
        <w:rPr>
          <w:rFonts w:ascii="Times New Roman" w:hAnsi="Times New Roman"/>
          <w:b/>
          <w:bCs/>
          <w:snapToGrid w:val="0"/>
          <w:sz w:val="30"/>
          <w:szCs w:val="30"/>
          <w:u w:val="none"/>
        </w:rPr>
      </w:pPr>
      <w:bookmarkStart w:id="7" w:name="_Toc2258"/>
      <w:r>
        <w:rPr>
          <w:rFonts w:ascii="Times New Roman" w:hAnsi="Times New Roman"/>
          <w:b/>
          <w:bCs/>
          <w:snapToGrid w:val="0"/>
          <w:sz w:val="30"/>
          <w:szCs w:val="30"/>
          <w:u w:val="none"/>
        </w:rPr>
        <w:t>三、区域环境质量现状、环境保护目标及评价标准</w:t>
      </w:r>
      <w:bookmarkEnd w:id="7"/>
    </w:p>
    <w:tbl>
      <w:tblPr>
        <w:tblStyle w:val="37"/>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856"/>
      </w:tblGrid>
      <w:tr w14:paraId="713EE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454" w:type="dxa"/>
            <w:vAlign w:val="center"/>
          </w:tcPr>
          <w:p w14:paraId="2D40A4E6">
            <w:pPr>
              <w:adjustRightInd w:val="0"/>
              <w:snapToGrid w:val="0"/>
              <w:jc w:val="center"/>
              <w:rPr>
                <w:kern w:val="0"/>
                <w:sz w:val="24"/>
                <w:u w:val="none"/>
              </w:rPr>
            </w:pPr>
            <w:r>
              <w:rPr>
                <w:kern w:val="0"/>
                <w:sz w:val="24"/>
                <w:u w:val="none"/>
              </w:rPr>
              <w:t>区域</w:t>
            </w:r>
          </w:p>
          <w:p w14:paraId="2CB7B7D6">
            <w:pPr>
              <w:adjustRightInd w:val="0"/>
              <w:snapToGrid w:val="0"/>
              <w:jc w:val="center"/>
              <w:rPr>
                <w:kern w:val="0"/>
                <w:sz w:val="24"/>
                <w:u w:val="none"/>
              </w:rPr>
            </w:pPr>
            <w:r>
              <w:rPr>
                <w:kern w:val="0"/>
                <w:sz w:val="24"/>
                <w:u w:val="none"/>
              </w:rPr>
              <w:t>环境</w:t>
            </w:r>
          </w:p>
          <w:p w14:paraId="1B443AF9">
            <w:pPr>
              <w:adjustRightInd w:val="0"/>
              <w:snapToGrid w:val="0"/>
              <w:jc w:val="center"/>
              <w:rPr>
                <w:kern w:val="0"/>
                <w:sz w:val="24"/>
                <w:u w:val="none"/>
              </w:rPr>
            </w:pPr>
            <w:r>
              <w:rPr>
                <w:kern w:val="0"/>
                <w:sz w:val="24"/>
                <w:u w:val="none"/>
              </w:rPr>
              <w:t>质量</w:t>
            </w:r>
          </w:p>
          <w:p w14:paraId="6974AACB">
            <w:pPr>
              <w:adjustRightInd w:val="0"/>
              <w:snapToGrid w:val="0"/>
              <w:jc w:val="center"/>
              <w:rPr>
                <w:kern w:val="0"/>
                <w:sz w:val="24"/>
                <w:u w:val="none"/>
              </w:rPr>
            </w:pPr>
            <w:r>
              <w:rPr>
                <w:kern w:val="0"/>
                <w:sz w:val="24"/>
                <w:u w:val="none"/>
              </w:rPr>
              <w:t>现状</w:t>
            </w:r>
          </w:p>
        </w:tc>
        <w:tc>
          <w:tcPr>
            <w:tcW w:w="8858" w:type="dxa"/>
            <w:vAlign w:val="center"/>
          </w:tcPr>
          <w:p w14:paraId="1FE8CC97">
            <w:pPr>
              <w:snapToGrid w:val="0"/>
              <w:spacing w:line="360" w:lineRule="auto"/>
              <w:ind w:left="420" w:leftChars="200"/>
              <w:rPr>
                <w:b/>
                <w:bCs/>
                <w:sz w:val="24"/>
                <w:u w:val="none"/>
              </w:rPr>
            </w:pPr>
            <w:r>
              <w:rPr>
                <w:rFonts w:hint="eastAsia"/>
                <w:b/>
                <w:bCs/>
                <w:sz w:val="24"/>
                <w:u w:val="none"/>
              </w:rPr>
              <w:t>1、</w:t>
            </w:r>
            <w:r>
              <w:rPr>
                <w:b/>
                <w:bCs/>
                <w:sz w:val="24"/>
                <w:u w:val="none"/>
              </w:rPr>
              <w:t>环境空气质量现状</w:t>
            </w:r>
          </w:p>
          <w:p w14:paraId="245C95EE">
            <w:pPr>
              <w:spacing w:line="360" w:lineRule="auto"/>
              <w:ind w:firstLine="480" w:firstLineChars="200"/>
              <w:rPr>
                <w:sz w:val="24"/>
                <w:u w:val="none"/>
              </w:rPr>
            </w:pPr>
            <w:r>
              <w:rPr>
                <w:sz w:val="24"/>
                <w:u w:val="none"/>
              </w:rPr>
              <w:t>项目地处</w:t>
            </w:r>
            <w:r>
              <w:rPr>
                <w:rFonts w:hint="eastAsia"/>
                <w:sz w:val="24"/>
                <w:u w:val="none"/>
              </w:rPr>
              <w:t>曲靖市宣威市羊场产业园区水泥厂大桥头起</w:t>
            </w:r>
            <w:r>
              <w:rPr>
                <w:sz w:val="24"/>
                <w:u w:val="none"/>
              </w:rPr>
              <w:t>，项目所在区域环境空气质量功能区划为二类区，执行《环境空气质量标准》（GB</w:t>
            </w:r>
            <w:r>
              <w:rPr>
                <w:rFonts w:hint="eastAsia"/>
                <w:sz w:val="24"/>
                <w:u w:val="none"/>
              </w:rPr>
              <w:t xml:space="preserve"> </w:t>
            </w:r>
            <w:r>
              <w:rPr>
                <w:sz w:val="24"/>
                <w:u w:val="none"/>
              </w:rPr>
              <w:t>3095-2012）及其修改单中的二级标准。</w:t>
            </w:r>
          </w:p>
          <w:p w14:paraId="3198ABDF">
            <w:pPr>
              <w:wordWrap w:val="0"/>
              <w:spacing w:line="360" w:lineRule="auto"/>
              <w:ind w:left="420" w:leftChars="200"/>
              <w:jc w:val="left"/>
              <w:rPr>
                <w:b/>
                <w:bCs/>
                <w:sz w:val="24"/>
                <w:u w:val="none"/>
              </w:rPr>
            </w:pPr>
            <w:r>
              <w:rPr>
                <w:rFonts w:hint="eastAsia"/>
                <w:b/>
                <w:bCs/>
                <w:sz w:val="24"/>
                <w:u w:val="none"/>
              </w:rPr>
              <w:t>1.1、基本污染物</w:t>
            </w:r>
          </w:p>
          <w:p w14:paraId="563CBBBF">
            <w:pPr>
              <w:pStyle w:val="160"/>
              <w:ind w:firstLine="480"/>
              <w:rPr>
                <w:u w:val="none"/>
              </w:rPr>
            </w:pPr>
            <w:r>
              <w:rPr>
                <w:szCs w:val="21"/>
                <w:u w:val="none"/>
              </w:rPr>
              <w:t>根据HJ</w:t>
            </w:r>
            <w:r>
              <w:rPr>
                <w:rFonts w:hint="eastAsia"/>
                <w:szCs w:val="21"/>
                <w:u w:val="none"/>
              </w:rPr>
              <w:t xml:space="preserve"> </w:t>
            </w:r>
            <w:r>
              <w:rPr>
                <w:szCs w:val="21"/>
                <w:u w:val="none"/>
              </w:rPr>
              <w:t>2.2-2018 第6.2.1.1条</w:t>
            </w:r>
            <w:r>
              <w:rPr>
                <w:rFonts w:hint="eastAsia"/>
                <w:szCs w:val="21"/>
                <w:u w:val="none"/>
              </w:rPr>
              <w:t>“</w:t>
            </w:r>
            <w:r>
              <w:rPr>
                <w:szCs w:val="21"/>
                <w:u w:val="none"/>
              </w:rPr>
              <w:t>项目所在区域达标判定，优先选用国家或地方生态环境主管部门公开发布的评价基准年环境质量公告或环境质量公告中的数据或结论</w:t>
            </w:r>
            <w:r>
              <w:rPr>
                <w:rFonts w:hint="eastAsia"/>
                <w:szCs w:val="21"/>
                <w:u w:val="none"/>
              </w:rPr>
              <w:t>”</w:t>
            </w:r>
            <w:r>
              <w:rPr>
                <w:szCs w:val="21"/>
                <w:u w:val="none"/>
              </w:rPr>
              <w:t>。</w:t>
            </w:r>
            <w:r>
              <w:rPr>
                <w:u w:val="none"/>
              </w:rPr>
              <w:t>根据云南省生态环境厅驻曲靖市生态环境监测站宣威市革香河水电开发有限公司楼顶环境空气自动监测站站点202</w:t>
            </w:r>
            <w:r>
              <w:rPr>
                <w:rFonts w:hint="eastAsia"/>
                <w:u w:val="none"/>
              </w:rPr>
              <w:t>2</w:t>
            </w:r>
            <w:r>
              <w:rPr>
                <w:u w:val="none"/>
              </w:rPr>
              <w:t>年监测公报，宣威市主城区环境空气中各污染物浓度及达标情况判定如表3-1所示。</w:t>
            </w:r>
          </w:p>
          <w:p w14:paraId="55891E2E">
            <w:pPr>
              <w:pStyle w:val="48"/>
              <w:adjustRightInd/>
              <w:snapToGrid/>
              <w:spacing w:line="360" w:lineRule="auto"/>
              <w:rPr>
                <w:sz w:val="21"/>
                <w:szCs w:val="21"/>
                <w:u w:val="none"/>
              </w:rPr>
            </w:pPr>
            <w:r>
              <w:rPr>
                <w:sz w:val="21"/>
                <w:szCs w:val="21"/>
                <w:u w:val="none"/>
              </w:rPr>
              <w:t>表3-1 区域大气环境质量现状监测结果（日均值）单位：（μg/</w:t>
            </w:r>
            <w:r>
              <w:rPr>
                <w:rFonts w:hint="eastAsia"/>
                <w:sz w:val="21"/>
                <w:szCs w:val="21"/>
                <w:u w:val="none"/>
              </w:rPr>
              <w:t>m</w:t>
            </w:r>
            <w:r>
              <w:rPr>
                <w:rFonts w:hint="eastAsia"/>
                <w:sz w:val="21"/>
                <w:szCs w:val="21"/>
                <w:u w:val="none"/>
                <w:vertAlign w:val="superscript"/>
              </w:rPr>
              <w:t>3</w:t>
            </w:r>
            <w:r>
              <w:rPr>
                <w:sz w:val="21"/>
                <w:szCs w:val="21"/>
                <w:u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2146"/>
              <w:gridCol w:w="1188"/>
              <w:gridCol w:w="1136"/>
              <w:gridCol w:w="1438"/>
              <w:gridCol w:w="1438"/>
            </w:tblGrid>
            <w:tr w14:paraId="6DFC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3B73D955">
                  <w:pPr>
                    <w:widowControl/>
                    <w:adjustRightInd w:val="0"/>
                    <w:snapToGrid w:val="0"/>
                    <w:jc w:val="center"/>
                    <w:rPr>
                      <w:bCs/>
                      <w:szCs w:val="21"/>
                      <w:u w:val="none"/>
                    </w:rPr>
                  </w:pPr>
                  <w:r>
                    <w:rPr>
                      <w:bCs/>
                      <w:szCs w:val="21"/>
                      <w:u w:val="none"/>
                      <w:lang w:bidi="ar"/>
                    </w:rPr>
                    <w:t>污染物</w:t>
                  </w:r>
                </w:p>
              </w:tc>
              <w:tc>
                <w:tcPr>
                  <w:tcW w:w="2146" w:type="dxa"/>
                  <w:tcBorders>
                    <w:top w:val="single" w:color="auto" w:sz="4" w:space="0"/>
                    <w:left w:val="single" w:color="auto" w:sz="4" w:space="0"/>
                    <w:bottom w:val="single" w:color="auto" w:sz="4" w:space="0"/>
                    <w:right w:val="single" w:color="auto" w:sz="4" w:space="0"/>
                  </w:tcBorders>
                  <w:vAlign w:val="center"/>
                </w:tcPr>
                <w:p w14:paraId="69421733">
                  <w:pPr>
                    <w:widowControl/>
                    <w:adjustRightInd w:val="0"/>
                    <w:snapToGrid w:val="0"/>
                    <w:jc w:val="center"/>
                    <w:rPr>
                      <w:bCs/>
                      <w:szCs w:val="21"/>
                      <w:u w:val="none"/>
                    </w:rPr>
                  </w:pPr>
                  <w:r>
                    <w:rPr>
                      <w:bCs/>
                      <w:szCs w:val="21"/>
                      <w:u w:val="none" w:color="auto"/>
                      <w:shd w:val="clear" w:fill="auto"/>
                      <w:lang w:bidi="ar"/>
                    </w:rPr>
                    <w:t>年</w:t>
                  </w:r>
                  <w:r>
                    <w:rPr>
                      <w:bCs/>
                      <w:szCs w:val="21"/>
                      <w:u w:val="none"/>
                      <w:lang w:bidi="ar"/>
                    </w:rPr>
                    <w:t>评价指标</w:t>
                  </w:r>
                </w:p>
              </w:tc>
              <w:tc>
                <w:tcPr>
                  <w:tcW w:w="1188" w:type="dxa"/>
                  <w:tcBorders>
                    <w:top w:val="single" w:color="auto" w:sz="4" w:space="0"/>
                    <w:left w:val="single" w:color="auto" w:sz="4" w:space="0"/>
                    <w:bottom w:val="single" w:color="auto" w:sz="4" w:space="0"/>
                    <w:right w:val="single" w:color="auto" w:sz="4" w:space="0"/>
                  </w:tcBorders>
                  <w:vAlign w:val="center"/>
                </w:tcPr>
                <w:p w14:paraId="6B28ADB4">
                  <w:pPr>
                    <w:widowControl/>
                    <w:adjustRightInd w:val="0"/>
                    <w:snapToGrid w:val="0"/>
                    <w:jc w:val="center"/>
                    <w:rPr>
                      <w:bCs/>
                      <w:szCs w:val="21"/>
                      <w:u w:val="none"/>
                    </w:rPr>
                  </w:pPr>
                  <w:r>
                    <w:rPr>
                      <w:bCs/>
                      <w:szCs w:val="21"/>
                      <w:u w:val="none"/>
                      <w:lang w:bidi="ar"/>
                    </w:rPr>
                    <w:t>浓度值</w:t>
                  </w:r>
                </w:p>
              </w:tc>
              <w:tc>
                <w:tcPr>
                  <w:tcW w:w="1136" w:type="dxa"/>
                  <w:tcBorders>
                    <w:top w:val="single" w:color="auto" w:sz="4" w:space="0"/>
                    <w:left w:val="single" w:color="auto" w:sz="4" w:space="0"/>
                    <w:bottom w:val="single" w:color="auto" w:sz="4" w:space="0"/>
                    <w:right w:val="single" w:color="auto" w:sz="4" w:space="0"/>
                  </w:tcBorders>
                  <w:vAlign w:val="center"/>
                </w:tcPr>
                <w:p w14:paraId="44EAD108">
                  <w:pPr>
                    <w:widowControl/>
                    <w:adjustRightInd w:val="0"/>
                    <w:snapToGrid w:val="0"/>
                    <w:jc w:val="center"/>
                    <w:rPr>
                      <w:bCs/>
                      <w:szCs w:val="21"/>
                      <w:u w:val="none"/>
                    </w:rPr>
                  </w:pPr>
                  <w:r>
                    <w:rPr>
                      <w:bCs/>
                      <w:szCs w:val="21"/>
                      <w:u w:val="none"/>
                      <w:lang w:bidi="ar"/>
                    </w:rPr>
                    <w:t>标准限值</w:t>
                  </w:r>
                </w:p>
              </w:tc>
              <w:tc>
                <w:tcPr>
                  <w:tcW w:w="1438" w:type="dxa"/>
                  <w:tcBorders>
                    <w:top w:val="single" w:color="auto" w:sz="4" w:space="0"/>
                    <w:left w:val="single" w:color="auto" w:sz="4" w:space="0"/>
                    <w:bottom w:val="single" w:color="auto" w:sz="4" w:space="0"/>
                    <w:right w:val="single" w:color="auto" w:sz="4" w:space="0"/>
                  </w:tcBorders>
                  <w:vAlign w:val="center"/>
                </w:tcPr>
                <w:p w14:paraId="5D33E811">
                  <w:pPr>
                    <w:widowControl/>
                    <w:adjustRightInd w:val="0"/>
                    <w:snapToGrid w:val="0"/>
                    <w:jc w:val="center"/>
                    <w:rPr>
                      <w:bCs/>
                      <w:szCs w:val="21"/>
                      <w:u w:val="none"/>
                    </w:rPr>
                  </w:pPr>
                  <w:r>
                    <w:rPr>
                      <w:bCs/>
                      <w:szCs w:val="21"/>
                      <w:u w:val="none"/>
                      <w:lang w:bidi="ar"/>
                    </w:rPr>
                    <w:t>占标率（%）</w:t>
                  </w:r>
                </w:p>
              </w:tc>
              <w:tc>
                <w:tcPr>
                  <w:tcW w:w="1438" w:type="dxa"/>
                  <w:tcBorders>
                    <w:top w:val="single" w:color="auto" w:sz="4" w:space="0"/>
                    <w:left w:val="single" w:color="auto" w:sz="4" w:space="0"/>
                    <w:bottom w:val="single" w:color="auto" w:sz="4" w:space="0"/>
                    <w:right w:val="single" w:color="auto" w:sz="4" w:space="0"/>
                  </w:tcBorders>
                  <w:vAlign w:val="center"/>
                </w:tcPr>
                <w:p w14:paraId="6D04BB26">
                  <w:pPr>
                    <w:widowControl/>
                    <w:adjustRightInd w:val="0"/>
                    <w:snapToGrid w:val="0"/>
                    <w:jc w:val="center"/>
                    <w:rPr>
                      <w:bCs/>
                      <w:szCs w:val="21"/>
                      <w:u w:val="none"/>
                    </w:rPr>
                  </w:pPr>
                  <w:r>
                    <w:rPr>
                      <w:bCs/>
                      <w:szCs w:val="21"/>
                      <w:u w:val="none"/>
                      <w:lang w:bidi="ar"/>
                    </w:rPr>
                    <w:t>达标情况</w:t>
                  </w:r>
                </w:p>
              </w:tc>
            </w:tr>
            <w:tr w14:paraId="6C18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41DFA66D">
                  <w:pPr>
                    <w:widowControl/>
                    <w:adjustRightInd w:val="0"/>
                    <w:snapToGrid w:val="0"/>
                    <w:jc w:val="center"/>
                    <w:rPr>
                      <w:bCs/>
                      <w:szCs w:val="21"/>
                      <w:u w:val="none"/>
                    </w:rPr>
                  </w:pPr>
                  <w:r>
                    <w:rPr>
                      <w:szCs w:val="21"/>
                      <w:u w:val="none"/>
                      <w:lang w:bidi="ar"/>
                    </w:rPr>
                    <w:t>SO</w:t>
                  </w:r>
                  <w:r>
                    <w:rPr>
                      <w:szCs w:val="21"/>
                      <w:u w:val="none"/>
                      <w:vertAlign w:val="subscript"/>
                      <w:lang w:bidi="ar"/>
                    </w:rPr>
                    <w:t>2</w:t>
                  </w:r>
                </w:p>
              </w:tc>
              <w:tc>
                <w:tcPr>
                  <w:tcW w:w="2146" w:type="dxa"/>
                  <w:tcBorders>
                    <w:top w:val="single" w:color="auto" w:sz="4" w:space="0"/>
                    <w:left w:val="single" w:color="auto" w:sz="4" w:space="0"/>
                    <w:bottom w:val="single" w:color="auto" w:sz="4" w:space="0"/>
                    <w:right w:val="single" w:color="auto" w:sz="4" w:space="0"/>
                  </w:tcBorders>
                  <w:vAlign w:val="center"/>
                </w:tcPr>
                <w:p w14:paraId="145AA763">
                  <w:pPr>
                    <w:widowControl/>
                    <w:adjustRightInd w:val="0"/>
                    <w:snapToGrid w:val="0"/>
                    <w:jc w:val="center"/>
                    <w:rPr>
                      <w:bCs/>
                      <w:szCs w:val="21"/>
                      <w:u w:val="none"/>
                    </w:rPr>
                  </w:pPr>
                  <w:r>
                    <w:rPr>
                      <w:bCs/>
                      <w:szCs w:val="21"/>
                      <w:u w:val="none"/>
                      <w:lang w:bidi="ar"/>
                    </w:rPr>
                    <w:t>年</w:t>
                  </w:r>
                  <w:r>
                    <w:rPr>
                      <w:rFonts w:hint="eastAsia"/>
                      <w:bCs/>
                      <w:szCs w:val="21"/>
                      <w:u w:val="none"/>
                      <w:lang w:bidi="ar"/>
                    </w:rPr>
                    <w:t>平</w:t>
                  </w:r>
                  <w:r>
                    <w:rPr>
                      <w:bCs/>
                      <w:szCs w:val="21"/>
                      <w:u w:val="none"/>
                      <w:lang w:bidi="ar"/>
                    </w:rPr>
                    <w:t>均质量</w:t>
                  </w:r>
                  <w:r>
                    <w:rPr>
                      <w:bCs/>
                      <w:szCs w:val="21"/>
                      <w:u w:val="thick" w:color="FFB03A"/>
                      <w:shd w:val="clear" w:fill="FFEFD7"/>
                      <w:lang w:bidi="ar"/>
                    </w:rPr>
                    <w:t>浓度</w:t>
                  </w:r>
                </w:p>
              </w:tc>
              <w:tc>
                <w:tcPr>
                  <w:tcW w:w="1188" w:type="dxa"/>
                  <w:tcBorders>
                    <w:top w:val="single" w:color="auto" w:sz="4" w:space="0"/>
                    <w:left w:val="single" w:color="auto" w:sz="4" w:space="0"/>
                    <w:bottom w:val="single" w:color="auto" w:sz="4" w:space="0"/>
                    <w:right w:val="single" w:color="auto" w:sz="4" w:space="0"/>
                  </w:tcBorders>
                  <w:vAlign w:val="center"/>
                </w:tcPr>
                <w:p w14:paraId="73EB1B44">
                  <w:pPr>
                    <w:widowControl/>
                    <w:adjustRightInd w:val="0"/>
                    <w:snapToGrid w:val="0"/>
                    <w:jc w:val="center"/>
                    <w:rPr>
                      <w:bCs/>
                      <w:szCs w:val="21"/>
                      <w:u w:val="none"/>
                    </w:rPr>
                  </w:pPr>
                  <w:r>
                    <w:rPr>
                      <w:rFonts w:hint="eastAsia"/>
                      <w:bCs/>
                      <w:szCs w:val="21"/>
                      <w:u w:val="none"/>
                      <w:lang w:bidi="ar"/>
                    </w:rPr>
                    <w:t>10</w:t>
                  </w:r>
                </w:p>
              </w:tc>
              <w:tc>
                <w:tcPr>
                  <w:tcW w:w="1136" w:type="dxa"/>
                  <w:tcBorders>
                    <w:top w:val="single" w:color="auto" w:sz="4" w:space="0"/>
                    <w:left w:val="single" w:color="auto" w:sz="4" w:space="0"/>
                    <w:bottom w:val="single" w:color="auto" w:sz="4" w:space="0"/>
                    <w:right w:val="single" w:color="auto" w:sz="4" w:space="0"/>
                  </w:tcBorders>
                  <w:vAlign w:val="center"/>
                </w:tcPr>
                <w:p w14:paraId="3A206D06">
                  <w:pPr>
                    <w:widowControl/>
                    <w:adjustRightInd w:val="0"/>
                    <w:snapToGrid w:val="0"/>
                    <w:jc w:val="center"/>
                    <w:rPr>
                      <w:bCs/>
                      <w:szCs w:val="21"/>
                      <w:u w:val="none"/>
                    </w:rPr>
                  </w:pPr>
                  <w:r>
                    <w:rPr>
                      <w:bCs/>
                      <w:szCs w:val="21"/>
                      <w:u w:val="none"/>
                      <w:lang w:bidi="ar"/>
                    </w:rPr>
                    <w:t>60</w:t>
                  </w:r>
                </w:p>
              </w:tc>
              <w:tc>
                <w:tcPr>
                  <w:tcW w:w="1438" w:type="dxa"/>
                  <w:tcBorders>
                    <w:top w:val="single" w:color="auto" w:sz="4" w:space="0"/>
                    <w:left w:val="single" w:color="auto" w:sz="4" w:space="0"/>
                    <w:bottom w:val="single" w:color="auto" w:sz="4" w:space="0"/>
                    <w:right w:val="single" w:color="auto" w:sz="4" w:space="0"/>
                  </w:tcBorders>
                  <w:vAlign w:val="center"/>
                </w:tcPr>
                <w:p w14:paraId="1948EFA7">
                  <w:pPr>
                    <w:widowControl/>
                    <w:adjustRightInd w:val="0"/>
                    <w:snapToGrid w:val="0"/>
                    <w:jc w:val="center"/>
                    <w:rPr>
                      <w:bCs/>
                      <w:szCs w:val="21"/>
                      <w:u w:val="none"/>
                    </w:rPr>
                  </w:pPr>
                  <w:r>
                    <w:rPr>
                      <w:rFonts w:hint="eastAsia"/>
                      <w:bCs/>
                      <w:szCs w:val="21"/>
                      <w:u w:val="none"/>
                      <w:lang w:bidi="ar"/>
                    </w:rPr>
                    <w:t>16.7</w:t>
                  </w:r>
                </w:p>
              </w:tc>
              <w:tc>
                <w:tcPr>
                  <w:tcW w:w="1438" w:type="dxa"/>
                  <w:tcBorders>
                    <w:top w:val="single" w:color="auto" w:sz="4" w:space="0"/>
                    <w:left w:val="single" w:color="auto" w:sz="4" w:space="0"/>
                    <w:bottom w:val="single" w:color="auto" w:sz="4" w:space="0"/>
                    <w:right w:val="single" w:color="auto" w:sz="4" w:space="0"/>
                  </w:tcBorders>
                  <w:vAlign w:val="center"/>
                </w:tcPr>
                <w:p w14:paraId="6FC9EF39">
                  <w:pPr>
                    <w:widowControl/>
                    <w:adjustRightInd w:val="0"/>
                    <w:snapToGrid w:val="0"/>
                    <w:jc w:val="center"/>
                    <w:rPr>
                      <w:bCs/>
                      <w:szCs w:val="21"/>
                      <w:u w:val="none"/>
                    </w:rPr>
                  </w:pPr>
                  <w:r>
                    <w:rPr>
                      <w:bCs/>
                      <w:szCs w:val="21"/>
                      <w:u w:val="none"/>
                      <w:lang w:bidi="ar"/>
                    </w:rPr>
                    <w:t>达标</w:t>
                  </w:r>
                </w:p>
              </w:tc>
            </w:tr>
            <w:tr w14:paraId="215F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312840D0">
                  <w:pPr>
                    <w:widowControl/>
                    <w:adjustRightInd w:val="0"/>
                    <w:snapToGrid w:val="0"/>
                    <w:jc w:val="center"/>
                    <w:rPr>
                      <w:bCs/>
                      <w:szCs w:val="21"/>
                      <w:u w:val="none"/>
                    </w:rPr>
                  </w:pPr>
                  <w:r>
                    <w:rPr>
                      <w:szCs w:val="21"/>
                      <w:u w:val="none"/>
                      <w:lang w:bidi="ar"/>
                    </w:rPr>
                    <w:t>NO</w:t>
                  </w:r>
                  <w:r>
                    <w:rPr>
                      <w:szCs w:val="21"/>
                      <w:u w:val="none"/>
                      <w:vertAlign w:val="subscript"/>
                      <w:lang w:bidi="ar"/>
                    </w:rPr>
                    <w:t>2</w:t>
                  </w:r>
                </w:p>
              </w:tc>
              <w:tc>
                <w:tcPr>
                  <w:tcW w:w="2146" w:type="dxa"/>
                  <w:tcBorders>
                    <w:top w:val="single" w:color="auto" w:sz="4" w:space="0"/>
                    <w:left w:val="single" w:color="auto" w:sz="4" w:space="0"/>
                    <w:bottom w:val="single" w:color="auto" w:sz="4" w:space="0"/>
                    <w:right w:val="single" w:color="auto" w:sz="4" w:space="0"/>
                  </w:tcBorders>
                  <w:vAlign w:val="center"/>
                </w:tcPr>
                <w:p w14:paraId="1460C717">
                  <w:pPr>
                    <w:widowControl/>
                    <w:adjustRightInd w:val="0"/>
                    <w:snapToGrid w:val="0"/>
                    <w:jc w:val="center"/>
                    <w:rPr>
                      <w:bCs/>
                      <w:szCs w:val="21"/>
                      <w:u w:val="none"/>
                    </w:rPr>
                  </w:pPr>
                  <w:r>
                    <w:rPr>
                      <w:bCs/>
                      <w:szCs w:val="21"/>
                      <w:u w:val="none"/>
                      <w:lang w:bidi="ar"/>
                    </w:rPr>
                    <w:t>年</w:t>
                  </w:r>
                  <w:r>
                    <w:rPr>
                      <w:rFonts w:hint="eastAsia"/>
                      <w:bCs/>
                      <w:szCs w:val="21"/>
                      <w:u w:val="none"/>
                      <w:lang w:bidi="ar"/>
                    </w:rPr>
                    <w:t>平</w:t>
                  </w:r>
                  <w:r>
                    <w:rPr>
                      <w:bCs/>
                      <w:szCs w:val="21"/>
                      <w:u w:val="none"/>
                      <w:lang w:bidi="ar"/>
                    </w:rPr>
                    <w:t>均质量</w:t>
                  </w:r>
                  <w:r>
                    <w:rPr>
                      <w:bCs/>
                      <w:szCs w:val="21"/>
                      <w:u w:val="thick" w:color="FFB03A"/>
                      <w:shd w:val="clear" w:fill="FFEFD7"/>
                      <w:lang w:bidi="ar"/>
                    </w:rPr>
                    <w:t>浓度</w:t>
                  </w:r>
                </w:p>
              </w:tc>
              <w:tc>
                <w:tcPr>
                  <w:tcW w:w="1188" w:type="dxa"/>
                  <w:tcBorders>
                    <w:top w:val="single" w:color="auto" w:sz="4" w:space="0"/>
                    <w:left w:val="single" w:color="auto" w:sz="4" w:space="0"/>
                    <w:bottom w:val="single" w:color="auto" w:sz="4" w:space="0"/>
                    <w:right w:val="single" w:color="auto" w:sz="4" w:space="0"/>
                  </w:tcBorders>
                  <w:vAlign w:val="center"/>
                </w:tcPr>
                <w:p w14:paraId="1FCA37F7">
                  <w:pPr>
                    <w:widowControl/>
                    <w:adjustRightInd w:val="0"/>
                    <w:snapToGrid w:val="0"/>
                    <w:jc w:val="center"/>
                    <w:rPr>
                      <w:bCs/>
                      <w:szCs w:val="21"/>
                      <w:u w:val="none"/>
                    </w:rPr>
                  </w:pPr>
                  <w:r>
                    <w:rPr>
                      <w:bCs/>
                      <w:szCs w:val="21"/>
                      <w:u w:val="none"/>
                      <w:lang w:bidi="ar"/>
                    </w:rPr>
                    <w:t>12</w:t>
                  </w:r>
                </w:p>
              </w:tc>
              <w:tc>
                <w:tcPr>
                  <w:tcW w:w="1136" w:type="dxa"/>
                  <w:tcBorders>
                    <w:top w:val="single" w:color="auto" w:sz="4" w:space="0"/>
                    <w:left w:val="single" w:color="auto" w:sz="4" w:space="0"/>
                    <w:bottom w:val="single" w:color="auto" w:sz="4" w:space="0"/>
                    <w:right w:val="single" w:color="auto" w:sz="4" w:space="0"/>
                  </w:tcBorders>
                  <w:vAlign w:val="center"/>
                </w:tcPr>
                <w:p w14:paraId="68DF6D36">
                  <w:pPr>
                    <w:widowControl/>
                    <w:adjustRightInd w:val="0"/>
                    <w:snapToGrid w:val="0"/>
                    <w:jc w:val="center"/>
                    <w:rPr>
                      <w:bCs/>
                      <w:szCs w:val="21"/>
                      <w:u w:val="none"/>
                    </w:rPr>
                  </w:pPr>
                  <w:r>
                    <w:rPr>
                      <w:bCs/>
                      <w:szCs w:val="21"/>
                      <w:u w:val="none"/>
                      <w:lang w:bidi="ar"/>
                    </w:rPr>
                    <w:t>40</w:t>
                  </w:r>
                </w:p>
              </w:tc>
              <w:tc>
                <w:tcPr>
                  <w:tcW w:w="1438" w:type="dxa"/>
                  <w:tcBorders>
                    <w:top w:val="single" w:color="auto" w:sz="4" w:space="0"/>
                    <w:left w:val="single" w:color="auto" w:sz="4" w:space="0"/>
                    <w:bottom w:val="single" w:color="auto" w:sz="4" w:space="0"/>
                    <w:right w:val="single" w:color="auto" w:sz="4" w:space="0"/>
                  </w:tcBorders>
                  <w:vAlign w:val="center"/>
                </w:tcPr>
                <w:p w14:paraId="2088792C">
                  <w:pPr>
                    <w:widowControl/>
                    <w:adjustRightInd w:val="0"/>
                    <w:snapToGrid w:val="0"/>
                    <w:jc w:val="center"/>
                    <w:rPr>
                      <w:bCs/>
                      <w:szCs w:val="21"/>
                      <w:u w:val="none"/>
                    </w:rPr>
                  </w:pPr>
                  <w:r>
                    <w:rPr>
                      <w:bCs/>
                      <w:szCs w:val="21"/>
                      <w:u w:val="none"/>
                      <w:lang w:bidi="ar"/>
                    </w:rPr>
                    <w:t>30</w:t>
                  </w:r>
                </w:p>
              </w:tc>
              <w:tc>
                <w:tcPr>
                  <w:tcW w:w="1438" w:type="dxa"/>
                  <w:tcBorders>
                    <w:top w:val="single" w:color="auto" w:sz="4" w:space="0"/>
                    <w:left w:val="single" w:color="auto" w:sz="4" w:space="0"/>
                    <w:bottom w:val="single" w:color="auto" w:sz="4" w:space="0"/>
                    <w:right w:val="single" w:color="auto" w:sz="4" w:space="0"/>
                  </w:tcBorders>
                  <w:vAlign w:val="center"/>
                </w:tcPr>
                <w:p w14:paraId="6FB80605">
                  <w:pPr>
                    <w:widowControl/>
                    <w:adjustRightInd w:val="0"/>
                    <w:snapToGrid w:val="0"/>
                    <w:jc w:val="center"/>
                    <w:rPr>
                      <w:bCs/>
                      <w:szCs w:val="21"/>
                      <w:u w:val="none"/>
                    </w:rPr>
                  </w:pPr>
                  <w:r>
                    <w:rPr>
                      <w:bCs/>
                      <w:szCs w:val="21"/>
                      <w:u w:val="none"/>
                      <w:lang w:bidi="ar"/>
                    </w:rPr>
                    <w:t>达标</w:t>
                  </w:r>
                </w:p>
              </w:tc>
            </w:tr>
            <w:tr w14:paraId="5D9B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6C102A1">
                  <w:pPr>
                    <w:widowControl/>
                    <w:adjustRightInd w:val="0"/>
                    <w:snapToGrid w:val="0"/>
                    <w:jc w:val="center"/>
                    <w:rPr>
                      <w:bCs/>
                      <w:szCs w:val="21"/>
                      <w:u w:val="none"/>
                    </w:rPr>
                  </w:pPr>
                  <w:r>
                    <w:rPr>
                      <w:szCs w:val="21"/>
                      <w:u w:val="none"/>
                      <w:lang w:bidi="ar"/>
                    </w:rPr>
                    <w:t>PM</w:t>
                  </w:r>
                  <w:r>
                    <w:rPr>
                      <w:szCs w:val="21"/>
                      <w:u w:val="none"/>
                      <w:vertAlign w:val="subscript"/>
                      <w:lang w:bidi="ar"/>
                    </w:rPr>
                    <w:t>10</w:t>
                  </w:r>
                </w:p>
              </w:tc>
              <w:tc>
                <w:tcPr>
                  <w:tcW w:w="2146" w:type="dxa"/>
                  <w:tcBorders>
                    <w:top w:val="single" w:color="auto" w:sz="4" w:space="0"/>
                    <w:left w:val="single" w:color="auto" w:sz="4" w:space="0"/>
                    <w:bottom w:val="single" w:color="auto" w:sz="4" w:space="0"/>
                    <w:right w:val="single" w:color="auto" w:sz="4" w:space="0"/>
                  </w:tcBorders>
                  <w:vAlign w:val="center"/>
                </w:tcPr>
                <w:p w14:paraId="57AA25BF">
                  <w:pPr>
                    <w:widowControl/>
                    <w:adjustRightInd w:val="0"/>
                    <w:snapToGrid w:val="0"/>
                    <w:jc w:val="center"/>
                    <w:rPr>
                      <w:bCs/>
                      <w:szCs w:val="21"/>
                      <w:u w:val="none"/>
                    </w:rPr>
                  </w:pPr>
                  <w:r>
                    <w:rPr>
                      <w:bCs/>
                      <w:szCs w:val="21"/>
                      <w:u w:val="none"/>
                      <w:lang w:bidi="ar"/>
                    </w:rPr>
                    <w:t>年</w:t>
                  </w:r>
                  <w:r>
                    <w:rPr>
                      <w:rFonts w:hint="eastAsia"/>
                      <w:bCs/>
                      <w:szCs w:val="21"/>
                      <w:u w:val="none"/>
                      <w:lang w:bidi="ar"/>
                    </w:rPr>
                    <w:t>平</w:t>
                  </w:r>
                  <w:r>
                    <w:rPr>
                      <w:bCs/>
                      <w:szCs w:val="21"/>
                      <w:u w:val="none"/>
                      <w:lang w:bidi="ar"/>
                    </w:rPr>
                    <w:t>均质量</w:t>
                  </w:r>
                  <w:r>
                    <w:rPr>
                      <w:bCs/>
                      <w:szCs w:val="21"/>
                      <w:u w:val="thick" w:color="FFB03A"/>
                      <w:shd w:val="clear" w:fill="FFEFD7"/>
                      <w:lang w:bidi="ar"/>
                    </w:rPr>
                    <w:t>浓度</w:t>
                  </w:r>
                </w:p>
              </w:tc>
              <w:tc>
                <w:tcPr>
                  <w:tcW w:w="1188" w:type="dxa"/>
                  <w:tcBorders>
                    <w:top w:val="single" w:color="auto" w:sz="4" w:space="0"/>
                    <w:left w:val="single" w:color="auto" w:sz="4" w:space="0"/>
                    <w:bottom w:val="single" w:color="auto" w:sz="4" w:space="0"/>
                    <w:right w:val="single" w:color="auto" w:sz="4" w:space="0"/>
                  </w:tcBorders>
                  <w:vAlign w:val="center"/>
                </w:tcPr>
                <w:p w14:paraId="763BA927">
                  <w:pPr>
                    <w:widowControl/>
                    <w:adjustRightInd w:val="0"/>
                    <w:snapToGrid w:val="0"/>
                    <w:jc w:val="center"/>
                    <w:rPr>
                      <w:bCs/>
                      <w:szCs w:val="21"/>
                      <w:u w:val="none"/>
                    </w:rPr>
                  </w:pPr>
                  <w:r>
                    <w:rPr>
                      <w:rFonts w:hint="eastAsia"/>
                      <w:bCs/>
                      <w:szCs w:val="21"/>
                      <w:u w:val="none"/>
                      <w:lang w:bidi="ar"/>
                    </w:rPr>
                    <w:t>31</w:t>
                  </w:r>
                </w:p>
              </w:tc>
              <w:tc>
                <w:tcPr>
                  <w:tcW w:w="1136" w:type="dxa"/>
                  <w:tcBorders>
                    <w:top w:val="single" w:color="auto" w:sz="4" w:space="0"/>
                    <w:left w:val="single" w:color="auto" w:sz="4" w:space="0"/>
                    <w:bottom w:val="single" w:color="auto" w:sz="4" w:space="0"/>
                    <w:right w:val="single" w:color="auto" w:sz="4" w:space="0"/>
                  </w:tcBorders>
                  <w:vAlign w:val="center"/>
                </w:tcPr>
                <w:p w14:paraId="07AD3E74">
                  <w:pPr>
                    <w:widowControl/>
                    <w:adjustRightInd w:val="0"/>
                    <w:snapToGrid w:val="0"/>
                    <w:jc w:val="center"/>
                    <w:rPr>
                      <w:bCs/>
                      <w:szCs w:val="21"/>
                      <w:u w:val="none"/>
                    </w:rPr>
                  </w:pPr>
                  <w:r>
                    <w:rPr>
                      <w:bCs/>
                      <w:szCs w:val="21"/>
                      <w:u w:val="none"/>
                      <w:lang w:bidi="ar"/>
                    </w:rPr>
                    <w:t>70</w:t>
                  </w:r>
                </w:p>
              </w:tc>
              <w:tc>
                <w:tcPr>
                  <w:tcW w:w="1438" w:type="dxa"/>
                  <w:tcBorders>
                    <w:top w:val="single" w:color="auto" w:sz="4" w:space="0"/>
                    <w:left w:val="single" w:color="auto" w:sz="4" w:space="0"/>
                    <w:bottom w:val="single" w:color="auto" w:sz="4" w:space="0"/>
                    <w:right w:val="single" w:color="auto" w:sz="4" w:space="0"/>
                  </w:tcBorders>
                  <w:vAlign w:val="center"/>
                </w:tcPr>
                <w:p w14:paraId="19425DFC">
                  <w:pPr>
                    <w:widowControl/>
                    <w:adjustRightInd w:val="0"/>
                    <w:snapToGrid w:val="0"/>
                    <w:jc w:val="center"/>
                    <w:rPr>
                      <w:bCs/>
                      <w:szCs w:val="21"/>
                      <w:u w:val="none"/>
                    </w:rPr>
                  </w:pPr>
                  <w:r>
                    <w:rPr>
                      <w:rFonts w:hint="eastAsia"/>
                      <w:bCs/>
                      <w:szCs w:val="21"/>
                      <w:u w:val="none"/>
                      <w:lang w:bidi="ar"/>
                    </w:rPr>
                    <w:t>44.3</w:t>
                  </w:r>
                </w:p>
              </w:tc>
              <w:tc>
                <w:tcPr>
                  <w:tcW w:w="1438" w:type="dxa"/>
                  <w:tcBorders>
                    <w:top w:val="single" w:color="auto" w:sz="4" w:space="0"/>
                    <w:left w:val="single" w:color="auto" w:sz="4" w:space="0"/>
                    <w:bottom w:val="single" w:color="auto" w:sz="4" w:space="0"/>
                    <w:right w:val="single" w:color="auto" w:sz="4" w:space="0"/>
                  </w:tcBorders>
                  <w:vAlign w:val="center"/>
                </w:tcPr>
                <w:p w14:paraId="67A2DA8F">
                  <w:pPr>
                    <w:widowControl/>
                    <w:adjustRightInd w:val="0"/>
                    <w:snapToGrid w:val="0"/>
                    <w:jc w:val="center"/>
                    <w:rPr>
                      <w:bCs/>
                      <w:szCs w:val="21"/>
                      <w:u w:val="none"/>
                    </w:rPr>
                  </w:pPr>
                  <w:r>
                    <w:rPr>
                      <w:bCs/>
                      <w:szCs w:val="21"/>
                      <w:u w:val="none"/>
                      <w:lang w:bidi="ar"/>
                    </w:rPr>
                    <w:t>达标</w:t>
                  </w:r>
                </w:p>
              </w:tc>
            </w:tr>
            <w:tr w14:paraId="72E1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4E0091E">
                  <w:pPr>
                    <w:widowControl/>
                    <w:adjustRightInd w:val="0"/>
                    <w:snapToGrid w:val="0"/>
                    <w:jc w:val="center"/>
                    <w:rPr>
                      <w:szCs w:val="21"/>
                      <w:u w:val="none"/>
                    </w:rPr>
                  </w:pPr>
                  <w:r>
                    <w:rPr>
                      <w:szCs w:val="21"/>
                      <w:u w:val="none"/>
                      <w:lang w:bidi="ar"/>
                    </w:rPr>
                    <w:t>PM</w:t>
                  </w:r>
                  <w:r>
                    <w:rPr>
                      <w:rFonts w:hint="eastAsia"/>
                      <w:szCs w:val="21"/>
                      <w:u w:val="none"/>
                      <w:vertAlign w:val="subscript"/>
                      <w:lang w:bidi="ar"/>
                    </w:rPr>
                    <w:t>2.5</w:t>
                  </w:r>
                </w:p>
              </w:tc>
              <w:tc>
                <w:tcPr>
                  <w:tcW w:w="2146" w:type="dxa"/>
                  <w:tcBorders>
                    <w:top w:val="single" w:color="auto" w:sz="4" w:space="0"/>
                    <w:left w:val="single" w:color="auto" w:sz="4" w:space="0"/>
                    <w:bottom w:val="single" w:color="auto" w:sz="4" w:space="0"/>
                    <w:right w:val="single" w:color="auto" w:sz="4" w:space="0"/>
                  </w:tcBorders>
                  <w:vAlign w:val="center"/>
                </w:tcPr>
                <w:p w14:paraId="3601580B">
                  <w:pPr>
                    <w:widowControl/>
                    <w:adjustRightInd w:val="0"/>
                    <w:snapToGrid w:val="0"/>
                    <w:jc w:val="center"/>
                    <w:rPr>
                      <w:bCs/>
                      <w:szCs w:val="21"/>
                      <w:u w:val="none"/>
                    </w:rPr>
                  </w:pPr>
                  <w:r>
                    <w:rPr>
                      <w:bCs/>
                      <w:szCs w:val="21"/>
                      <w:u w:val="none"/>
                      <w:lang w:bidi="ar"/>
                    </w:rPr>
                    <w:t>年</w:t>
                  </w:r>
                  <w:r>
                    <w:rPr>
                      <w:rFonts w:hint="eastAsia"/>
                      <w:bCs/>
                      <w:szCs w:val="21"/>
                      <w:u w:val="none"/>
                      <w:lang w:bidi="ar"/>
                    </w:rPr>
                    <w:t>平</w:t>
                  </w:r>
                  <w:r>
                    <w:rPr>
                      <w:bCs/>
                      <w:szCs w:val="21"/>
                      <w:u w:val="none"/>
                      <w:lang w:bidi="ar"/>
                    </w:rPr>
                    <w:t>均质量浓度</w:t>
                  </w:r>
                </w:p>
              </w:tc>
              <w:tc>
                <w:tcPr>
                  <w:tcW w:w="1188" w:type="dxa"/>
                  <w:tcBorders>
                    <w:top w:val="single" w:color="auto" w:sz="4" w:space="0"/>
                    <w:left w:val="single" w:color="auto" w:sz="4" w:space="0"/>
                    <w:bottom w:val="single" w:color="auto" w:sz="4" w:space="0"/>
                    <w:right w:val="single" w:color="auto" w:sz="4" w:space="0"/>
                  </w:tcBorders>
                  <w:vAlign w:val="center"/>
                </w:tcPr>
                <w:p w14:paraId="621ED5F2">
                  <w:pPr>
                    <w:widowControl/>
                    <w:adjustRightInd w:val="0"/>
                    <w:snapToGrid w:val="0"/>
                    <w:jc w:val="center"/>
                    <w:rPr>
                      <w:bCs/>
                      <w:szCs w:val="21"/>
                      <w:u w:val="none"/>
                    </w:rPr>
                  </w:pPr>
                  <w:r>
                    <w:rPr>
                      <w:rFonts w:hint="eastAsia"/>
                      <w:bCs/>
                      <w:szCs w:val="21"/>
                      <w:u w:val="none"/>
                      <w:lang w:bidi="ar"/>
                    </w:rPr>
                    <w:t>15</w:t>
                  </w:r>
                </w:p>
              </w:tc>
              <w:tc>
                <w:tcPr>
                  <w:tcW w:w="1136" w:type="dxa"/>
                  <w:tcBorders>
                    <w:top w:val="single" w:color="auto" w:sz="4" w:space="0"/>
                    <w:left w:val="single" w:color="auto" w:sz="4" w:space="0"/>
                    <w:bottom w:val="single" w:color="auto" w:sz="4" w:space="0"/>
                    <w:right w:val="single" w:color="auto" w:sz="4" w:space="0"/>
                  </w:tcBorders>
                  <w:vAlign w:val="center"/>
                </w:tcPr>
                <w:p w14:paraId="29BB6218">
                  <w:pPr>
                    <w:widowControl/>
                    <w:adjustRightInd w:val="0"/>
                    <w:snapToGrid w:val="0"/>
                    <w:jc w:val="center"/>
                    <w:rPr>
                      <w:bCs/>
                      <w:szCs w:val="21"/>
                      <w:u w:val="none"/>
                    </w:rPr>
                  </w:pPr>
                  <w:r>
                    <w:rPr>
                      <w:bCs/>
                      <w:szCs w:val="21"/>
                      <w:u w:val="none"/>
                      <w:lang w:bidi="ar"/>
                    </w:rPr>
                    <w:t>35</w:t>
                  </w:r>
                </w:p>
              </w:tc>
              <w:tc>
                <w:tcPr>
                  <w:tcW w:w="1438" w:type="dxa"/>
                  <w:tcBorders>
                    <w:top w:val="single" w:color="auto" w:sz="4" w:space="0"/>
                    <w:left w:val="single" w:color="auto" w:sz="4" w:space="0"/>
                    <w:bottom w:val="single" w:color="auto" w:sz="4" w:space="0"/>
                    <w:right w:val="single" w:color="auto" w:sz="4" w:space="0"/>
                  </w:tcBorders>
                  <w:vAlign w:val="center"/>
                </w:tcPr>
                <w:p w14:paraId="22421137">
                  <w:pPr>
                    <w:widowControl/>
                    <w:adjustRightInd w:val="0"/>
                    <w:snapToGrid w:val="0"/>
                    <w:jc w:val="center"/>
                    <w:rPr>
                      <w:bCs/>
                      <w:szCs w:val="21"/>
                      <w:u w:val="none"/>
                    </w:rPr>
                  </w:pPr>
                  <w:r>
                    <w:rPr>
                      <w:rFonts w:hint="eastAsia"/>
                      <w:bCs/>
                      <w:szCs w:val="21"/>
                      <w:u w:val="none"/>
                      <w:lang w:bidi="ar"/>
                    </w:rPr>
                    <w:t>42.9</w:t>
                  </w:r>
                </w:p>
              </w:tc>
              <w:tc>
                <w:tcPr>
                  <w:tcW w:w="1438" w:type="dxa"/>
                  <w:tcBorders>
                    <w:top w:val="single" w:color="auto" w:sz="4" w:space="0"/>
                    <w:left w:val="single" w:color="auto" w:sz="4" w:space="0"/>
                    <w:bottom w:val="single" w:color="auto" w:sz="4" w:space="0"/>
                    <w:right w:val="single" w:color="auto" w:sz="4" w:space="0"/>
                  </w:tcBorders>
                  <w:vAlign w:val="center"/>
                </w:tcPr>
                <w:p w14:paraId="353B8626">
                  <w:pPr>
                    <w:widowControl/>
                    <w:adjustRightInd w:val="0"/>
                    <w:snapToGrid w:val="0"/>
                    <w:jc w:val="center"/>
                    <w:rPr>
                      <w:bCs/>
                      <w:szCs w:val="21"/>
                      <w:u w:val="none"/>
                    </w:rPr>
                  </w:pPr>
                  <w:r>
                    <w:rPr>
                      <w:bCs/>
                      <w:szCs w:val="21"/>
                      <w:u w:val="none"/>
                      <w:lang w:bidi="ar"/>
                    </w:rPr>
                    <w:t>达标</w:t>
                  </w:r>
                </w:p>
              </w:tc>
            </w:tr>
            <w:tr w14:paraId="3032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1A76F3ED">
                  <w:pPr>
                    <w:widowControl/>
                    <w:adjustRightInd w:val="0"/>
                    <w:snapToGrid w:val="0"/>
                    <w:jc w:val="center"/>
                    <w:rPr>
                      <w:szCs w:val="21"/>
                      <w:u w:val="none"/>
                    </w:rPr>
                  </w:pPr>
                  <w:r>
                    <w:rPr>
                      <w:szCs w:val="21"/>
                      <w:u w:val="none"/>
                      <w:lang w:bidi="ar"/>
                    </w:rPr>
                    <w:t>CO</w:t>
                  </w:r>
                </w:p>
              </w:tc>
              <w:tc>
                <w:tcPr>
                  <w:tcW w:w="2146" w:type="dxa"/>
                  <w:tcBorders>
                    <w:top w:val="single" w:color="auto" w:sz="4" w:space="0"/>
                    <w:left w:val="single" w:color="auto" w:sz="4" w:space="0"/>
                    <w:bottom w:val="single" w:color="auto" w:sz="4" w:space="0"/>
                    <w:right w:val="single" w:color="auto" w:sz="4" w:space="0"/>
                  </w:tcBorders>
                  <w:vAlign w:val="center"/>
                </w:tcPr>
                <w:p w14:paraId="57A168EB">
                  <w:pPr>
                    <w:widowControl/>
                    <w:adjustRightInd w:val="0"/>
                    <w:snapToGrid w:val="0"/>
                    <w:jc w:val="center"/>
                    <w:rPr>
                      <w:bCs/>
                      <w:szCs w:val="21"/>
                      <w:u w:val="none"/>
                    </w:rPr>
                  </w:pPr>
                  <w:r>
                    <w:rPr>
                      <w:bCs/>
                      <w:szCs w:val="21"/>
                      <w:u w:val="none"/>
                      <w:lang w:bidi="ar"/>
                    </w:rPr>
                    <w:t>24小时平均质量浓度，第95位百分数</w:t>
                  </w:r>
                </w:p>
              </w:tc>
              <w:tc>
                <w:tcPr>
                  <w:tcW w:w="1188" w:type="dxa"/>
                  <w:tcBorders>
                    <w:top w:val="single" w:color="auto" w:sz="4" w:space="0"/>
                    <w:left w:val="single" w:color="auto" w:sz="4" w:space="0"/>
                    <w:bottom w:val="single" w:color="auto" w:sz="4" w:space="0"/>
                    <w:right w:val="single" w:color="auto" w:sz="4" w:space="0"/>
                  </w:tcBorders>
                  <w:vAlign w:val="center"/>
                </w:tcPr>
                <w:p w14:paraId="5C5B82CB">
                  <w:pPr>
                    <w:widowControl/>
                    <w:adjustRightInd w:val="0"/>
                    <w:snapToGrid w:val="0"/>
                    <w:jc w:val="center"/>
                    <w:rPr>
                      <w:bCs/>
                      <w:szCs w:val="21"/>
                      <w:u w:val="none"/>
                    </w:rPr>
                  </w:pPr>
                  <w:r>
                    <w:rPr>
                      <w:bCs/>
                      <w:szCs w:val="21"/>
                      <w:u w:val="none"/>
                      <w:lang w:bidi="ar"/>
                    </w:rPr>
                    <w:t>1.</w:t>
                  </w:r>
                  <w:r>
                    <w:rPr>
                      <w:rFonts w:hint="eastAsia"/>
                      <w:bCs/>
                      <w:szCs w:val="21"/>
                      <w:u w:val="none"/>
                      <w:lang w:bidi="ar"/>
                    </w:rPr>
                    <w:t>2</w:t>
                  </w:r>
                  <w:r>
                    <w:rPr>
                      <w:bCs/>
                      <w:szCs w:val="21"/>
                      <w:u w:val="none"/>
                      <w:lang w:bidi="ar"/>
                    </w:rPr>
                    <w:t>mg/</w:t>
                  </w:r>
                  <w:r>
                    <w:rPr>
                      <w:rFonts w:hint="eastAsia"/>
                      <w:bCs/>
                      <w:szCs w:val="21"/>
                      <w:u w:val="none"/>
                      <w:lang w:bidi="ar"/>
                    </w:rPr>
                    <w:t>m</w:t>
                  </w:r>
                  <w:r>
                    <w:rPr>
                      <w:rFonts w:hint="eastAsia"/>
                      <w:bCs/>
                      <w:szCs w:val="21"/>
                      <w:u w:val="none"/>
                      <w:vertAlign w:val="superscript"/>
                      <w:lang w:bidi="ar"/>
                    </w:rPr>
                    <w:t>3</w:t>
                  </w:r>
                </w:p>
              </w:tc>
              <w:tc>
                <w:tcPr>
                  <w:tcW w:w="1136" w:type="dxa"/>
                  <w:tcBorders>
                    <w:top w:val="single" w:color="auto" w:sz="4" w:space="0"/>
                    <w:left w:val="single" w:color="auto" w:sz="4" w:space="0"/>
                    <w:bottom w:val="single" w:color="auto" w:sz="4" w:space="0"/>
                    <w:right w:val="single" w:color="auto" w:sz="4" w:space="0"/>
                  </w:tcBorders>
                  <w:vAlign w:val="center"/>
                </w:tcPr>
                <w:p w14:paraId="40FEB2B8">
                  <w:pPr>
                    <w:widowControl/>
                    <w:adjustRightInd w:val="0"/>
                    <w:snapToGrid w:val="0"/>
                    <w:jc w:val="center"/>
                    <w:rPr>
                      <w:bCs/>
                      <w:szCs w:val="21"/>
                      <w:u w:val="none"/>
                    </w:rPr>
                  </w:pPr>
                  <w:r>
                    <w:rPr>
                      <w:bCs/>
                      <w:szCs w:val="21"/>
                      <w:u w:val="none"/>
                      <w:lang w:bidi="ar"/>
                    </w:rPr>
                    <w:t>4mg/</w:t>
                  </w:r>
                  <w:r>
                    <w:rPr>
                      <w:rFonts w:hint="eastAsia"/>
                      <w:bCs/>
                      <w:szCs w:val="21"/>
                      <w:u w:val="none"/>
                      <w:lang w:bidi="ar"/>
                    </w:rPr>
                    <w:t>m</w:t>
                  </w:r>
                  <w:r>
                    <w:rPr>
                      <w:rFonts w:hint="eastAsia"/>
                      <w:bCs/>
                      <w:szCs w:val="21"/>
                      <w:u w:val="none"/>
                      <w:vertAlign w:val="superscript"/>
                      <w:lang w:bidi="ar"/>
                    </w:rPr>
                    <w:t>3</w:t>
                  </w:r>
                </w:p>
              </w:tc>
              <w:tc>
                <w:tcPr>
                  <w:tcW w:w="1438" w:type="dxa"/>
                  <w:tcBorders>
                    <w:top w:val="single" w:color="auto" w:sz="4" w:space="0"/>
                    <w:left w:val="single" w:color="auto" w:sz="4" w:space="0"/>
                    <w:bottom w:val="single" w:color="auto" w:sz="4" w:space="0"/>
                    <w:right w:val="single" w:color="auto" w:sz="4" w:space="0"/>
                  </w:tcBorders>
                  <w:vAlign w:val="center"/>
                </w:tcPr>
                <w:p w14:paraId="0DE4EF97">
                  <w:pPr>
                    <w:widowControl/>
                    <w:adjustRightInd w:val="0"/>
                    <w:snapToGrid w:val="0"/>
                    <w:jc w:val="center"/>
                    <w:rPr>
                      <w:bCs/>
                      <w:szCs w:val="21"/>
                      <w:u w:val="none"/>
                    </w:rPr>
                  </w:pPr>
                  <w:r>
                    <w:rPr>
                      <w:rFonts w:hint="eastAsia"/>
                      <w:bCs/>
                      <w:szCs w:val="21"/>
                      <w:u w:val="none"/>
                      <w:lang w:bidi="ar"/>
                    </w:rPr>
                    <w:t>30</w:t>
                  </w:r>
                </w:p>
              </w:tc>
              <w:tc>
                <w:tcPr>
                  <w:tcW w:w="1438" w:type="dxa"/>
                  <w:tcBorders>
                    <w:top w:val="single" w:color="auto" w:sz="4" w:space="0"/>
                    <w:left w:val="single" w:color="auto" w:sz="4" w:space="0"/>
                    <w:bottom w:val="single" w:color="auto" w:sz="4" w:space="0"/>
                    <w:right w:val="single" w:color="auto" w:sz="4" w:space="0"/>
                  </w:tcBorders>
                  <w:vAlign w:val="center"/>
                </w:tcPr>
                <w:p w14:paraId="41790234">
                  <w:pPr>
                    <w:widowControl/>
                    <w:adjustRightInd w:val="0"/>
                    <w:snapToGrid w:val="0"/>
                    <w:jc w:val="center"/>
                    <w:rPr>
                      <w:bCs/>
                      <w:szCs w:val="21"/>
                      <w:u w:val="none"/>
                    </w:rPr>
                  </w:pPr>
                  <w:r>
                    <w:rPr>
                      <w:bCs/>
                      <w:szCs w:val="21"/>
                      <w:u w:val="none"/>
                      <w:lang w:bidi="ar"/>
                    </w:rPr>
                    <w:t>达标</w:t>
                  </w:r>
                </w:p>
              </w:tc>
            </w:tr>
            <w:tr w14:paraId="40E2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14:paraId="2B66E448">
                  <w:pPr>
                    <w:widowControl/>
                    <w:adjustRightInd w:val="0"/>
                    <w:snapToGrid w:val="0"/>
                    <w:jc w:val="center"/>
                    <w:rPr>
                      <w:bCs/>
                      <w:szCs w:val="21"/>
                      <w:u w:val="none"/>
                    </w:rPr>
                  </w:pPr>
                  <w:r>
                    <w:rPr>
                      <w:bCs/>
                      <w:szCs w:val="21"/>
                      <w:u w:val="none"/>
                      <w:lang w:bidi="ar"/>
                    </w:rPr>
                    <w:t>O</w:t>
                  </w:r>
                  <w:r>
                    <w:rPr>
                      <w:bCs/>
                      <w:szCs w:val="21"/>
                      <w:u w:val="none"/>
                      <w:vertAlign w:val="subscript"/>
                      <w:lang w:bidi="ar"/>
                    </w:rPr>
                    <w:t>3</w:t>
                  </w:r>
                </w:p>
              </w:tc>
              <w:tc>
                <w:tcPr>
                  <w:tcW w:w="2146" w:type="dxa"/>
                  <w:tcBorders>
                    <w:top w:val="single" w:color="auto" w:sz="4" w:space="0"/>
                    <w:left w:val="single" w:color="auto" w:sz="4" w:space="0"/>
                    <w:bottom w:val="single" w:color="auto" w:sz="4" w:space="0"/>
                    <w:right w:val="single" w:color="auto" w:sz="4" w:space="0"/>
                  </w:tcBorders>
                  <w:vAlign w:val="center"/>
                </w:tcPr>
                <w:p w14:paraId="038788B1">
                  <w:pPr>
                    <w:widowControl/>
                    <w:adjustRightInd w:val="0"/>
                    <w:snapToGrid w:val="0"/>
                    <w:jc w:val="center"/>
                    <w:rPr>
                      <w:bCs/>
                      <w:szCs w:val="21"/>
                      <w:u w:val="none"/>
                    </w:rPr>
                  </w:pPr>
                  <w:r>
                    <w:rPr>
                      <w:bCs/>
                      <w:szCs w:val="21"/>
                      <w:u w:val="none"/>
                      <w:lang w:bidi="ar"/>
                    </w:rPr>
                    <w:t>8小时平均质量浓度，第90位百分数</w:t>
                  </w:r>
                </w:p>
              </w:tc>
              <w:tc>
                <w:tcPr>
                  <w:tcW w:w="1188" w:type="dxa"/>
                  <w:tcBorders>
                    <w:top w:val="single" w:color="auto" w:sz="4" w:space="0"/>
                    <w:left w:val="single" w:color="auto" w:sz="4" w:space="0"/>
                    <w:bottom w:val="single" w:color="auto" w:sz="4" w:space="0"/>
                    <w:right w:val="single" w:color="auto" w:sz="4" w:space="0"/>
                  </w:tcBorders>
                  <w:vAlign w:val="center"/>
                </w:tcPr>
                <w:p w14:paraId="0C4D12BE">
                  <w:pPr>
                    <w:widowControl/>
                    <w:adjustRightInd w:val="0"/>
                    <w:snapToGrid w:val="0"/>
                    <w:jc w:val="center"/>
                    <w:rPr>
                      <w:bCs/>
                      <w:szCs w:val="21"/>
                      <w:u w:val="none"/>
                    </w:rPr>
                  </w:pPr>
                  <w:r>
                    <w:rPr>
                      <w:rFonts w:hint="eastAsia"/>
                      <w:bCs/>
                      <w:szCs w:val="21"/>
                      <w:u w:val="none"/>
                      <w:lang w:bidi="ar"/>
                    </w:rPr>
                    <w:t>100</w:t>
                  </w:r>
                </w:p>
              </w:tc>
              <w:tc>
                <w:tcPr>
                  <w:tcW w:w="1136" w:type="dxa"/>
                  <w:tcBorders>
                    <w:top w:val="single" w:color="auto" w:sz="4" w:space="0"/>
                    <w:left w:val="single" w:color="auto" w:sz="4" w:space="0"/>
                    <w:bottom w:val="single" w:color="auto" w:sz="4" w:space="0"/>
                    <w:right w:val="single" w:color="auto" w:sz="4" w:space="0"/>
                  </w:tcBorders>
                  <w:vAlign w:val="center"/>
                </w:tcPr>
                <w:p w14:paraId="1B645FDD">
                  <w:pPr>
                    <w:widowControl/>
                    <w:adjustRightInd w:val="0"/>
                    <w:snapToGrid w:val="0"/>
                    <w:jc w:val="center"/>
                    <w:rPr>
                      <w:bCs/>
                      <w:szCs w:val="21"/>
                      <w:u w:val="none"/>
                    </w:rPr>
                  </w:pPr>
                  <w:r>
                    <w:rPr>
                      <w:bCs/>
                      <w:szCs w:val="21"/>
                      <w:u w:val="none"/>
                      <w:lang w:bidi="ar"/>
                    </w:rPr>
                    <w:t>160</w:t>
                  </w:r>
                </w:p>
              </w:tc>
              <w:tc>
                <w:tcPr>
                  <w:tcW w:w="1438" w:type="dxa"/>
                  <w:tcBorders>
                    <w:top w:val="single" w:color="auto" w:sz="4" w:space="0"/>
                    <w:left w:val="single" w:color="auto" w:sz="4" w:space="0"/>
                    <w:bottom w:val="single" w:color="auto" w:sz="4" w:space="0"/>
                    <w:right w:val="single" w:color="auto" w:sz="4" w:space="0"/>
                  </w:tcBorders>
                  <w:vAlign w:val="center"/>
                </w:tcPr>
                <w:p w14:paraId="20640BD2">
                  <w:pPr>
                    <w:widowControl/>
                    <w:adjustRightInd w:val="0"/>
                    <w:snapToGrid w:val="0"/>
                    <w:jc w:val="center"/>
                    <w:rPr>
                      <w:bCs/>
                      <w:szCs w:val="21"/>
                      <w:u w:val="none"/>
                    </w:rPr>
                  </w:pPr>
                  <w:r>
                    <w:rPr>
                      <w:rFonts w:hint="eastAsia"/>
                      <w:bCs/>
                      <w:szCs w:val="21"/>
                      <w:u w:val="none"/>
                      <w:lang w:bidi="ar"/>
                    </w:rPr>
                    <w:t>62.5</w:t>
                  </w:r>
                </w:p>
              </w:tc>
              <w:tc>
                <w:tcPr>
                  <w:tcW w:w="1438" w:type="dxa"/>
                  <w:tcBorders>
                    <w:top w:val="single" w:color="auto" w:sz="4" w:space="0"/>
                    <w:left w:val="single" w:color="auto" w:sz="4" w:space="0"/>
                    <w:bottom w:val="single" w:color="auto" w:sz="4" w:space="0"/>
                    <w:right w:val="single" w:color="auto" w:sz="4" w:space="0"/>
                  </w:tcBorders>
                  <w:vAlign w:val="center"/>
                </w:tcPr>
                <w:p w14:paraId="01D6E60B">
                  <w:pPr>
                    <w:widowControl/>
                    <w:adjustRightInd w:val="0"/>
                    <w:snapToGrid w:val="0"/>
                    <w:jc w:val="center"/>
                    <w:rPr>
                      <w:bCs/>
                      <w:szCs w:val="21"/>
                      <w:u w:val="none"/>
                    </w:rPr>
                  </w:pPr>
                  <w:r>
                    <w:rPr>
                      <w:bCs/>
                      <w:szCs w:val="21"/>
                      <w:u w:val="none"/>
                      <w:lang w:bidi="ar"/>
                    </w:rPr>
                    <w:t>达标</w:t>
                  </w:r>
                </w:p>
              </w:tc>
            </w:tr>
          </w:tbl>
          <w:p w14:paraId="1C2216F8">
            <w:pPr>
              <w:spacing w:line="360" w:lineRule="auto"/>
              <w:ind w:firstLine="480" w:firstLineChars="200"/>
              <w:rPr>
                <w:rFonts w:hAnsi="宋体" w:cs="Courier New"/>
                <w:sz w:val="24"/>
                <w:u w:val="none"/>
              </w:rPr>
            </w:pPr>
            <w:r>
              <w:rPr>
                <w:sz w:val="24"/>
                <w:u w:val="none"/>
              </w:rPr>
              <w:t>根据表3-1分析，宣威市城区SO</w:t>
            </w:r>
            <w:r>
              <w:rPr>
                <w:sz w:val="24"/>
                <w:u w:val="none"/>
                <w:vertAlign w:val="subscript"/>
              </w:rPr>
              <w:t>2</w:t>
            </w:r>
            <w:r>
              <w:rPr>
                <w:sz w:val="24"/>
                <w:u w:val="none"/>
              </w:rPr>
              <w:t>、NO</w:t>
            </w:r>
            <w:r>
              <w:rPr>
                <w:sz w:val="24"/>
                <w:u w:val="none"/>
                <w:vertAlign w:val="subscript"/>
              </w:rPr>
              <w:t>2</w:t>
            </w:r>
            <w:r>
              <w:rPr>
                <w:sz w:val="24"/>
                <w:u w:val="none"/>
              </w:rPr>
              <w:t>、PM</w:t>
            </w:r>
            <w:r>
              <w:rPr>
                <w:sz w:val="24"/>
                <w:u w:val="none"/>
                <w:vertAlign w:val="subscript"/>
              </w:rPr>
              <w:t>10</w:t>
            </w:r>
            <w:r>
              <w:rPr>
                <w:sz w:val="24"/>
                <w:u w:val="none"/>
              </w:rPr>
              <w:t>、PM</w:t>
            </w:r>
            <w:r>
              <w:rPr>
                <w:rFonts w:hint="eastAsia"/>
                <w:sz w:val="24"/>
                <w:u w:val="none"/>
                <w:vertAlign w:val="subscript"/>
              </w:rPr>
              <w:t>2.5</w:t>
            </w:r>
            <w:r>
              <w:rPr>
                <w:sz w:val="24"/>
                <w:u w:val="none"/>
              </w:rPr>
              <w:t>、CO、O</w:t>
            </w:r>
            <w:r>
              <w:rPr>
                <w:sz w:val="24"/>
                <w:u w:val="none"/>
                <w:vertAlign w:val="subscript"/>
              </w:rPr>
              <w:t>3</w:t>
            </w:r>
            <w:r>
              <w:rPr>
                <w:sz w:val="24"/>
                <w:u w:val="none"/>
              </w:rPr>
              <w:t>年平均浓度占标率均小于100%，CO 24 小时浓度第95位百分数占标率小于100%，臭氧8小时浓度第90位百分数占标率小于100%，各主要污染物均达到《环境空气质量标准》</w:t>
            </w:r>
            <w:r>
              <w:rPr>
                <w:rFonts w:hint="eastAsia"/>
                <w:sz w:val="24"/>
                <w:u w:val="none"/>
              </w:rPr>
              <w:t>（</w:t>
            </w:r>
            <w:r>
              <w:rPr>
                <w:sz w:val="24"/>
                <w:u w:val="none"/>
              </w:rPr>
              <w:t>GB</w:t>
            </w:r>
            <w:r>
              <w:rPr>
                <w:rFonts w:hint="eastAsia"/>
                <w:sz w:val="24"/>
                <w:u w:val="none"/>
              </w:rPr>
              <w:t xml:space="preserve"> </w:t>
            </w:r>
            <w:r>
              <w:rPr>
                <w:sz w:val="24"/>
                <w:u w:val="none"/>
              </w:rPr>
              <w:t>3095-2012</w:t>
            </w:r>
            <w:r>
              <w:rPr>
                <w:rFonts w:hint="eastAsia"/>
                <w:sz w:val="24"/>
                <w:u w:val="none"/>
              </w:rPr>
              <w:t>）</w:t>
            </w:r>
            <w:r>
              <w:rPr>
                <w:sz w:val="24"/>
                <w:u w:val="none"/>
              </w:rPr>
              <w:t>中二级标准要求。项目区属于达标区</w:t>
            </w:r>
            <w:r>
              <w:rPr>
                <w:rFonts w:hint="eastAsia" w:hAnsi="宋体" w:cs="Courier New"/>
                <w:sz w:val="24"/>
                <w:u w:val="none"/>
              </w:rPr>
              <w:t>。</w:t>
            </w:r>
          </w:p>
          <w:p w14:paraId="251B09DB">
            <w:pPr>
              <w:wordWrap w:val="0"/>
              <w:spacing w:line="360" w:lineRule="auto"/>
              <w:ind w:left="420" w:leftChars="200"/>
              <w:jc w:val="left"/>
              <w:rPr>
                <w:b/>
                <w:bCs/>
                <w:sz w:val="24"/>
                <w:u w:val="none"/>
              </w:rPr>
            </w:pPr>
            <w:r>
              <w:rPr>
                <w:rFonts w:hint="eastAsia"/>
                <w:b/>
                <w:bCs/>
                <w:sz w:val="24"/>
                <w:u w:val="none"/>
              </w:rPr>
              <w:t>1.2、特征污染物</w:t>
            </w:r>
          </w:p>
          <w:p w14:paraId="679F91A3">
            <w:pPr>
              <w:spacing w:line="360" w:lineRule="auto"/>
              <w:ind w:firstLine="480" w:firstLineChars="200"/>
              <w:rPr>
                <w:sz w:val="24"/>
                <w:u w:val="none"/>
              </w:rPr>
            </w:pPr>
            <w:r>
              <w:rPr>
                <w:rFonts w:hAnsi="宋体" w:cs="Courier New"/>
                <w:sz w:val="24"/>
                <w:u w:val="none"/>
              </w:rPr>
              <w:t>根据《</w:t>
            </w:r>
            <w:r>
              <w:rPr>
                <w:u w:val="none"/>
              </w:rPr>
              <w:fldChar w:fldCharType="begin"/>
            </w:r>
            <w:r>
              <w:rPr>
                <w:u w:val="none"/>
              </w:rPr>
              <w:instrText xml:space="preserve"> HYPERLINK "http://www.mee.gov.cn/xxgk2018/xxgk/xxgk05/202101/W020210104371003931528.pdf" </w:instrText>
            </w:r>
            <w:r>
              <w:rPr>
                <w:u w:val="none"/>
              </w:rPr>
              <w:fldChar w:fldCharType="separate"/>
            </w:r>
            <w:r>
              <w:rPr>
                <w:rFonts w:hAnsi="宋体" w:cs="Courier New"/>
                <w:sz w:val="24"/>
                <w:u w:val="none"/>
              </w:rPr>
              <w:t>建设项目环境影响报告表编制技术指南（污染影响类）（试行）</w:t>
            </w:r>
            <w:r>
              <w:rPr>
                <w:rFonts w:hAnsi="宋体" w:cs="Courier New"/>
                <w:sz w:val="24"/>
                <w:u w:val="none"/>
              </w:rPr>
              <w:fldChar w:fldCharType="end"/>
            </w:r>
            <w:r>
              <w:rPr>
                <w:rFonts w:hAnsi="宋体" w:cs="Courier New"/>
                <w:sz w:val="24"/>
                <w:u w:val="none"/>
              </w:rPr>
              <w:t>》：“排放国家、地方环境空气质量标准中有标准限值要求的特征污染物时，引用建设项目周边5千米范围内近3年的现有监测数据，无相关数据的选择当季主导风向下风向1个点位补充不少于3天的监测数据。”</w:t>
            </w:r>
            <w:r>
              <w:rPr>
                <w:rFonts w:hint="eastAsia" w:hAnsi="宋体" w:cs="Courier New"/>
                <w:sz w:val="24"/>
                <w:u w:val="none"/>
              </w:rPr>
              <w:t>本项目大气特征污染物为颗粒物，引用宣威市榕城废渣综合利用有限公司2022年12月对马桑树村TSP的监测数据</w:t>
            </w:r>
            <w:r>
              <w:rPr>
                <w:rFonts w:hint="eastAsia"/>
                <w:sz w:val="24"/>
                <w:u w:val="none"/>
              </w:rPr>
              <w:t>（监测报告见附件5）</w:t>
            </w:r>
            <w:r>
              <w:rPr>
                <w:rFonts w:hint="eastAsia" w:hAnsi="宋体" w:cs="Courier New"/>
                <w:sz w:val="24"/>
                <w:u w:val="none"/>
              </w:rPr>
              <w:t>，宣威市榕城废渣综合利用有限公司委托云南浩辰环保科技有限公司于2022年12月24日～26日连续3天对马桑树村开展了TSP现状浓度监测，该监测点距离本项目区约1.86km，</w:t>
            </w:r>
            <w:r>
              <w:rPr>
                <w:rFonts w:hint="eastAsia"/>
                <w:sz w:val="24"/>
                <w:u w:val="none"/>
              </w:rPr>
              <w:t>监测数据见表3-2。</w:t>
            </w:r>
          </w:p>
          <w:p w14:paraId="0F4D45C9">
            <w:pPr>
              <w:snapToGrid w:val="0"/>
              <w:jc w:val="center"/>
              <w:rPr>
                <w:rFonts w:hAnsi="宋体" w:cs="Courier New"/>
                <w:b/>
                <w:bCs/>
                <w:szCs w:val="21"/>
                <w:u w:val="none"/>
              </w:rPr>
            </w:pPr>
            <w:r>
              <w:rPr>
                <w:rFonts w:hint="eastAsia" w:hAnsi="宋体" w:cs="Courier New"/>
                <w:b/>
                <w:bCs/>
                <w:szCs w:val="21"/>
                <w:u w:val="none"/>
              </w:rPr>
              <w:t>表3-2   项目北侧马桑树村大气环境质量现状监测数据一览表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886"/>
              <w:gridCol w:w="1687"/>
              <w:gridCol w:w="2969"/>
              <w:gridCol w:w="1063"/>
              <w:gridCol w:w="957"/>
            </w:tblGrid>
            <w:tr w14:paraId="7B54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vAlign w:val="center"/>
                </w:tcPr>
                <w:p w14:paraId="3ACF4760">
                  <w:pPr>
                    <w:widowControl/>
                    <w:wordWrap w:val="0"/>
                    <w:jc w:val="center"/>
                    <w:textAlignment w:val="center"/>
                    <w:rPr>
                      <w:szCs w:val="21"/>
                      <w:u w:val="none"/>
                    </w:rPr>
                  </w:pPr>
                  <w:r>
                    <w:rPr>
                      <w:szCs w:val="21"/>
                      <w:u w:val="thick" w:color="FFB03A"/>
                      <w:shd w:val="clear" w:fill="FFEFD7"/>
                    </w:rPr>
                    <w:t>检测</w:t>
                  </w:r>
                </w:p>
                <w:p w14:paraId="4DA63615">
                  <w:pPr>
                    <w:widowControl/>
                    <w:wordWrap w:val="0"/>
                    <w:jc w:val="center"/>
                    <w:textAlignment w:val="center"/>
                    <w:rPr>
                      <w:szCs w:val="21"/>
                      <w:u w:val="none"/>
                    </w:rPr>
                  </w:pPr>
                  <w:r>
                    <w:rPr>
                      <w:szCs w:val="21"/>
                      <w:u w:val="none"/>
                    </w:rPr>
                    <w:t>点位</w:t>
                  </w:r>
                </w:p>
              </w:tc>
              <w:tc>
                <w:tcPr>
                  <w:tcW w:w="513" w:type="pct"/>
                  <w:vMerge w:val="restart"/>
                  <w:vAlign w:val="center"/>
                </w:tcPr>
                <w:p w14:paraId="26E90ACD">
                  <w:pPr>
                    <w:widowControl/>
                    <w:wordWrap w:val="0"/>
                    <w:jc w:val="center"/>
                    <w:textAlignment w:val="center"/>
                    <w:rPr>
                      <w:szCs w:val="21"/>
                      <w:u w:val="none"/>
                    </w:rPr>
                  </w:pPr>
                  <w:r>
                    <w:rPr>
                      <w:szCs w:val="21"/>
                      <w:u w:val="none"/>
                    </w:rPr>
                    <w:t>检测项目</w:t>
                  </w:r>
                </w:p>
              </w:tc>
              <w:tc>
                <w:tcPr>
                  <w:tcW w:w="977" w:type="pct"/>
                  <w:vMerge w:val="restart"/>
                  <w:vAlign w:val="center"/>
                </w:tcPr>
                <w:p w14:paraId="62010F05">
                  <w:pPr>
                    <w:widowControl/>
                    <w:wordWrap w:val="0"/>
                    <w:jc w:val="center"/>
                    <w:textAlignment w:val="center"/>
                    <w:rPr>
                      <w:szCs w:val="21"/>
                      <w:u w:val="none"/>
                    </w:rPr>
                  </w:pPr>
                  <w:r>
                    <w:rPr>
                      <w:szCs w:val="21"/>
                      <w:u w:val="none"/>
                    </w:rPr>
                    <w:t>采样日期</w:t>
                  </w:r>
                </w:p>
              </w:tc>
              <w:tc>
                <w:tcPr>
                  <w:tcW w:w="1720" w:type="pct"/>
                  <w:vAlign w:val="center"/>
                </w:tcPr>
                <w:p w14:paraId="65F2AD20">
                  <w:pPr>
                    <w:widowControl/>
                    <w:wordWrap w:val="0"/>
                    <w:jc w:val="center"/>
                    <w:textAlignment w:val="center"/>
                    <w:rPr>
                      <w:szCs w:val="21"/>
                      <w:u w:val="none"/>
                    </w:rPr>
                  </w:pPr>
                  <w:r>
                    <w:rPr>
                      <w:szCs w:val="21"/>
                      <w:u w:val="none"/>
                    </w:rPr>
                    <w:t>检测结果</w:t>
                  </w:r>
                </w:p>
              </w:tc>
              <w:tc>
                <w:tcPr>
                  <w:tcW w:w="616" w:type="pct"/>
                  <w:vMerge w:val="restart"/>
                  <w:vAlign w:val="center"/>
                </w:tcPr>
                <w:p w14:paraId="6FC591B5">
                  <w:pPr>
                    <w:widowControl/>
                    <w:wordWrap w:val="0"/>
                    <w:jc w:val="center"/>
                    <w:textAlignment w:val="center"/>
                    <w:rPr>
                      <w:szCs w:val="21"/>
                      <w:u w:val="none"/>
                    </w:rPr>
                  </w:pPr>
                  <w:r>
                    <w:rPr>
                      <w:rFonts w:hint="eastAsia"/>
                      <w:szCs w:val="21"/>
                      <w:u w:val="none"/>
                    </w:rPr>
                    <w:t>标准值</w:t>
                  </w:r>
                  <w:r>
                    <w:rPr>
                      <w:szCs w:val="21"/>
                      <w:u w:val="none"/>
                    </w:rPr>
                    <w:t>（μg/m</w:t>
                  </w:r>
                  <w:r>
                    <w:rPr>
                      <w:szCs w:val="21"/>
                      <w:u w:val="none"/>
                      <w:vertAlign w:val="superscript"/>
                    </w:rPr>
                    <w:t>3</w:t>
                  </w:r>
                  <w:r>
                    <w:rPr>
                      <w:szCs w:val="21"/>
                      <w:u w:val="none"/>
                    </w:rPr>
                    <w:t>）</w:t>
                  </w:r>
                </w:p>
              </w:tc>
              <w:tc>
                <w:tcPr>
                  <w:tcW w:w="554" w:type="pct"/>
                  <w:vMerge w:val="restart"/>
                  <w:vAlign w:val="center"/>
                </w:tcPr>
                <w:p w14:paraId="5DDC7CDC">
                  <w:pPr>
                    <w:widowControl/>
                    <w:wordWrap w:val="0"/>
                    <w:jc w:val="center"/>
                    <w:textAlignment w:val="center"/>
                    <w:rPr>
                      <w:szCs w:val="21"/>
                      <w:u w:val="none"/>
                    </w:rPr>
                  </w:pPr>
                  <w:r>
                    <w:rPr>
                      <w:rFonts w:hint="eastAsia"/>
                      <w:szCs w:val="21"/>
                      <w:u w:val="none"/>
                    </w:rPr>
                    <w:t>达标情况</w:t>
                  </w:r>
                </w:p>
              </w:tc>
            </w:tr>
            <w:tr w14:paraId="6235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vAlign w:val="center"/>
                </w:tcPr>
                <w:p w14:paraId="537F9D9B">
                  <w:pPr>
                    <w:widowControl/>
                    <w:wordWrap w:val="0"/>
                    <w:jc w:val="center"/>
                    <w:textAlignment w:val="center"/>
                    <w:rPr>
                      <w:szCs w:val="21"/>
                      <w:u w:val="none"/>
                    </w:rPr>
                  </w:pPr>
                </w:p>
              </w:tc>
              <w:tc>
                <w:tcPr>
                  <w:tcW w:w="513" w:type="pct"/>
                  <w:vMerge w:val="continue"/>
                  <w:vAlign w:val="center"/>
                </w:tcPr>
                <w:p w14:paraId="477237A9">
                  <w:pPr>
                    <w:widowControl/>
                    <w:wordWrap w:val="0"/>
                    <w:jc w:val="center"/>
                    <w:textAlignment w:val="center"/>
                    <w:rPr>
                      <w:szCs w:val="21"/>
                      <w:u w:val="none"/>
                    </w:rPr>
                  </w:pPr>
                </w:p>
              </w:tc>
              <w:tc>
                <w:tcPr>
                  <w:tcW w:w="977" w:type="pct"/>
                  <w:vMerge w:val="continue"/>
                  <w:vAlign w:val="center"/>
                </w:tcPr>
                <w:p w14:paraId="30EE4776">
                  <w:pPr>
                    <w:widowControl/>
                    <w:wordWrap w:val="0"/>
                    <w:jc w:val="center"/>
                    <w:textAlignment w:val="center"/>
                    <w:rPr>
                      <w:szCs w:val="21"/>
                      <w:u w:val="none"/>
                    </w:rPr>
                  </w:pPr>
                </w:p>
              </w:tc>
              <w:tc>
                <w:tcPr>
                  <w:tcW w:w="1720" w:type="pct"/>
                  <w:vAlign w:val="center"/>
                </w:tcPr>
                <w:p w14:paraId="4CFE5DFF">
                  <w:pPr>
                    <w:widowControl/>
                    <w:wordWrap w:val="0"/>
                    <w:jc w:val="center"/>
                    <w:textAlignment w:val="center"/>
                    <w:rPr>
                      <w:szCs w:val="21"/>
                      <w:u w:val="none"/>
                    </w:rPr>
                  </w:pPr>
                  <w:r>
                    <w:rPr>
                      <w:szCs w:val="21"/>
                      <w:u w:val="none"/>
                    </w:rPr>
                    <w:t>实测浓度（</w:t>
                  </w:r>
                  <w:r>
                    <w:rPr>
                      <w:rFonts w:hint="eastAsia"/>
                      <w:szCs w:val="21"/>
                      <w:u w:val="none"/>
                    </w:rPr>
                    <w:t>m</w:t>
                  </w:r>
                  <w:r>
                    <w:rPr>
                      <w:szCs w:val="21"/>
                      <w:u w:val="none"/>
                    </w:rPr>
                    <w:t>g/m</w:t>
                  </w:r>
                  <w:r>
                    <w:rPr>
                      <w:szCs w:val="21"/>
                      <w:u w:val="none"/>
                      <w:vertAlign w:val="superscript"/>
                    </w:rPr>
                    <w:t>3</w:t>
                  </w:r>
                  <w:r>
                    <w:rPr>
                      <w:szCs w:val="21"/>
                      <w:u w:val="none"/>
                    </w:rPr>
                    <w:t>）</w:t>
                  </w:r>
                </w:p>
              </w:tc>
              <w:tc>
                <w:tcPr>
                  <w:tcW w:w="616" w:type="pct"/>
                  <w:vMerge w:val="continue"/>
                  <w:vAlign w:val="center"/>
                </w:tcPr>
                <w:p w14:paraId="19D6B958">
                  <w:pPr>
                    <w:widowControl/>
                    <w:wordWrap w:val="0"/>
                    <w:jc w:val="center"/>
                    <w:textAlignment w:val="center"/>
                    <w:rPr>
                      <w:szCs w:val="21"/>
                      <w:u w:val="none"/>
                    </w:rPr>
                  </w:pPr>
                </w:p>
              </w:tc>
              <w:tc>
                <w:tcPr>
                  <w:tcW w:w="554" w:type="pct"/>
                  <w:vMerge w:val="continue"/>
                  <w:vAlign w:val="center"/>
                </w:tcPr>
                <w:p w14:paraId="436C7E5C">
                  <w:pPr>
                    <w:widowControl/>
                    <w:wordWrap w:val="0"/>
                    <w:jc w:val="center"/>
                    <w:textAlignment w:val="center"/>
                    <w:rPr>
                      <w:szCs w:val="21"/>
                      <w:u w:val="none"/>
                    </w:rPr>
                  </w:pPr>
                </w:p>
              </w:tc>
            </w:tr>
            <w:tr w14:paraId="106C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restart"/>
                  <w:vAlign w:val="center"/>
                </w:tcPr>
                <w:p w14:paraId="167B7730">
                  <w:pPr>
                    <w:wordWrap w:val="0"/>
                    <w:jc w:val="center"/>
                    <w:rPr>
                      <w:szCs w:val="21"/>
                      <w:u w:val="none"/>
                    </w:rPr>
                  </w:pPr>
                  <w:r>
                    <w:rPr>
                      <w:szCs w:val="21"/>
                      <w:u w:val="none"/>
                    </w:rPr>
                    <w:t>马桑树村</w:t>
                  </w:r>
                </w:p>
              </w:tc>
              <w:tc>
                <w:tcPr>
                  <w:tcW w:w="513" w:type="pct"/>
                  <w:vMerge w:val="restart"/>
                  <w:vAlign w:val="center"/>
                </w:tcPr>
                <w:p w14:paraId="2DCC28EC">
                  <w:pPr>
                    <w:keepNext/>
                    <w:keepLines/>
                    <w:wordWrap w:val="0"/>
                    <w:jc w:val="center"/>
                    <w:rPr>
                      <w:szCs w:val="21"/>
                      <w:u w:val="none"/>
                    </w:rPr>
                  </w:pPr>
                  <w:r>
                    <w:rPr>
                      <w:szCs w:val="21"/>
                      <w:u w:val="none"/>
                    </w:rPr>
                    <w:t>TSP</w:t>
                  </w:r>
                </w:p>
              </w:tc>
              <w:tc>
                <w:tcPr>
                  <w:tcW w:w="977" w:type="pct"/>
                  <w:vAlign w:val="center"/>
                </w:tcPr>
                <w:p w14:paraId="50479DD3">
                  <w:pPr>
                    <w:spacing w:line="300" w:lineRule="exact"/>
                    <w:jc w:val="center"/>
                    <w:rPr>
                      <w:szCs w:val="21"/>
                      <w:u w:val="none"/>
                    </w:rPr>
                  </w:pPr>
                  <w:r>
                    <w:rPr>
                      <w:rFonts w:hint="eastAsia"/>
                      <w:szCs w:val="21"/>
                      <w:u w:val="none"/>
                    </w:rPr>
                    <w:t>2022/12/24</w:t>
                  </w:r>
                </w:p>
              </w:tc>
              <w:tc>
                <w:tcPr>
                  <w:tcW w:w="1720" w:type="pct"/>
                  <w:vAlign w:val="center"/>
                </w:tcPr>
                <w:p w14:paraId="701A7398">
                  <w:pPr>
                    <w:spacing w:line="300" w:lineRule="exact"/>
                    <w:jc w:val="center"/>
                    <w:rPr>
                      <w:szCs w:val="21"/>
                      <w:u w:val="none"/>
                    </w:rPr>
                  </w:pPr>
                  <w:r>
                    <w:rPr>
                      <w:rFonts w:hint="eastAsia"/>
                      <w:szCs w:val="21"/>
                      <w:u w:val="none"/>
                    </w:rPr>
                    <w:t>0.042</w:t>
                  </w:r>
                </w:p>
              </w:tc>
              <w:tc>
                <w:tcPr>
                  <w:tcW w:w="616" w:type="pct"/>
                  <w:vMerge w:val="restart"/>
                  <w:vAlign w:val="center"/>
                </w:tcPr>
                <w:p w14:paraId="0825EDDB">
                  <w:pPr>
                    <w:widowControl/>
                    <w:wordWrap w:val="0"/>
                    <w:spacing w:line="240" w:lineRule="exact"/>
                    <w:jc w:val="center"/>
                    <w:textAlignment w:val="center"/>
                    <w:rPr>
                      <w:szCs w:val="21"/>
                      <w:u w:val="none"/>
                    </w:rPr>
                  </w:pPr>
                  <w:r>
                    <w:rPr>
                      <w:rFonts w:hint="eastAsia"/>
                      <w:szCs w:val="21"/>
                      <w:u w:val="none"/>
                    </w:rPr>
                    <w:t>300</w:t>
                  </w:r>
                </w:p>
              </w:tc>
              <w:tc>
                <w:tcPr>
                  <w:tcW w:w="554" w:type="pct"/>
                  <w:vAlign w:val="center"/>
                </w:tcPr>
                <w:p w14:paraId="06F0E120">
                  <w:pPr>
                    <w:widowControl/>
                    <w:wordWrap w:val="0"/>
                    <w:spacing w:line="240" w:lineRule="exact"/>
                    <w:jc w:val="center"/>
                    <w:textAlignment w:val="center"/>
                    <w:rPr>
                      <w:szCs w:val="21"/>
                      <w:u w:val="none"/>
                    </w:rPr>
                  </w:pPr>
                  <w:r>
                    <w:rPr>
                      <w:rFonts w:hint="eastAsia"/>
                      <w:szCs w:val="21"/>
                      <w:u w:val="none"/>
                    </w:rPr>
                    <w:t>达标</w:t>
                  </w:r>
                </w:p>
              </w:tc>
            </w:tr>
            <w:tr w14:paraId="5369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17" w:type="pct"/>
                  <w:vMerge w:val="continue"/>
                  <w:vAlign w:val="center"/>
                </w:tcPr>
                <w:p w14:paraId="281A2425">
                  <w:pPr>
                    <w:widowControl/>
                    <w:wordWrap w:val="0"/>
                    <w:jc w:val="center"/>
                    <w:textAlignment w:val="center"/>
                    <w:rPr>
                      <w:szCs w:val="21"/>
                      <w:u w:val="none"/>
                    </w:rPr>
                  </w:pPr>
                </w:p>
              </w:tc>
              <w:tc>
                <w:tcPr>
                  <w:tcW w:w="513" w:type="pct"/>
                  <w:vMerge w:val="continue"/>
                  <w:vAlign w:val="center"/>
                </w:tcPr>
                <w:p w14:paraId="7201223A">
                  <w:pPr>
                    <w:wordWrap w:val="0"/>
                    <w:jc w:val="center"/>
                    <w:rPr>
                      <w:szCs w:val="21"/>
                      <w:u w:val="none"/>
                    </w:rPr>
                  </w:pPr>
                </w:p>
              </w:tc>
              <w:tc>
                <w:tcPr>
                  <w:tcW w:w="977" w:type="pct"/>
                  <w:vAlign w:val="center"/>
                </w:tcPr>
                <w:p w14:paraId="40138446">
                  <w:pPr>
                    <w:spacing w:line="300" w:lineRule="exact"/>
                    <w:jc w:val="center"/>
                    <w:rPr>
                      <w:szCs w:val="21"/>
                      <w:u w:val="none"/>
                    </w:rPr>
                  </w:pPr>
                  <w:r>
                    <w:rPr>
                      <w:rFonts w:hint="eastAsia"/>
                      <w:szCs w:val="21"/>
                      <w:u w:val="none"/>
                    </w:rPr>
                    <w:t>2022/12/25</w:t>
                  </w:r>
                </w:p>
              </w:tc>
              <w:tc>
                <w:tcPr>
                  <w:tcW w:w="1720" w:type="pct"/>
                  <w:vAlign w:val="center"/>
                </w:tcPr>
                <w:p w14:paraId="3F852C37">
                  <w:pPr>
                    <w:spacing w:line="300" w:lineRule="exact"/>
                    <w:jc w:val="center"/>
                    <w:rPr>
                      <w:szCs w:val="21"/>
                      <w:u w:val="none"/>
                    </w:rPr>
                  </w:pPr>
                  <w:r>
                    <w:rPr>
                      <w:rFonts w:hint="eastAsia"/>
                      <w:szCs w:val="21"/>
                      <w:u w:val="none"/>
                    </w:rPr>
                    <w:t>0.041</w:t>
                  </w:r>
                </w:p>
              </w:tc>
              <w:tc>
                <w:tcPr>
                  <w:tcW w:w="616" w:type="pct"/>
                  <w:vMerge w:val="continue"/>
                  <w:vAlign w:val="center"/>
                </w:tcPr>
                <w:p w14:paraId="72DD140F">
                  <w:pPr>
                    <w:widowControl/>
                    <w:wordWrap w:val="0"/>
                    <w:spacing w:line="240" w:lineRule="exact"/>
                    <w:jc w:val="center"/>
                    <w:textAlignment w:val="center"/>
                    <w:rPr>
                      <w:szCs w:val="21"/>
                      <w:u w:val="none"/>
                    </w:rPr>
                  </w:pPr>
                </w:p>
              </w:tc>
              <w:tc>
                <w:tcPr>
                  <w:tcW w:w="554" w:type="pct"/>
                  <w:vAlign w:val="center"/>
                </w:tcPr>
                <w:p w14:paraId="23159876">
                  <w:pPr>
                    <w:widowControl/>
                    <w:wordWrap w:val="0"/>
                    <w:spacing w:line="240" w:lineRule="exact"/>
                    <w:jc w:val="center"/>
                    <w:textAlignment w:val="center"/>
                    <w:rPr>
                      <w:szCs w:val="21"/>
                      <w:u w:val="none"/>
                    </w:rPr>
                  </w:pPr>
                  <w:r>
                    <w:rPr>
                      <w:rFonts w:hint="eastAsia"/>
                      <w:szCs w:val="21"/>
                      <w:u w:val="none"/>
                    </w:rPr>
                    <w:t>达标</w:t>
                  </w:r>
                </w:p>
              </w:tc>
            </w:tr>
            <w:tr w14:paraId="394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7" w:type="pct"/>
                  <w:vMerge w:val="continue"/>
                  <w:vAlign w:val="center"/>
                </w:tcPr>
                <w:p w14:paraId="76E063F5">
                  <w:pPr>
                    <w:widowControl/>
                    <w:wordWrap w:val="0"/>
                    <w:jc w:val="center"/>
                    <w:textAlignment w:val="center"/>
                    <w:rPr>
                      <w:szCs w:val="21"/>
                      <w:u w:val="none"/>
                    </w:rPr>
                  </w:pPr>
                </w:p>
              </w:tc>
              <w:tc>
                <w:tcPr>
                  <w:tcW w:w="513" w:type="pct"/>
                  <w:vMerge w:val="continue"/>
                  <w:vAlign w:val="center"/>
                </w:tcPr>
                <w:p w14:paraId="2AD5A662">
                  <w:pPr>
                    <w:wordWrap w:val="0"/>
                    <w:jc w:val="center"/>
                    <w:rPr>
                      <w:szCs w:val="21"/>
                      <w:u w:val="none"/>
                    </w:rPr>
                  </w:pPr>
                </w:p>
              </w:tc>
              <w:tc>
                <w:tcPr>
                  <w:tcW w:w="977" w:type="pct"/>
                  <w:vAlign w:val="center"/>
                </w:tcPr>
                <w:p w14:paraId="479123C3">
                  <w:pPr>
                    <w:spacing w:line="300" w:lineRule="exact"/>
                    <w:jc w:val="center"/>
                    <w:rPr>
                      <w:szCs w:val="21"/>
                      <w:u w:val="none"/>
                    </w:rPr>
                  </w:pPr>
                  <w:r>
                    <w:rPr>
                      <w:rFonts w:hint="eastAsia"/>
                      <w:szCs w:val="21"/>
                      <w:u w:val="none"/>
                    </w:rPr>
                    <w:t>2022/12/26</w:t>
                  </w:r>
                </w:p>
              </w:tc>
              <w:tc>
                <w:tcPr>
                  <w:tcW w:w="1720" w:type="pct"/>
                  <w:vAlign w:val="center"/>
                </w:tcPr>
                <w:p w14:paraId="110A9A27">
                  <w:pPr>
                    <w:spacing w:line="300" w:lineRule="exact"/>
                    <w:jc w:val="center"/>
                    <w:rPr>
                      <w:szCs w:val="21"/>
                      <w:u w:val="none"/>
                    </w:rPr>
                  </w:pPr>
                  <w:r>
                    <w:rPr>
                      <w:rFonts w:hint="eastAsia"/>
                      <w:szCs w:val="21"/>
                      <w:u w:val="none"/>
                    </w:rPr>
                    <w:t>0.038</w:t>
                  </w:r>
                </w:p>
              </w:tc>
              <w:tc>
                <w:tcPr>
                  <w:tcW w:w="616" w:type="pct"/>
                  <w:vMerge w:val="continue"/>
                  <w:vAlign w:val="center"/>
                </w:tcPr>
                <w:p w14:paraId="578BB831">
                  <w:pPr>
                    <w:widowControl/>
                    <w:wordWrap w:val="0"/>
                    <w:spacing w:line="240" w:lineRule="exact"/>
                    <w:jc w:val="center"/>
                    <w:textAlignment w:val="center"/>
                    <w:rPr>
                      <w:szCs w:val="21"/>
                      <w:u w:val="none"/>
                    </w:rPr>
                  </w:pPr>
                </w:p>
              </w:tc>
              <w:tc>
                <w:tcPr>
                  <w:tcW w:w="554" w:type="pct"/>
                  <w:vAlign w:val="center"/>
                </w:tcPr>
                <w:p w14:paraId="33A98611">
                  <w:pPr>
                    <w:widowControl/>
                    <w:wordWrap w:val="0"/>
                    <w:spacing w:line="240" w:lineRule="exact"/>
                    <w:jc w:val="center"/>
                    <w:textAlignment w:val="center"/>
                    <w:rPr>
                      <w:szCs w:val="21"/>
                      <w:u w:val="none"/>
                    </w:rPr>
                  </w:pPr>
                  <w:r>
                    <w:rPr>
                      <w:rFonts w:hint="eastAsia"/>
                      <w:szCs w:val="21"/>
                      <w:u w:val="none"/>
                    </w:rPr>
                    <w:t>达标</w:t>
                  </w:r>
                </w:p>
              </w:tc>
            </w:tr>
          </w:tbl>
          <w:p w14:paraId="7AB1D029">
            <w:pPr>
              <w:wordWrap w:val="0"/>
              <w:spacing w:line="360" w:lineRule="auto"/>
              <w:ind w:firstLine="480" w:firstLineChars="200"/>
              <w:rPr>
                <w:rFonts w:hAnsi="宋体" w:cs="Courier New"/>
                <w:sz w:val="24"/>
                <w:u w:val="none"/>
              </w:rPr>
            </w:pPr>
            <w:r>
              <w:rPr>
                <w:rFonts w:hint="eastAsia"/>
                <w:sz w:val="24"/>
                <w:u w:val="none"/>
              </w:rPr>
              <w:t>根据上表监测结果，项目区</w:t>
            </w:r>
            <w:r>
              <w:rPr>
                <w:kern w:val="0"/>
                <w:sz w:val="24"/>
                <w:u w:val="none"/>
              </w:rPr>
              <w:t>TSP满足</w:t>
            </w:r>
            <w:r>
              <w:rPr>
                <w:rFonts w:hint="eastAsia"/>
                <w:kern w:val="0"/>
                <w:sz w:val="24"/>
                <w:u w:val="none"/>
              </w:rPr>
              <w:t>《环境空气质量标准》（GB 3095-2012）及其修改单</w:t>
            </w:r>
            <w:r>
              <w:rPr>
                <w:kern w:val="0"/>
                <w:sz w:val="24"/>
                <w:u w:val="none"/>
              </w:rPr>
              <w:t>二级标准中限值</w:t>
            </w:r>
            <w:r>
              <w:rPr>
                <w:rFonts w:hint="eastAsia" w:hAnsi="宋体" w:cs="Courier New"/>
                <w:sz w:val="24"/>
                <w:u w:val="none"/>
              </w:rPr>
              <w:t>。</w:t>
            </w:r>
          </w:p>
          <w:p w14:paraId="5A77DBB2">
            <w:pPr>
              <w:spacing w:line="360" w:lineRule="auto"/>
              <w:ind w:firstLine="480" w:firstLineChars="200"/>
              <w:rPr>
                <w:sz w:val="24"/>
                <w:u w:val="none"/>
              </w:rPr>
            </w:pPr>
            <w:r>
              <w:rPr>
                <w:sz w:val="24"/>
                <w:u w:val="none"/>
                <w:lang w:val="zh-CN"/>
              </w:rPr>
              <w:t>综上，项目所在区域环境</w:t>
            </w:r>
            <w:r>
              <w:rPr>
                <w:sz w:val="24"/>
                <w:u w:val="thick" w:color="FFB03A"/>
                <w:shd w:val="clear" w:fill="FFEFD7"/>
                <w:lang w:val="zh-CN"/>
              </w:rPr>
              <w:t>空气</w:t>
            </w:r>
            <w:r>
              <w:rPr>
                <w:sz w:val="24"/>
                <w:u w:val="none"/>
                <w:lang w:val="zh-CN"/>
              </w:rPr>
              <w:t>满足</w:t>
            </w:r>
            <w:r>
              <w:rPr>
                <w:rFonts w:hint="eastAsia" w:hAnsi="宋体" w:cs="Courier New"/>
                <w:sz w:val="24"/>
                <w:u w:val="none"/>
              </w:rPr>
              <w:t>《环境空气质量标准》（GB 3095-2012）及其修改单中的二级标准</w:t>
            </w:r>
            <w:r>
              <w:rPr>
                <w:sz w:val="24"/>
                <w:u w:val="none"/>
                <w:lang w:val="zh-CN"/>
              </w:rPr>
              <w:t>，环境空气质量良好</w:t>
            </w:r>
            <w:r>
              <w:rPr>
                <w:rFonts w:hAnsi="宋体" w:cs="Courier New"/>
                <w:sz w:val="24"/>
                <w:u w:val="none"/>
              </w:rPr>
              <w:t>。</w:t>
            </w:r>
          </w:p>
          <w:p w14:paraId="461FC9D0">
            <w:pPr>
              <w:adjustRightInd w:val="0"/>
              <w:spacing w:line="360" w:lineRule="auto"/>
              <w:ind w:firstLine="482" w:firstLineChars="200"/>
              <w:jc w:val="left"/>
              <w:rPr>
                <w:b/>
                <w:sz w:val="24"/>
                <w:u w:val="none"/>
              </w:rPr>
            </w:pPr>
            <w:r>
              <w:rPr>
                <w:rFonts w:hint="eastAsia" w:hAnsi="宋体"/>
                <w:b/>
                <w:sz w:val="24"/>
                <w:u w:val="none"/>
              </w:rPr>
              <w:t>2</w:t>
            </w:r>
            <w:r>
              <w:rPr>
                <w:rFonts w:hAnsi="宋体"/>
                <w:b/>
                <w:sz w:val="24"/>
                <w:u w:val="none"/>
              </w:rPr>
              <w:t>、地表水环境质量现状</w:t>
            </w:r>
          </w:p>
          <w:p w14:paraId="279767D5">
            <w:pPr>
              <w:spacing w:line="360" w:lineRule="auto"/>
              <w:ind w:firstLine="480" w:firstLineChars="200"/>
              <w:rPr>
                <w:sz w:val="24"/>
                <w:u w:val="none"/>
              </w:rPr>
            </w:pPr>
            <w:r>
              <w:rPr>
                <w:sz w:val="24"/>
                <w:u w:val="none"/>
              </w:rPr>
              <w:t>根据现场勘查，项目</w:t>
            </w:r>
            <w:r>
              <w:rPr>
                <w:rFonts w:hint="eastAsia"/>
                <w:sz w:val="24"/>
                <w:u w:val="none"/>
              </w:rPr>
              <w:t>南</w:t>
            </w:r>
            <w:r>
              <w:rPr>
                <w:sz w:val="24"/>
                <w:u w:val="none"/>
              </w:rPr>
              <w:t>侧</w:t>
            </w:r>
            <w:r>
              <w:rPr>
                <w:rFonts w:hint="eastAsia"/>
                <w:sz w:val="24"/>
                <w:u w:val="none"/>
              </w:rPr>
              <w:t>5</w:t>
            </w:r>
            <w:r>
              <w:rPr>
                <w:sz w:val="24"/>
                <w:u w:val="none"/>
              </w:rPr>
              <w:t>m处为</w:t>
            </w:r>
            <w:r>
              <w:rPr>
                <w:rFonts w:hint="eastAsia"/>
                <w:sz w:val="24"/>
                <w:u w:val="none"/>
              </w:rPr>
              <w:t>赤那河</w:t>
            </w:r>
            <w:r>
              <w:rPr>
                <w:sz w:val="24"/>
                <w:u w:val="none"/>
              </w:rPr>
              <w:t>，</w:t>
            </w:r>
            <w:r>
              <w:rPr>
                <w:rFonts w:hint="eastAsia"/>
                <w:sz w:val="24"/>
                <w:u w:val="none"/>
              </w:rPr>
              <w:t>赤那河最终汇入北盘江</w:t>
            </w:r>
            <w:r>
              <w:rPr>
                <w:sz w:val="24"/>
                <w:u w:val="none"/>
              </w:rPr>
              <w:t>。根据《云南省水功能区划</w:t>
            </w:r>
            <w:r>
              <w:rPr>
                <w:rFonts w:hint="eastAsia"/>
                <w:sz w:val="24"/>
                <w:u w:val="none"/>
              </w:rPr>
              <w:t>（2014年修订）</w:t>
            </w:r>
            <w:r>
              <w:rPr>
                <w:sz w:val="24"/>
                <w:u w:val="none"/>
              </w:rPr>
              <w:t>》</w:t>
            </w:r>
            <w:r>
              <w:rPr>
                <w:rFonts w:hint="eastAsia"/>
                <w:sz w:val="24"/>
                <w:u w:val="none"/>
              </w:rPr>
              <w:t>（云政复〔2014〕27号）：“赤那河宣威保留区：由宣威市河源至入格香河口（入北盘江河口），全长63.4km，现状水质为</w:t>
            </w:r>
            <w:r>
              <w:rPr>
                <w:sz w:val="24"/>
                <w:u w:val="none"/>
              </w:rPr>
              <w:t>Ⅲ</w:t>
            </w:r>
            <w:r>
              <w:rPr>
                <w:rFonts w:hint="eastAsia"/>
                <w:sz w:val="24"/>
                <w:u w:val="none"/>
              </w:rPr>
              <w:t>类，2030年水质目标为</w:t>
            </w:r>
            <w:r>
              <w:rPr>
                <w:sz w:val="24"/>
                <w:u w:val="none"/>
              </w:rPr>
              <w:t>Ⅲ</w:t>
            </w:r>
            <w:r>
              <w:rPr>
                <w:rFonts w:hint="eastAsia"/>
                <w:sz w:val="24"/>
                <w:u w:val="none"/>
              </w:rPr>
              <w:t>类”。因此，赤那河执行《地表水环境质量标准》（GB 3838-2002）</w:t>
            </w:r>
            <w:r>
              <w:rPr>
                <w:sz w:val="24"/>
                <w:u w:val="none"/>
              </w:rPr>
              <w:t>Ⅲ</w:t>
            </w:r>
            <w:r>
              <w:rPr>
                <w:rFonts w:hint="eastAsia"/>
                <w:sz w:val="24"/>
                <w:u w:val="none"/>
              </w:rPr>
              <w:t>类标准。</w:t>
            </w:r>
          </w:p>
          <w:p w14:paraId="02B02866">
            <w:pPr>
              <w:adjustRightInd w:val="0"/>
              <w:spacing w:line="360" w:lineRule="auto"/>
              <w:ind w:firstLine="480" w:firstLineChars="200"/>
              <w:jc w:val="left"/>
              <w:rPr>
                <w:bCs/>
                <w:sz w:val="24"/>
                <w:u w:val="none"/>
              </w:rPr>
            </w:pPr>
            <w:r>
              <w:rPr>
                <w:rFonts w:hint="eastAsia"/>
                <w:bCs/>
                <w:sz w:val="24"/>
                <w:u w:val="none"/>
              </w:rPr>
              <w:t>本项目地表水环境质量达标评价引用云南省生态环境厅驻曲靖市生态环境监测站在曲靖市生态环境局官网上公开发布的《2023年水环境质量</w:t>
            </w:r>
            <w:r>
              <w:rPr>
                <w:rFonts w:hint="eastAsia"/>
                <w:bCs/>
                <w:sz w:val="24"/>
                <w:u w:val="none" w:color="auto"/>
                <w:shd w:val="clear" w:fill="auto"/>
              </w:rPr>
              <w:t>》</w:t>
            </w:r>
            <w:r>
              <w:rPr>
                <w:rFonts w:hint="eastAsia"/>
                <w:bCs/>
                <w:sz w:val="24"/>
                <w:u w:val="none"/>
              </w:rPr>
              <w:t>中“</w:t>
            </w:r>
            <w:r>
              <w:rPr>
                <w:rFonts w:hint="eastAsia"/>
                <w:sz w:val="24"/>
                <w:u w:val="none"/>
              </w:rPr>
              <w:t>省</w:t>
            </w:r>
            <w:r>
              <w:rPr>
                <w:sz w:val="24"/>
                <w:u w:val="none"/>
              </w:rPr>
              <w:t>控断面</w:t>
            </w:r>
            <w:r>
              <w:rPr>
                <w:rFonts w:hint="eastAsia"/>
                <w:sz w:val="24"/>
                <w:u w:val="none"/>
              </w:rPr>
              <w:t>亦那河（赤那河）</w:t>
            </w:r>
            <w:r>
              <w:rPr>
                <w:sz w:val="24"/>
                <w:u w:val="none"/>
              </w:rPr>
              <w:t>断面</w:t>
            </w:r>
            <w:r>
              <w:rPr>
                <w:rFonts w:hint="eastAsia"/>
                <w:bCs/>
                <w:sz w:val="24"/>
                <w:u w:val="none"/>
              </w:rPr>
              <w:t>”的水质情况。引用水质类别情况统计表见表3-3。</w:t>
            </w:r>
          </w:p>
          <w:p w14:paraId="0A358FF6">
            <w:pPr>
              <w:adjustRightInd w:val="0"/>
              <w:snapToGrid w:val="0"/>
              <w:ind w:firstLine="422" w:firstLineChars="200"/>
              <w:jc w:val="center"/>
              <w:rPr>
                <w:b/>
                <w:szCs w:val="21"/>
                <w:u w:val="none"/>
                <w:vertAlign w:val="superscript"/>
              </w:rPr>
            </w:pPr>
            <w:r>
              <w:rPr>
                <w:b/>
                <w:szCs w:val="21"/>
                <w:u w:val="none"/>
              </w:rPr>
              <w:t>表3-</w:t>
            </w:r>
            <w:r>
              <w:rPr>
                <w:rFonts w:hint="eastAsia"/>
                <w:b/>
                <w:szCs w:val="21"/>
                <w:u w:val="none"/>
              </w:rPr>
              <w:t xml:space="preserve">3 </w:t>
            </w:r>
            <w:r>
              <w:rPr>
                <w:b/>
                <w:szCs w:val="21"/>
                <w:u w:val="none"/>
              </w:rPr>
              <w:t xml:space="preserve">  2023</w:t>
            </w:r>
            <w:r>
              <w:rPr>
                <w:rFonts w:hint="eastAsia"/>
                <w:b/>
                <w:szCs w:val="21"/>
                <w:u w:val="none"/>
              </w:rPr>
              <w:t>年省</w:t>
            </w:r>
            <w:r>
              <w:rPr>
                <w:b/>
                <w:szCs w:val="21"/>
                <w:u w:val="none"/>
              </w:rPr>
              <w:t>控断面</w:t>
            </w:r>
            <w:r>
              <w:rPr>
                <w:rFonts w:hint="eastAsia"/>
                <w:b/>
                <w:szCs w:val="21"/>
                <w:u w:val="none"/>
              </w:rPr>
              <w:t>亦那河（赤那河）</w:t>
            </w:r>
            <w:r>
              <w:rPr>
                <w:b/>
                <w:szCs w:val="21"/>
                <w:u w:val="none"/>
              </w:rPr>
              <w:t>断面</w:t>
            </w:r>
            <w:r>
              <w:rPr>
                <w:rFonts w:hint="eastAsia"/>
                <w:b/>
                <w:szCs w:val="21"/>
                <w:u w:val="none"/>
              </w:rPr>
              <w:t>水质类别情况表</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5"/>
              <w:gridCol w:w="742"/>
              <w:gridCol w:w="861"/>
              <w:gridCol w:w="938"/>
              <w:gridCol w:w="1031"/>
              <w:gridCol w:w="1031"/>
              <w:gridCol w:w="1031"/>
              <w:gridCol w:w="1031"/>
              <w:gridCol w:w="1031"/>
            </w:tblGrid>
            <w:tr w14:paraId="2ED80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6" w:type="pct"/>
                  <w:vAlign w:val="center"/>
                </w:tcPr>
                <w:p w14:paraId="37A934B9">
                  <w:pPr>
                    <w:wordWrap w:val="0"/>
                    <w:snapToGrid w:val="0"/>
                    <w:jc w:val="center"/>
                    <w:rPr>
                      <w:szCs w:val="21"/>
                      <w:u w:val="none"/>
                    </w:rPr>
                  </w:pPr>
                  <w:r>
                    <w:rPr>
                      <w:rFonts w:hint="eastAsia"/>
                      <w:szCs w:val="21"/>
                      <w:u w:val="none"/>
                    </w:rPr>
                    <w:t>水系</w:t>
                  </w:r>
                </w:p>
              </w:tc>
              <w:tc>
                <w:tcPr>
                  <w:tcW w:w="431" w:type="pct"/>
                  <w:vAlign w:val="center"/>
                </w:tcPr>
                <w:p w14:paraId="51B15D57">
                  <w:pPr>
                    <w:wordWrap w:val="0"/>
                    <w:snapToGrid w:val="0"/>
                    <w:jc w:val="center"/>
                    <w:rPr>
                      <w:szCs w:val="21"/>
                      <w:u w:val="none"/>
                    </w:rPr>
                  </w:pPr>
                  <w:r>
                    <w:rPr>
                      <w:rFonts w:hint="eastAsia"/>
                      <w:szCs w:val="21"/>
                      <w:u w:val="none"/>
                    </w:rPr>
                    <w:t>所在河流</w:t>
                  </w:r>
                </w:p>
              </w:tc>
              <w:tc>
                <w:tcPr>
                  <w:tcW w:w="500" w:type="pct"/>
                  <w:vAlign w:val="center"/>
                </w:tcPr>
                <w:p w14:paraId="311A867A">
                  <w:pPr>
                    <w:wordWrap w:val="0"/>
                    <w:snapToGrid w:val="0"/>
                    <w:jc w:val="center"/>
                    <w:rPr>
                      <w:szCs w:val="21"/>
                      <w:u w:val="none"/>
                    </w:rPr>
                  </w:pPr>
                  <w:r>
                    <w:rPr>
                      <w:rFonts w:hint="eastAsia"/>
                      <w:szCs w:val="21"/>
                      <w:u w:val="none"/>
                    </w:rPr>
                    <w:t>断面名称</w:t>
                  </w:r>
                </w:p>
              </w:tc>
              <w:tc>
                <w:tcPr>
                  <w:tcW w:w="545" w:type="pct"/>
                  <w:vAlign w:val="center"/>
                </w:tcPr>
                <w:p w14:paraId="7DBE5CBD">
                  <w:pPr>
                    <w:wordWrap w:val="0"/>
                    <w:snapToGrid w:val="0"/>
                    <w:jc w:val="center"/>
                    <w:rPr>
                      <w:szCs w:val="21"/>
                      <w:u w:val="none"/>
                    </w:rPr>
                  </w:pPr>
                  <w:r>
                    <w:rPr>
                      <w:rFonts w:hint="eastAsia"/>
                      <w:szCs w:val="21"/>
                      <w:u w:val="none"/>
                    </w:rPr>
                    <w:t>城市名称</w:t>
                  </w:r>
                </w:p>
              </w:tc>
              <w:tc>
                <w:tcPr>
                  <w:tcW w:w="599" w:type="pct"/>
                  <w:vAlign w:val="center"/>
                </w:tcPr>
                <w:p w14:paraId="1BD58307">
                  <w:pPr>
                    <w:wordWrap w:val="0"/>
                    <w:snapToGrid w:val="0"/>
                    <w:jc w:val="center"/>
                    <w:rPr>
                      <w:szCs w:val="21"/>
                      <w:u w:val="none"/>
                    </w:rPr>
                  </w:pPr>
                  <w:r>
                    <w:rPr>
                      <w:rFonts w:hint="eastAsia"/>
                      <w:szCs w:val="21"/>
                      <w:u w:val="none"/>
                    </w:rPr>
                    <w:t>所在区县</w:t>
                  </w:r>
                </w:p>
              </w:tc>
              <w:tc>
                <w:tcPr>
                  <w:tcW w:w="599" w:type="pct"/>
                  <w:vAlign w:val="center"/>
                </w:tcPr>
                <w:p w14:paraId="78234F9E">
                  <w:pPr>
                    <w:wordWrap w:val="0"/>
                    <w:snapToGrid w:val="0"/>
                    <w:jc w:val="center"/>
                    <w:rPr>
                      <w:szCs w:val="21"/>
                      <w:u w:val="none"/>
                    </w:rPr>
                  </w:pPr>
                  <w:r>
                    <w:rPr>
                      <w:rFonts w:hint="eastAsia"/>
                      <w:szCs w:val="21"/>
                      <w:u w:val="none"/>
                    </w:rPr>
                    <w:t>控制级别</w:t>
                  </w:r>
                </w:p>
              </w:tc>
              <w:tc>
                <w:tcPr>
                  <w:tcW w:w="599" w:type="pct"/>
                  <w:vAlign w:val="center"/>
                </w:tcPr>
                <w:p w14:paraId="7B5217D3">
                  <w:pPr>
                    <w:wordWrap w:val="0"/>
                    <w:snapToGrid w:val="0"/>
                    <w:jc w:val="center"/>
                    <w:rPr>
                      <w:szCs w:val="21"/>
                      <w:u w:val="none"/>
                    </w:rPr>
                  </w:pPr>
                  <w:r>
                    <w:rPr>
                      <w:rFonts w:hint="eastAsia"/>
                      <w:szCs w:val="21"/>
                      <w:u w:val="none"/>
                    </w:rPr>
                    <w:t>时间</w:t>
                  </w:r>
                </w:p>
              </w:tc>
              <w:tc>
                <w:tcPr>
                  <w:tcW w:w="599" w:type="pct"/>
                  <w:vAlign w:val="center"/>
                </w:tcPr>
                <w:p w14:paraId="1E2D5945">
                  <w:pPr>
                    <w:wordWrap w:val="0"/>
                    <w:snapToGrid w:val="0"/>
                    <w:jc w:val="center"/>
                    <w:rPr>
                      <w:szCs w:val="21"/>
                      <w:u w:val="none"/>
                    </w:rPr>
                  </w:pPr>
                  <w:r>
                    <w:rPr>
                      <w:rFonts w:hint="eastAsia"/>
                      <w:szCs w:val="21"/>
                      <w:u w:val="none"/>
                    </w:rPr>
                    <w:t>功能区类别</w:t>
                  </w:r>
                </w:p>
              </w:tc>
              <w:tc>
                <w:tcPr>
                  <w:tcW w:w="599" w:type="pct"/>
                  <w:vAlign w:val="center"/>
                </w:tcPr>
                <w:p w14:paraId="10515554">
                  <w:pPr>
                    <w:wordWrap w:val="0"/>
                    <w:snapToGrid w:val="0"/>
                    <w:jc w:val="center"/>
                    <w:rPr>
                      <w:szCs w:val="21"/>
                      <w:u w:val="none"/>
                    </w:rPr>
                  </w:pPr>
                  <w:r>
                    <w:rPr>
                      <w:rFonts w:hint="eastAsia"/>
                      <w:szCs w:val="21"/>
                      <w:u w:val="none"/>
                    </w:rPr>
                    <w:t>水质类别</w:t>
                  </w:r>
                </w:p>
              </w:tc>
            </w:tr>
            <w:tr w14:paraId="0822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26" w:type="pct"/>
                  <w:vAlign w:val="center"/>
                </w:tcPr>
                <w:p w14:paraId="5CFF50D2">
                  <w:pPr>
                    <w:wordWrap w:val="0"/>
                    <w:snapToGrid w:val="0"/>
                    <w:jc w:val="center"/>
                    <w:rPr>
                      <w:szCs w:val="21"/>
                      <w:u w:val="none"/>
                    </w:rPr>
                  </w:pPr>
                  <w:r>
                    <w:rPr>
                      <w:rFonts w:hint="eastAsia"/>
                      <w:szCs w:val="21"/>
                      <w:u w:val="none"/>
                    </w:rPr>
                    <w:t>珠江流域</w:t>
                  </w:r>
                </w:p>
              </w:tc>
              <w:tc>
                <w:tcPr>
                  <w:tcW w:w="742" w:type="dxa"/>
                  <w:vAlign w:val="center"/>
                </w:tcPr>
                <w:p w14:paraId="15C483BD">
                  <w:pPr>
                    <w:topLinePunct/>
                    <w:adjustRightInd w:val="0"/>
                    <w:snapToGrid w:val="0"/>
                    <w:spacing w:before="24" w:after="24"/>
                    <w:jc w:val="center"/>
                    <w:rPr>
                      <w:szCs w:val="21"/>
                      <w:u w:val="none"/>
                    </w:rPr>
                  </w:pPr>
                  <w:r>
                    <w:rPr>
                      <w:rFonts w:hint="eastAsia"/>
                      <w:szCs w:val="21"/>
                      <w:u w:val="none"/>
                    </w:rPr>
                    <w:t>亦那河（赤那河）</w:t>
                  </w:r>
                </w:p>
              </w:tc>
              <w:tc>
                <w:tcPr>
                  <w:tcW w:w="861" w:type="dxa"/>
                  <w:vAlign w:val="center"/>
                </w:tcPr>
                <w:p w14:paraId="59C20F6E">
                  <w:pPr>
                    <w:topLinePunct/>
                    <w:adjustRightInd w:val="0"/>
                    <w:snapToGrid w:val="0"/>
                    <w:spacing w:before="24" w:after="24"/>
                    <w:jc w:val="center"/>
                    <w:rPr>
                      <w:szCs w:val="21"/>
                      <w:u w:val="none"/>
                    </w:rPr>
                  </w:pPr>
                  <w:r>
                    <w:rPr>
                      <w:rFonts w:hint="eastAsia"/>
                      <w:szCs w:val="21"/>
                      <w:u w:val="none"/>
                    </w:rPr>
                    <w:t>亦那河（赤那河）</w:t>
                  </w:r>
                </w:p>
              </w:tc>
              <w:tc>
                <w:tcPr>
                  <w:tcW w:w="545" w:type="pct"/>
                  <w:vAlign w:val="center"/>
                </w:tcPr>
                <w:p w14:paraId="1E49F7A6">
                  <w:pPr>
                    <w:wordWrap w:val="0"/>
                    <w:snapToGrid w:val="0"/>
                    <w:jc w:val="center"/>
                    <w:rPr>
                      <w:szCs w:val="21"/>
                      <w:u w:val="none"/>
                    </w:rPr>
                  </w:pPr>
                  <w:r>
                    <w:rPr>
                      <w:rFonts w:hint="eastAsia"/>
                      <w:szCs w:val="21"/>
                      <w:u w:val="none"/>
                    </w:rPr>
                    <w:t>曲靖市</w:t>
                  </w:r>
                </w:p>
              </w:tc>
              <w:tc>
                <w:tcPr>
                  <w:tcW w:w="599" w:type="pct"/>
                  <w:vAlign w:val="center"/>
                </w:tcPr>
                <w:p w14:paraId="5674798B">
                  <w:pPr>
                    <w:wordWrap w:val="0"/>
                    <w:snapToGrid w:val="0"/>
                    <w:jc w:val="center"/>
                    <w:rPr>
                      <w:szCs w:val="21"/>
                      <w:u w:val="none"/>
                    </w:rPr>
                  </w:pPr>
                  <w:r>
                    <w:rPr>
                      <w:rFonts w:hint="eastAsia"/>
                      <w:szCs w:val="21"/>
                      <w:u w:val="none"/>
                    </w:rPr>
                    <w:t>宣威市</w:t>
                  </w:r>
                </w:p>
              </w:tc>
              <w:tc>
                <w:tcPr>
                  <w:tcW w:w="599" w:type="pct"/>
                  <w:vAlign w:val="center"/>
                </w:tcPr>
                <w:p w14:paraId="635DD649">
                  <w:pPr>
                    <w:wordWrap w:val="0"/>
                    <w:snapToGrid w:val="0"/>
                    <w:jc w:val="center"/>
                    <w:rPr>
                      <w:szCs w:val="21"/>
                      <w:u w:val="none"/>
                    </w:rPr>
                  </w:pPr>
                  <w:r>
                    <w:rPr>
                      <w:rFonts w:hint="eastAsia"/>
                      <w:szCs w:val="21"/>
                      <w:u w:val="none"/>
                    </w:rPr>
                    <w:t>省控</w:t>
                  </w:r>
                </w:p>
              </w:tc>
              <w:tc>
                <w:tcPr>
                  <w:tcW w:w="599" w:type="pct"/>
                  <w:vAlign w:val="center"/>
                </w:tcPr>
                <w:p w14:paraId="16679EA0">
                  <w:pPr>
                    <w:wordWrap w:val="0"/>
                    <w:snapToGrid w:val="0"/>
                    <w:jc w:val="center"/>
                    <w:rPr>
                      <w:szCs w:val="21"/>
                      <w:u w:val="none"/>
                    </w:rPr>
                  </w:pPr>
                  <w:r>
                    <w:rPr>
                      <w:rFonts w:hint="eastAsia"/>
                      <w:szCs w:val="21"/>
                      <w:u w:val="none"/>
                    </w:rPr>
                    <w:t>2023年</w:t>
                  </w:r>
                </w:p>
              </w:tc>
              <w:tc>
                <w:tcPr>
                  <w:tcW w:w="599" w:type="pct"/>
                  <w:vAlign w:val="center"/>
                </w:tcPr>
                <w:p w14:paraId="59198BC4">
                  <w:pPr>
                    <w:wordWrap w:val="0"/>
                    <w:snapToGrid w:val="0"/>
                    <w:jc w:val="center"/>
                    <w:rPr>
                      <w:szCs w:val="21"/>
                      <w:u w:val="none"/>
                    </w:rPr>
                  </w:pPr>
                  <w:r>
                    <w:rPr>
                      <w:szCs w:val="21"/>
                      <w:u w:val="none"/>
                    </w:rPr>
                    <w:t>Ⅲ</w:t>
                  </w:r>
                  <w:r>
                    <w:rPr>
                      <w:rFonts w:hint="eastAsia"/>
                      <w:szCs w:val="21"/>
                      <w:u w:val="none"/>
                    </w:rPr>
                    <w:t>类</w:t>
                  </w:r>
                </w:p>
              </w:tc>
              <w:tc>
                <w:tcPr>
                  <w:tcW w:w="599" w:type="pct"/>
                  <w:vAlign w:val="center"/>
                </w:tcPr>
                <w:p w14:paraId="1EA10008">
                  <w:pPr>
                    <w:wordWrap w:val="0"/>
                    <w:snapToGrid w:val="0"/>
                    <w:jc w:val="center"/>
                    <w:rPr>
                      <w:szCs w:val="21"/>
                      <w:u w:val="none"/>
                    </w:rPr>
                  </w:pPr>
                  <w:r>
                    <w:rPr>
                      <w:szCs w:val="21"/>
                      <w:u w:val="none"/>
                    </w:rPr>
                    <w:t>Ⅲ</w:t>
                  </w:r>
                  <w:r>
                    <w:rPr>
                      <w:rFonts w:hint="eastAsia"/>
                      <w:szCs w:val="21"/>
                      <w:u w:val="none"/>
                    </w:rPr>
                    <w:t>类</w:t>
                  </w:r>
                </w:p>
              </w:tc>
            </w:tr>
          </w:tbl>
          <w:p w14:paraId="4A150484">
            <w:pPr>
              <w:spacing w:line="360" w:lineRule="auto"/>
              <w:ind w:firstLine="480" w:firstLineChars="200"/>
              <w:rPr>
                <w:bCs/>
                <w:sz w:val="24"/>
                <w:u w:val="none"/>
              </w:rPr>
            </w:pPr>
            <w:r>
              <w:rPr>
                <w:rFonts w:hint="eastAsia"/>
                <w:bCs/>
                <w:sz w:val="24"/>
                <w:u w:val="none"/>
              </w:rPr>
              <w:t>根据云南省生态环境厅驻曲靖市生态环境监测站在曲靖市生态环境局官网上公开发布的《2023年水环境质量</w:t>
            </w:r>
            <w:r>
              <w:rPr>
                <w:rFonts w:hint="eastAsia"/>
                <w:bCs/>
                <w:sz w:val="24"/>
                <w:u w:val="none" w:color="auto"/>
                <w:shd w:val="clear" w:fill="auto"/>
              </w:rPr>
              <w:t>》</w:t>
            </w:r>
            <w:r>
              <w:rPr>
                <w:rFonts w:hint="eastAsia"/>
                <w:bCs/>
                <w:sz w:val="24"/>
                <w:u w:val="none"/>
              </w:rPr>
              <w:t>，</w:t>
            </w:r>
            <w:r>
              <w:rPr>
                <w:rFonts w:hint="eastAsia"/>
                <w:sz w:val="24"/>
                <w:u w:val="none"/>
              </w:rPr>
              <w:t>省</w:t>
            </w:r>
            <w:r>
              <w:rPr>
                <w:sz w:val="24"/>
                <w:u w:val="none"/>
              </w:rPr>
              <w:t>控断面</w:t>
            </w:r>
            <w:r>
              <w:rPr>
                <w:rFonts w:hint="eastAsia"/>
                <w:sz w:val="24"/>
                <w:u w:val="none"/>
              </w:rPr>
              <w:t>亦那河（赤那河）</w:t>
            </w:r>
            <w:r>
              <w:rPr>
                <w:sz w:val="24"/>
                <w:u w:val="none"/>
              </w:rPr>
              <w:t>断面</w:t>
            </w:r>
            <w:r>
              <w:rPr>
                <w:rFonts w:hint="eastAsia"/>
                <w:bCs/>
                <w:sz w:val="24"/>
                <w:u w:val="none"/>
              </w:rPr>
              <w:t>水质状况为良好，水质类别为</w:t>
            </w:r>
            <w:r>
              <w:rPr>
                <w:sz w:val="24"/>
                <w:u w:val="none"/>
              </w:rPr>
              <w:t>Ⅲ</w:t>
            </w:r>
            <w:r>
              <w:rPr>
                <w:rFonts w:hint="eastAsia"/>
                <w:bCs/>
                <w:sz w:val="24"/>
                <w:u w:val="none"/>
              </w:rPr>
              <w:t>类。</w:t>
            </w:r>
          </w:p>
          <w:p w14:paraId="020DEAA8">
            <w:pPr>
              <w:adjustRightInd w:val="0"/>
              <w:spacing w:line="360" w:lineRule="auto"/>
              <w:ind w:firstLine="482" w:firstLineChars="200"/>
              <w:jc w:val="left"/>
              <w:rPr>
                <w:b/>
                <w:sz w:val="24"/>
                <w:u w:val="none"/>
              </w:rPr>
            </w:pPr>
            <w:r>
              <w:rPr>
                <w:rFonts w:hint="eastAsia" w:hAnsi="宋体"/>
                <w:b/>
                <w:sz w:val="24"/>
                <w:u w:val="none"/>
              </w:rPr>
              <w:t>3</w:t>
            </w:r>
            <w:r>
              <w:rPr>
                <w:rFonts w:hAnsi="宋体"/>
                <w:b/>
                <w:sz w:val="24"/>
                <w:u w:val="none"/>
              </w:rPr>
              <w:t>、声环境质量现状</w:t>
            </w:r>
          </w:p>
          <w:p w14:paraId="0BCFFFE3">
            <w:pPr>
              <w:spacing w:line="360" w:lineRule="auto"/>
              <w:ind w:firstLine="480" w:firstLineChars="200"/>
              <w:rPr>
                <w:sz w:val="24"/>
                <w:u w:val="none"/>
              </w:rPr>
            </w:pPr>
            <w:r>
              <w:rPr>
                <w:sz w:val="24"/>
                <w:u w:val="none"/>
              </w:rPr>
              <w:t>项目地处</w:t>
            </w:r>
            <w:r>
              <w:rPr>
                <w:rFonts w:hint="eastAsia"/>
                <w:sz w:val="24"/>
                <w:u w:val="none"/>
              </w:rPr>
              <w:t>曲靖市宣威市羊场产业园区水泥厂大桥头起</w:t>
            </w:r>
            <w:r>
              <w:rPr>
                <w:sz w:val="24"/>
                <w:u w:val="none"/>
              </w:rPr>
              <w:t>，</w:t>
            </w:r>
            <w:r>
              <w:rPr>
                <w:rFonts w:hint="eastAsia"/>
                <w:sz w:val="24"/>
                <w:u w:val="none"/>
              </w:rPr>
              <w:t>位于羊场产业园内，</w:t>
            </w:r>
            <w:r>
              <w:rPr>
                <w:sz w:val="24"/>
                <w:u w:val="none"/>
              </w:rPr>
              <w:t>声环境属</w:t>
            </w:r>
            <w:r>
              <w:rPr>
                <w:rFonts w:hint="eastAsia"/>
                <w:sz w:val="24"/>
                <w:u w:val="none"/>
              </w:rPr>
              <w:t>3</w:t>
            </w:r>
            <w:r>
              <w:rPr>
                <w:sz w:val="24"/>
                <w:u w:val="none"/>
              </w:rPr>
              <w:t>类区，执行《声环境质量标准》（GB</w:t>
            </w:r>
            <w:r>
              <w:rPr>
                <w:rFonts w:hint="eastAsia"/>
                <w:sz w:val="24"/>
                <w:u w:val="none"/>
              </w:rPr>
              <w:t xml:space="preserve"> </w:t>
            </w:r>
            <w:r>
              <w:rPr>
                <w:sz w:val="24"/>
                <w:u w:val="none"/>
              </w:rPr>
              <w:t>3096-2008）中的</w:t>
            </w:r>
            <w:r>
              <w:rPr>
                <w:rFonts w:hint="eastAsia"/>
                <w:sz w:val="24"/>
                <w:u w:val="none"/>
              </w:rPr>
              <w:t>3</w:t>
            </w:r>
            <w:r>
              <w:rPr>
                <w:sz w:val="24"/>
                <w:u w:val="none"/>
              </w:rPr>
              <w:t>类标准。</w:t>
            </w:r>
          </w:p>
          <w:p w14:paraId="6F8CBE37">
            <w:pPr>
              <w:spacing w:line="360" w:lineRule="auto"/>
              <w:ind w:firstLine="480" w:firstLineChars="200"/>
              <w:rPr>
                <w:sz w:val="24"/>
                <w:u w:val="none"/>
              </w:rPr>
            </w:pPr>
            <w:r>
              <w:rPr>
                <w:sz w:val="24"/>
                <w:u w:val="none"/>
              </w:rPr>
              <w:t>根据《建设项目环境影响报告表编制技术指南（污染影响类）（试行）》</w:t>
            </w:r>
            <w:r>
              <w:rPr>
                <w:rFonts w:hint="eastAsia"/>
                <w:sz w:val="24"/>
                <w:u w:val="none"/>
              </w:rPr>
              <w:t>“</w:t>
            </w:r>
            <w:r>
              <w:rPr>
                <w:sz w:val="24"/>
                <w:u w:val="none"/>
              </w:rPr>
              <w:t>厂界外周边50米范围内存在声环境保护目标的建设项目，应监测保护目标声环境质量现状并评价达标情况。各点位应监测昼夜间噪声，监测时间不少于1天，项目夜间不生产则仅监测昼间噪声。</w:t>
            </w:r>
            <w:r>
              <w:rPr>
                <w:rFonts w:hint="eastAsia"/>
                <w:sz w:val="24"/>
                <w:u w:val="none"/>
              </w:rPr>
              <w:t>”</w:t>
            </w:r>
            <w:r>
              <w:rPr>
                <w:sz w:val="24"/>
                <w:u w:val="none"/>
              </w:rPr>
              <w:t>项目周边50m范围内不存在声环境保护目标，故不进行声环境现状监测。</w:t>
            </w:r>
          </w:p>
          <w:p w14:paraId="5E1A1D2A">
            <w:pPr>
              <w:spacing w:line="360" w:lineRule="auto"/>
              <w:ind w:firstLine="480" w:firstLineChars="200"/>
              <w:rPr>
                <w:sz w:val="24"/>
                <w:u w:val="none"/>
              </w:rPr>
            </w:pPr>
            <w:r>
              <w:rPr>
                <w:sz w:val="24"/>
                <w:u w:val="none"/>
              </w:rPr>
              <w:t>根据现场踏勘可知，项目</w:t>
            </w:r>
            <w:r>
              <w:rPr>
                <w:rFonts w:hint="eastAsia"/>
                <w:sz w:val="24"/>
                <w:u w:val="none"/>
              </w:rPr>
              <w:t>距离</w:t>
            </w:r>
            <w:r>
              <w:rPr>
                <w:sz w:val="24"/>
                <w:u w:val="none"/>
              </w:rPr>
              <w:t>高强度噪声污染型企业</w:t>
            </w:r>
            <w:r>
              <w:rPr>
                <w:rFonts w:hint="eastAsia"/>
                <w:sz w:val="24"/>
                <w:u w:val="none"/>
              </w:rPr>
              <w:t>较远</w:t>
            </w:r>
            <w:r>
              <w:rPr>
                <w:sz w:val="24"/>
                <w:u w:val="none"/>
              </w:rPr>
              <w:t>，</w:t>
            </w:r>
            <w:r>
              <w:rPr>
                <w:rFonts w:hint="eastAsia"/>
                <w:sz w:val="24"/>
                <w:u w:val="none"/>
              </w:rPr>
              <w:t>周边</w:t>
            </w:r>
            <w:r>
              <w:rPr>
                <w:sz w:val="24"/>
                <w:u w:val="none"/>
              </w:rPr>
              <w:t>声环境质量现状良好，能满足《声环境质量标准》（GB</w:t>
            </w:r>
            <w:r>
              <w:rPr>
                <w:rFonts w:hint="eastAsia"/>
                <w:sz w:val="24"/>
                <w:u w:val="none"/>
              </w:rPr>
              <w:t xml:space="preserve"> </w:t>
            </w:r>
            <w:r>
              <w:rPr>
                <w:sz w:val="24"/>
                <w:u w:val="none"/>
              </w:rPr>
              <w:t>3096-2008）中的</w:t>
            </w:r>
            <w:r>
              <w:rPr>
                <w:rFonts w:hint="eastAsia"/>
                <w:sz w:val="24"/>
                <w:u w:val="none"/>
              </w:rPr>
              <w:t>3</w:t>
            </w:r>
            <w:r>
              <w:rPr>
                <w:sz w:val="24"/>
                <w:u w:val="none"/>
              </w:rPr>
              <w:t>类标准。</w:t>
            </w:r>
          </w:p>
          <w:p w14:paraId="63893583">
            <w:pPr>
              <w:adjustRightInd w:val="0"/>
              <w:spacing w:line="360" w:lineRule="auto"/>
              <w:ind w:firstLine="482" w:firstLineChars="200"/>
              <w:jc w:val="left"/>
              <w:rPr>
                <w:b/>
                <w:sz w:val="24"/>
                <w:u w:val="none"/>
              </w:rPr>
            </w:pPr>
            <w:r>
              <w:rPr>
                <w:rFonts w:hint="eastAsia" w:hAnsi="宋体"/>
                <w:b/>
                <w:sz w:val="24"/>
                <w:u w:val="none"/>
              </w:rPr>
              <w:t>4、</w:t>
            </w:r>
            <w:r>
              <w:rPr>
                <w:rFonts w:hAnsi="宋体"/>
                <w:b/>
                <w:sz w:val="24"/>
                <w:u w:val="none"/>
              </w:rPr>
              <w:t>生态环境质量现状</w:t>
            </w:r>
          </w:p>
          <w:p w14:paraId="094C3126">
            <w:pPr>
              <w:adjustRightInd w:val="0"/>
              <w:spacing w:line="360" w:lineRule="auto"/>
              <w:ind w:firstLine="480" w:firstLineChars="200"/>
              <w:jc w:val="left"/>
              <w:rPr>
                <w:sz w:val="24"/>
                <w:u w:val="none"/>
              </w:rPr>
            </w:pPr>
            <w:r>
              <w:rPr>
                <w:rFonts w:hint="eastAsia" w:ascii="宋体" w:hAnsi="宋体"/>
                <w:bCs/>
                <w:sz w:val="24"/>
                <w:u w:val="none"/>
              </w:rPr>
              <w:t>根据现场勘查，建设场地为一闲置荒地，有少量杂草。</w:t>
            </w:r>
            <w:r>
              <w:rPr>
                <w:rFonts w:hint="eastAsia"/>
                <w:sz w:val="24"/>
                <w:u w:val="none"/>
              </w:rPr>
              <w:t>周边区域植物类型以人工植被为主，主要为云南松及小灌木，无特殊保护的物种分布。周边灌木丛中仅有一些小型哺乳动物、蛙类等，如田鼠、野兔以及蟾蜍等，由现场调查走访可知，田鼠、野兔其数量不多，已不常见。周边区域未发现重要或特殊的植物群落分布区、珍稀野生植物，也没有发现国家及地方保护级别的植物种类。评价区内植物均为常见或地带性植物。</w:t>
            </w:r>
          </w:p>
          <w:p w14:paraId="6B181BFA">
            <w:pPr>
              <w:pStyle w:val="49"/>
              <w:adjustRightInd/>
              <w:snapToGrid/>
              <w:spacing w:line="360" w:lineRule="auto"/>
              <w:ind w:firstLine="480" w:firstLineChars="200"/>
              <w:jc w:val="both"/>
              <w:rPr>
                <w:rFonts w:ascii="宋体" w:hAnsi="宋体"/>
                <w:bCs/>
                <w:u w:val="none"/>
              </w:rPr>
            </w:pPr>
            <w:r>
              <w:rPr>
                <w:rFonts w:hint="eastAsia"/>
                <w:u w:val="none"/>
              </w:rPr>
              <w:t>综上所述，项目周边区域无自然保护区、风景名胜区、文物古迹等环境敏感目标。未发现珍稀野生动植物，或国家及地方保护级别的动植物种类</w:t>
            </w:r>
            <w:r>
              <w:rPr>
                <w:rFonts w:hint="eastAsia" w:ascii="宋体" w:hAnsi="宋体"/>
                <w:bCs/>
                <w:u w:val="none"/>
              </w:rPr>
              <w:t>分布。</w:t>
            </w:r>
            <w:r>
              <w:rPr>
                <w:szCs w:val="22"/>
                <w:u w:val="none"/>
              </w:rPr>
              <w:t>项目用地范围无生态环境保护目标</w:t>
            </w:r>
            <w:r>
              <w:rPr>
                <w:u w:val="none"/>
              </w:rPr>
              <w:t>，不开展生态现状调查</w:t>
            </w:r>
            <w:r>
              <w:rPr>
                <w:rFonts w:hint="eastAsia"/>
                <w:u w:val="none"/>
              </w:rPr>
              <w:t>。</w:t>
            </w:r>
          </w:p>
          <w:p w14:paraId="739E39B0">
            <w:pPr>
              <w:pStyle w:val="49"/>
              <w:adjustRightInd/>
              <w:snapToGrid/>
              <w:spacing w:line="360" w:lineRule="auto"/>
              <w:ind w:firstLine="482" w:firstLineChars="200"/>
              <w:jc w:val="both"/>
              <w:rPr>
                <w:b/>
                <w:bCs/>
                <w:u w:val="none"/>
              </w:rPr>
            </w:pPr>
            <w:r>
              <w:rPr>
                <w:rFonts w:hint="eastAsia"/>
                <w:b/>
                <w:bCs/>
                <w:u w:val="none"/>
              </w:rPr>
              <w:t>5、</w:t>
            </w:r>
            <w:r>
              <w:rPr>
                <w:b/>
                <w:bCs/>
                <w:u w:val="none"/>
              </w:rPr>
              <w:t>地下水、土壤环境</w:t>
            </w:r>
          </w:p>
          <w:p w14:paraId="4E84680E">
            <w:pPr>
              <w:pStyle w:val="49"/>
              <w:adjustRightInd/>
              <w:snapToGrid/>
              <w:spacing w:line="360" w:lineRule="auto"/>
              <w:ind w:firstLine="480" w:firstLineChars="200"/>
              <w:jc w:val="both"/>
              <w:rPr>
                <w:u w:val="none"/>
              </w:rPr>
            </w:pPr>
            <w:r>
              <w:rPr>
                <w:u w:val="none"/>
              </w:rPr>
              <w:t>根据《建设项目环境影响报告表编制技术指南（污染影响类）（试行）》，本项目可不开展土壤、地下水环境现状调查。</w:t>
            </w:r>
          </w:p>
          <w:p w14:paraId="4BBA47F9">
            <w:pPr>
              <w:pStyle w:val="49"/>
              <w:adjustRightInd/>
              <w:snapToGrid/>
              <w:spacing w:line="360" w:lineRule="auto"/>
              <w:ind w:firstLine="482" w:firstLineChars="200"/>
              <w:jc w:val="both"/>
              <w:rPr>
                <w:b/>
                <w:bCs/>
                <w:u w:val="none"/>
              </w:rPr>
            </w:pPr>
            <w:r>
              <w:rPr>
                <w:rFonts w:hint="eastAsia"/>
                <w:b/>
                <w:bCs/>
                <w:u w:val="none"/>
              </w:rPr>
              <w:t>6、</w:t>
            </w:r>
            <w:r>
              <w:rPr>
                <w:b/>
                <w:bCs/>
                <w:u w:val="none"/>
              </w:rPr>
              <w:t>电磁辐射</w:t>
            </w:r>
          </w:p>
          <w:p w14:paraId="4A18CF40">
            <w:pPr>
              <w:pStyle w:val="49"/>
              <w:adjustRightInd/>
              <w:snapToGrid/>
              <w:spacing w:line="360" w:lineRule="auto"/>
              <w:ind w:firstLine="480" w:firstLineChars="200"/>
              <w:jc w:val="both"/>
              <w:rPr>
                <w:w w:val="80"/>
                <w:u w:val="none"/>
              </w:rPr>
            </w:pPr>
            <w:r>
              <w:rPr>
                <w:u w:val="none"/>
              </w:rPr>
              <w:t>本项目不涉及电磁辐射设备，不进行电磁辐射影响评价，因此无需进行电磁辐射环境现状调查。</w:t>
            </w:r>
          </w:p>
        </w:tc>
      </w:tr>
      <w:tr w14:paraId="4B582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54" w:type="dxa"/>
            <w:vAlign w:val="center"/>
          </w:tcPr>
          <w:p w14:paraId="2C7B41A2">
            <w:pPr>
              <w:adjustRightInd w:val="0"/>
              <w:snapToGrid w:val="0"/>
              <w:jc w:val="center"/>
              <w:rPr>
                <w:kern w:val="0"/>
                <w:sz w:val="24"/>
                <w:u w:val="none"/>
              </w:rPr>
            </w:pPr>
            <w:r>
              <w:rPr>
                <w:kern w:val="0"/>
                <w:sz w:val="24"/>
                <w:u w:val="none"/>
              </w:rPr>
              <w:t>环境</w:t>
            </w:r>
          </w:p>
          <w:p w14:paraId="121B960E">
            <w:pPr>
              <w:adjustRightInd w:val="0"/>
              <w:snapToGrid w:val="0"/>
              <w:jc w:val="center"/>
              <w:rPr>
                <w:kern w:val="0"/>
                <w:sz w:val="24"/>
                <w:u w:val="none"/>
              </w:rPr>
            </w:pPr>
            <w:r>
              <w:rPr>
                <w:kern w:val="0"/>
                <w:sz w:val="24"/>
                <w:u w:val="none"/>
              </w:rPr>
              <w:t>保护</w:t>
            </w:r>
          </w:p>
          <w:p w14:paraId="2EA74B6D">
            <w:pPr>
              <w:adjustRightInd w:val="0"/>
              <w:snapToGrid w:val="0"/>
              <w:jc w:val="center"/>
              <w:rPr>
                <w:kern w:val="0"/>
                <w:sz w:val="24"/>
                <w:u w:val="none"/>
              </w:rPr>
            </w:pPr>
            <w:r>
              <w:rPr>
                <w:kern w:val="0"/>
                <w:sz w:val="24"/>
                <w:u w:val="none"/>
              </w:rPr>
              <w:t>目标</w:t>
            </w:r>
          </w:p>
        </w:tc>
        <w:tc>
          <w:tcPr>
            <w:tcW w:w="8858" w:type="dxa"/>
            <w:vAlign w:val="center"/>
          </w:tcPr>
          <w:p w14:paraId="3A1C0098">
            <w:pPr>
              <w:spacing w:line="360" w:lineRule="auto"/>
              <w:ind w:firstLine="468"/>
              <w:rPr>
                <w:spacing w:val="-3"/>
                <w:sz w:val="24"/>
                <w:u w:val="none"/>
              </w:rPr>
            </w:pPr>
            <w:r>
              <w:rPr>
                <w:spacing w:val="-3"/>
                <w:sz w:val="24"/>
                <w:u w:val="none"/>
              </w:rPr>
              <w:t>根据工程特点、区域自然环境特征以及《建设项目环境影响报告表编制技术指南</w:t>
            </w:r>
            <w:r>
              <w:rPr>
                <w:rFonts w:hint="eastAsia"/>
                <w:spacing w:val="-3"/>
                <w:sz w:val="24"/>
                <w:u w:val="none"/>
              </w:rPr>
              <w:t>（</w:t>
            </w:r>
            <w:r>
              <w:rPr>
                <w:spacing w:val="-3"/>
                <w:sz w:val="24"/>
                <w:u w:val="none"/>
              </w:rPr>
              <w:t>污染影响类</w:t>
            </w:r>
            <w:r>
              <w:rPr>
                <w:rFonts w:hint="eastAsia"/>
                <w:spacing w:val="-3"/>
                <w:sz w:val="24"/>
                <w:u w:val="none"/>
              </w:rPr>
              <w:t>——</w:t>
            </w:r>
            <w:r>
              <w:rPr>
                <w:spacing w:val="-3"/>
                <w:sz w:val="24"/>
                <w:u w:val="none"/>
              </w:rPr>
              <w:t>试行</w:t>
            </w:r>
            <w:r>
              <w:rPr>
                <w:rFonts w:hint="eastAsia"/>
                <w:spacing w:val="-3"/>
                <w:sz w:val="24"/>
                <w:u w:val="none"/>
              </w:rPr>
              <w:t>）</w:t>
            </w:r>
            <w:r>
              <w:rPr>
                <w:spacing w:val="-3"/>
                <w:sz w:val="24"/>
                <w:u w:val="none"/>
              </w:rPr>
              <w:t>》等要求，结合现场踏勘，确定以厂界外500m的范围内环境敏感点为环境空气保护目标，以厂界外50m的范围内环境敏感点为声环境保护目标。本项目主要环境保护目标见表</w:t>
            </w:r>
            <w:r>
              <w:rPr>
                <w:rFonts w:hint="eastAsia"/>
                <w:spacing w:val="-3"/>
                <w:sz w:val="24"/>
                <w:u w:val="none"/>
              </w:rPr>
              <w:t>3-4</w:t>
            </w:r>
            <w:r>
              <w:rPr>
                <w:spacing w:val="-3"/>
                <w:sz w:val="24"/>
                <w:u w:val="none"/>
              </w:rPr>
              <w:t>，项目周边环境关系示意图见附图</w:t>
            </w:r>
            <w:r>
              <w:rPr>
                <w:rFonts w:hint="eastAsia"/>
                <w:spacing w:val="-3"/>
                <w:sz w:val="24"/>
                <w:u w:val="none"/>
              </w:rPr>
              <w:t>4。</w:t>
            </w:r>
          </w:p>
          <w:p w14:paraId="5D271EC7">
            <w:pPr>
              <w:snapToGrid w:val="0"/>
              <w:ind w:firstLine="468"/>
              <w:jc w:val="center"/>
              <w:rPr>
                <w:b/>
                <w:bCs/>
                <w:szCs w:val="21"/>
                <w:u w:val="none"/>
              </w:rPr>
            </w:pPr>
            <w:r>
              <w:rPr>
                <w:b/>
                <w:bCs/>
                <w:szCs w:val="21"/>
                <w:u w:val="none"/>
              </w:rPr>
              <w:t>表3-</w:t>
            </w:r>
            <w:r>
              <w:rPr>
                <w:rFonts w:hint="eastAsia"/>
                <w:b/>
                <w:bCs/>
                <w:szCs w:val="21"/>
                <w:u w:val="none"/>
              </w:rPr>
              <w:t>4</w:t>
            </w:r>
            <w:r>
              <w:rPr>
                <w:b/>
                <w:bCs/>
                <w:szCs w:val="21"/>
                <w:u w:val="none"/>
              </w:rPr>
              <w:t xml:space="preserve"> </w:t>
            </w:r>
            <w:r>
              <w:rPr>
                <w:rFonts w:hint="eastAsia"/>
                <w:b/>
                <w:bCs/>
                <w:szCs w:val="21"/>
                <w:u w:val="none"/>
              </w:rPr>
              <w:t xml:space="preserve">  </w:t>
            </w:r>
            <w:r>
              <w:rPr>
                <w:b/>
                <w:bCs/>
                <w:szCs w:val="21"/>
                <w:u w:val="none"/>
              </w:rPr>
              <w:t>项目</w:t>
            </w:r>
            <w:r>
              <w:rPr>
                <w:rFonts w:hint="eastAsia"/>
                <w:b/>
                <w:bCs/>
                <w:szCs w:val="21"/>
                <w:u w:val="none"/>
              </w:rPr>
              <w:t>周边环境保护</w:t>
            </w:r>
            <w:r>
              <w:rPr>
                <w:b/>
                <w:bCs/>
                <w:szCs w:val="21"/>
                <w:u w:val="none"/>
              </w:rPr>
              <w:t>目标</w:t>
            </w:r>
            <w:r>
              <w:rPr>
                <w:rFonts w:hint="eastAsia"/>
                <w:b/>
                <w:bCs/>
                <w:szCs w:val="21"/>
                <w:u w:val="none"/>
              </w:rPr>
              <w:t>情况一览表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151"/>
              <w:gridCol w:w="1844"/>
              <w:gridCol w:w="426"/>
              <w:gridCol w:w="426"/>
              <w:gridCol w:w="800"/>
              <w:gridCol w:w="2131"/>
            </w:tblGrid>
            <w:tr w14:paraId="381E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94" w:type="pct"/>
                  <w:vMerge w:val="restart"/>
                  <w:vAlign w:val="center"/>
                </w:tcPr>
                <w:p w14:paraId="7145E9AA">
                  <w:pPr>
                    <w:adjustRightInd w:val="0"/>
                    <w:snapToGrid w:val="0"/>
                    <w:jc w:val="center"/>
                    <w:rPr>
                      <w:szCs w:val="21"/>
                      <w:u w:val="none"/>
                    </w:rPr>
                  </w:pPr>
                  <w:r>
                    <w:rPr>
                      <w:rFonts w:hint="eastAsia"/>
                      <w:szCs w:val="21"/>
                      <w:u w:val="none"/>
                    </w:rPr>
                    <w:t>环境</w:t>
                  </w:r>
                  <w:r>
                    <w:rPr>
                      <w:szCs w:val="21"/>
                      <w:u w:val="none"/>
                    </w:rPr>
                    <w:t>类别</w:t>
                  </w:r>
                </w:p>
              </w:tc>
              <w:tc>
                <w:tcPr>
                  <w:tcW w:w="2315" w:type="pct"/>
                  <w:gridSpan w:val="2"/>
                  <w:vAlign w:val="center"/>
                </w:tcPr>
                <w:p w14:paraId="73557462">
                  <w:pPr>
                    <w:adjustRightInd w:val="0"/>
                    <w:snapToGrid w:val="0"/>
                    <w:jc w:val="center"/>
                    <w:rPr>
                      <w:szCs w:val="21"/>
                      <w:u w:val="none"/>
                    </w:rPr>
                  </w:pPr>
                  <w:r>
                    <w:rPr>
                      <w:rFonts w:hint="eastAsia"/>
                      <w:szCs w:val="21"/>
                      <w:u w:val="none"/>
                    </w:rPr>
                    <w:t>坐标</w:t>
                  </w:r>
                </w:p>
              </w:tc>
              <w:tc>
                <w:tcPr>
                  <w:tcW w:w="268" w:type="pct"/>
                  <w:vMerge w:val="restart"/>
                  <w:vAlign w:val="center"/>
                </w:tcPr>
                <w:p w14:paraId="18752D1E">
                  <w:pPr>
                    <w:adjustRightInd w:val="0"/>
                    <w:snapToGrid w:val="0"/>
                    <w:jc w:val="center"/>
                    <w:rPr>
                      <w:szCs w:val="21"/>
                      <w:u w:val="none"/>
                    </w:rPr>
                  </w:pPr>
                  <w:r>
                    <w:rPr>
                      <w:szCs w:val="21"/>
                      <w:u w:val="none"/>
                    </w:rPr>
                    <w:t>保</w:t>
                  </w:r>
                  <w:r>
                    <w:rPr>
                      <w:rFonts w:hint="eastAsia"/>
                      <w:szCs w:val="21"/>
                      <w:u w:val="none"/>
                    </w:rPr>
                    <w:t>护</w:t>
                  </w:r>
                  <w:r>
                    <w:rPr>
                      <w:szCs w:val="21"/>
                      <w:u w:val="none"/>
                    </w:rPr>
                    <w:t>目标</w:t>
                  </w:r>
                </w:p>
              </w:tc>
              <w:tc>
                <w:tcPr>
                  <w:tcW w:w="300" w:type="pct"/>
                  <w:vMerge w:val="restart"/>
                  <w:vAlign w:val="center"/>
                </w:tcPr>
                <w:p w14:paraId="4710DF40">
                  <w:pPr>
                    <w:adjustRightInd w:val="0"/>
                    <w:snapToGrid w:val="0"/>
                    <w:jc w:val="center"/>
                    <w:rPr>
                      <w:szCs w:val="21"/>
                      <w:u w:val="none"/>
                    </w:rPr>
                  </w:pPr>
                  <w:r>
                    <w:rPr>
                      <w:szCs w:val="21"/>
                      <w:u w:val="none"/>
                    </w:rPr>
                    <w:t>方位</w:t>
                  </w:r>
                </w:p>
              </w:tc>
              <w:tc>
                <w:tcPr>
                  <w:tcW w:w="468" w:type="pct"/>
                  <w:vMerge w:val="restart"/>
                  <w:vAlign w:val="center"/>
                </w:tcPr>
                <w:p w14:paraId="5BB4E5A2">
                  <w:pPr>
                    <w:adjustRightInd w:val="0"/>
                    <w:snapToGrid w:val="0"/>
                    <w:jc w:val="center"/>
                    <w:rPr>
                      <w:szCs w:val="21"/>
                      <w:u w:val="none"/>
                    </w:rPr>
                  </w:pPr>
                  <w:r>
                    <w:rPr>
                      <w:szCs w:val="21"/>
                      <w:u w:val="none"/>
                    </w:rPr>
                    <w:t>距</w:t>
                  </w:r>
                  <w:r>
                    <w:rPr>
                      <w:rFonts w:hint="eastAsia"/>
                      <w:szCs w:val="21"/>
                      <w:u w:val="none"/>
                    </w:rPr>
                    <w:t>厂界距</w:t>
                  </w:r>
                  <w:r>
                    <w:rPr>
                      <w:szCs w:val="21"/>
                      <w:u w:val="none"/>
                    </w:rPr>
                    <w:t>离</w:t>
                  </w:r>
                  <w:r>
                    <w:rPr>
                      <w:rFonts w:hint="eastAsia"/>
                      <w:szCs w:val="21"/>
                      <w:u w:val="none"/>
                    </w:rPr>
                    <w:t>（m）</w:t>
                  </w:r>
                </w:p>
              </w:tc>
              <w:tc>
                <w:tcPr>
                  <w:tcW w:w="1053" w:type="pct"/>
                  <w:vMerge w:val="restart"/>
                  <w:vAlign w:val="center"/>
                </w:tcPr>
                <w:p w14:paraId="399395D2">
                  <w:pPr>
                    <w:adjustRightInd w:val="0"/>
                    <w:snapToGrid w:val="0"/>
                    <w:jc w:val="center"/>
                    <w:rPr>
                      <w:szCs w:val="21"/>
                      <w:u w:val="none"/>
                    </w:rPr>
                  </w:pPr>
                  <w:r>
                    <w:rPr>
                      <w:rFonts w:hint="eastAsia"/>
                      <w:szCs w:val="21"/>
                      <w:u w:val="none"/>
                    </w:rPr>
                    <w:t>保护级别</w:t>
                  </w:r>
                </w:p>
              </w:tc>
            </w:tr>
            <w:tr w14:paraId="1AA6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94" w:type="pct"/>
                  <w:vMerge w:val="continue"/>
                  <w:vAlign w:val="center"/>
                </w:tcPr>
                <w:p w14:paraId="4709A48C">
                  <w:pPr>
                    <w:adjustRightInd w:val="0"/>
                    <w:snapToGrid w:val="0"/>
                    <w:jc w:val="center"/>
                    <w:rPr>
                      <w:szCs w:val="21"/>
                      <w:u w:val="none"/>
                    </w:rPr>
                  </w:pPr>
                </w:p>
              </w:tc>
              <w:tc>
                <w:tcPr>
                  <w:tcW w:w="1246" w:type="pct"/>
                  <w:vAlign w:val="center"/>
                </w:tcPr>
                <w:p w14:paraId="333295BA">
                  <w:pPr>
                    <w:adjustRightInd w:val="0"/>
                    <w:snapToGrid w:val="0"/>
                    <w:jc w:val="center"/>
                    <w:rPr>
                      <w:szCs w:val="21"/>
                      <w:u w:val="none"/>
                    </w:rPr>
                  </w:pPr>
                  <w:r>
                    <w:rPr>
                      <w:rFonts w:hint="eastAsia"/>
                      <w:szCs w:val="21"/>
                      <w:u w:val="none"/>
                    </w:rPr>
                    <w:t>经度</w:t>
                  </w:r>
                </w:p>
              </w:tc>
              <w:tc>
                <w:tcPr>
                  <w:tcW w:w="1068" w:type="pct"/>
                  <w:vAlign w:val="center"/>
                </w:tcPr>
                <w:p w14:paraId="329BBC0D">
                  <w:pPr>
                    <w:adjustRightInd w:val="0"/>
                    <w:snapToGrid w:val="0"/>
                    <w:jc w:val="center"/>
                    <w:rPr>
                      <w:szCs w:val="21"/>
                      <w:u w:val="none"/>
                    </w:rPr>
                  </w:pPr>
                  <w:r>
                    <w:rPr>
                      <w:rFonts w:hint="eastAsia"/>
                      <w:szCs w:val="21"/>
                      <w:u w:val="none"/>
                    </w:rPr>
                    <w:t>纬度</w:t>
                  </w:r>
                </w:p>
              </w:tc>
              <w:tc>
                <w:tcPr>
                  <w:tcW w:w="268" w:type="pct"/>
                  <w:vMerge w:val="continue"/>
                  <w:vAlign w:val="center"/>
                </w:tcPr>
                <w:p w14:paraId="2A6633FE">
                  <w:pPr>
                    <w:adjustRightInd w:val="0"/>
                    <w:snapToGrid w:val="0"/>
                    <w:jc w:val="center"/>
                    <w:rPr>
                      <w:szCs w:val="21"/>
                      <w:u w:val="none"/>
                    </w:rPr>
                  </w:pPr>
                </w:p>
              </w:tc>
              <w:tc>
                <w:tcPr>
                  <w:tcW w:w="300" w:type="pct"/>
                  <w:vMerge w:val="continue"/>
                  <w:vAlign w:val="center"/>
                </w:tcPr>
                <w:p w14:paraId="0460C701">
                  <w:pPr>
                    <w:adjustRightInd w:val="0"/>
                    <w:snapToGrid w:val="0"/>
                    <w:jc w:val="center"/>
                    <w:rPr>
                      <w:szCs w:val="21"/>
                      <w:u w:val="none"/>
                    </w:rPr>
                  </w:pPr>
                </w:p>
              </w:tc>
              <w:tc>
                <w:tcPr>
                  <w:tcW w:w="468" w:type="pct"/>
                  <w:vMerge w:val="continue"/>
                  <w:vAlign w:val="center"/>
                </w:tcPr>
                <w:p w14:paraId="0DD57359">
                  <w:pPr>
                    <w:adjustRightInd w:val="0"/>
                    <w:snapToGrid w:val="0"/>
                    <w:jc w:val="center"/>
                    <w:rPr>
                      <w:szCs w:val="21"/>
                      <w:u w:val="none"/>
                    </w:rPr>
                  </w:pPr>
                </w:p>
              </w:tc>
              <w:tc>
                <w:tcPr>
                  <w:tcW w:w="1053" w:type="pct"/>
                  <w:vMerge w:val="continue"/>
                  <w:vAlign w:val="center"/>
                </w:tcPr>
                <w:p w14:paraId="6FE32FFA">
                  <w:pPr>
                    <w:adjustRightInd w:val="0"/>
                    <w:snapToGrid w:val="0"/>
                    <w:jc w:val="center"/>
                    <w:rPr>
                      <w:szCs w:val="21"/>
                      <w:u w:val="none"/>
                    </w:rPr>
                  </w:pPr>
                </w:p>
              </w:tc>
            </w:tr>
            <w:tr w14:paraId="4ECE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594" w:type="pct"/>
                  <w:vAlign w:val="center"/>
                </w:tcPr>
                <w:p w14:paraId="5D8AC94E">
                  <w:pPr>
                    <w:adjustRightInd w:val="0"/>
                    <w:snapToGrid w:val="0"/>
                    <w:jc w:val="center"/>
                    <w:rPr>
                      <w:szCs w:val="21"/>
                      <w:u w:val="none"/>
                    </w:rPr>
                  </w:pPr>
                  <w:r>
                    <w:rPr>
                      <w:rFonts w:hint="eastAsia"/>
                      <w:szCs w:val="21"/>
                      <w:u w:val="none"/>
                    </w:rPr>
                    <w:t>大气环境</w:t>
                  </w:r>
                </w:p>
              </w:tc>
              <w:tc>
                <w:tcPr>
                  <w:tcW w:w="4405" w:type="pct"/>
                  <w:gridSpan w:val="6"/>
                  <w:vAlign w:val="center"/>
                </w:tcPr>
                <w:p w14:paraId="76E2435D">
                  <w:pPr>
                    <w:snapToGrid w:val="0"/>
                    <w:ind w:firstLine="420" w:firstLineChars="200"/>
                    <w:jc w:val="center"/>
                    <w:rPr>
                      <w:szCs w:val="21"/>
                      <w:u w:val="none"/>
                    </w:rPr>
                  </w:pPr>
                  <w:r>
                    <w:rPr>
                      <w:rFonts w:hint="eastAsia"/>
                      <w:szCs w:val="21"/>
                      <w:u w:val="none"/>
                    </w:rPr>
                    <w:t>根据现场勘查，项目厂界外500m范围内不存在自然保护区、风景名胜区、居住区、文化区和农村地区中人群较集中的区域等保护目标，村庄距离项目区均在1km以外。</w:t>
                  </w:r>
                </w:p>
              </w:tc>
            </w:tr>
            <w:tr w14:paraId="3A6D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pct"/>
                  <w:vAlign w:val="center"/>
                </w:tcPr>
                <w:p w14:paraId="0F73FA1B">
                  <w:pPr>
                    <w:adjustRightInd w:val="0"/>
                    <w:snapToGrid w:val="0"/>
                    <w:jc w:val="center"/>
                    <w:rPr>
                      <w:szCs w:val="21"/>
                      <w:u w:val="none"/>
                    </w:rPr>
                  </w:pPr>
                  <w:r>
                    <w:rPr>
                      <w:rFonts w:hint="eastAsia"/>
                      <w:szCs w:val="21"/>
                      <w:u w:val="none"/>
                    </w:rPr>
                    <w:t>声环境</w:t>
                  </w:r>
                </w:p>
              </w:tc>
              <w:tc>
                <w:tcPr>
                  <w:tcW w:w="4405" w:type="pct"/>
                  <w:gridSpan w:val="6"/>
                  <w:vAlign w:val="center"/>
                </w:tcPr>
                <w:p w14:paraId="670CFC11">
                  <w:pPr>
                    <w:wordWrap w:val="0"/>
                    <w:snapToGrid w:val="0"/>
                    <w:jc w:val="center"/>
                    <w:rPr>
                      <w:szCs w:val="21"/>
                      <w:u w:val="none"/>
                    </w:rPr>
                  </w:pPr>
                  <w:r>
                    <w:rPr>
                      <w:rFonts w:hint="eastAsia"/>
                      <w:szCs w:val="21"/>
                      <w:u w:val="none"/>
                    </w:rPr>
                    <w:t>项目周边50m范围内不存在声环境保护目标</w:t>
                  </w:r>
                </w:p>
              </w:tc>
            </w:tr>
            <w:tr w14:paraId="673C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94" w:type="pct"/>
                  <w:vAlign w:val="center"/>
                </w:tcPr>
                <w:p w14:paraId="73C53091">
                  <w:pPr>
                    <w:adjustRightInd w:val="0"/>
                    <w:snapToGrid w:val="0"/>
                    <w:jc w:val="center"/>
                    <w:rPr>
                      <w:szCs w:val="21"/>
                      <w:u w:val="none"/>
                    </w:rPr>
                  </w:pPr>
                  <w:r>
                    <w:rPr>
                      <w:rFonts w:hint="eastAsia"/>
                      <w:szCs w:val="21"/>
                      <w:u w:val="none"/>
                    </w:rPr>
                    <w:t>地表水环境</w:t>
                  </w:r>
                </w:p>
              </w:tc>
              <w:tc>
                <w:tcPr>
                  <w:tcW w:w="1246" w:type="pct"/>
                  <w:vAlign w:val="center"/>
                </w:tcPr>
                <w:p w14:paraId="210A5769">
                  <w:pPr>
                    <w:pStyle w:val="26"/>
                    <w:rPr>
                      <w:u w:val="none"/>
                    </w:rPr>
                  </w:pPr>
                  <w:r>
                    <w:rPr>
                      <w:rFonts w:hint="eastAsia"/>
                      <w:u w:val="none"/>
                    </w:rPr>
                    <w:t>104°16′24.53117″</w:t>
                  </w:r>
                </w:p>
              </w:tc>
              <w:tc>
                <w:tcPr>
                  <w:tcW w:w="1068" w:type="pct"/>
                  <w:vAlign w:val="center"/>
                </w:tcPr>
                <w:p w14:paraId="5855D63F">
                  <w:pPr>
                    <w:pStyle w:val="26"/>
                    <w:rPr>
                      <w:u w:val="none"/>
                    </w:rPr>
                  </w:pPr>
                  <w:r>
                    <w:rPr>
                      <w:rFonts w:hint="eastAsia"/>
                      <w:u w:val="none"/>
                    </w:rPr>
                    <w:t>26°0′5.09167″</w:t>
                  </w:r>
                </w:p>
              </w:tc>
              <w:tc>
                <w:tcPr>
                  <w:tcW w:w="268" w:type="pct"/>
                  <w:vAlign w:val="center"/>
                </w:tcPr>
                <w:p w14:paraId="0CF85559">
                  <w:pPr>
                    <w:pStyle w:val="26"/>
                    <w:rPr>
                      <w:u w:val="none"/>
                    </w:rPr>
                  </w:pPr>
                  <w:r>
                    <w:rPr>
                      <w:rFonts w:hint="eastAsia"/>
                      <w:u w:val="none"/>
                    </w:rPr>
                    <w:t>赤那河</w:t>
                  </w:r>
                </w:p>
              </w:tc>
              <w:tc>
                <w:tcPr>
                  <w:tcW w:w="300" w:type="pct"/>
                  <w:vAlign w:val="center"/>
                </w:tcPr>
                <w:p w14:paraId="4470997E">
                  <w:pPr>
                    <w:adjustRightInd w:val="0"/>
                    <w:snapToGrid w:val="0"/>
                    <w:jc w:val="center"/>
                    <w:rPr>
                      <w:szCs w:val="21"/>
                      <w:u w:val="none"/>
                    </w:rPr>
                  </w:pPr>
                  <w:r>
                    <w:rPr>
                      <w:rFonts w:hint="eastAsia"/>
                      <w:szCs w:val="21"/>
                      <w:u w:val="none"/>
                    </w:rPr>
                    <w:t>南面</w:t>
                  </w:r>
                </w:p>
              </w:tc>
              <w:tc>
                <w:tcPr>
                  <w:tcW w:w="468" w:type="pct"/>
                  <w:vAlign w:val="center"/>
                </w:tcPr>
                <w:p w14:paraId="62CEC440">
                  <w:pPr>
                    <w:adjustRightInd w:val="0"/>
                    <w:snapToGrid w:val="0"/>
                    <w:jc w:val="center"/>
                    <w:rPr>
                      <w:szCs w:val="21"/>
                      <w:u w:val="none"/>
                    </w:rPr>
                  </w:pPr>
                  <w:r>
                    <w:rPr>
                      <w:rFonts w:hint="eastAsia"/>
                      <w:szCs w:val="21"/>
                      <w:u w:val="none"/>
                    </w:rPr>
                    <w:t>5</w:t>
                  </w:r>
                </w:p>
              </w:tc>
              <w:tc>
                <w:tcPr>
                  <w:tcW w:w="1053" w:type="pct"/>
                  <w:vAlign w:val="center"/>
                </w:tcPr>
                <w:p w14:paraId="18935CC3">
                  <w:pPr>
                    <w:adjustRightInd w:val="0"/>
                    <w:snapToGrid w:val="0"/>
                    <w:jc w:val="center"/>
                    <w:rPr>
                      <w:szCs w:val="21"/>
                      <w:u w:val="none"/>
                    </w:rPr>
                  </w:pPr>
                  <w:r>
                    <w:rPr>
                      <w:szCs w:val="21"/>
                      <w:u w:val="none"/>
                    </w:rPr>
                    <w:t>《地表水环境质量标准》</w:t>
                  </w:r>
                  <w:r>
                    <w:rPr>
                      <w:rFonts w:hint="eastAsia"/>
                      <w:szCs w:val="21"/>
                      <w:u w:val="none"/>
                    </w:rPr>
                    <w:t>（</w:t>
                  </w:r>
                  <w:r>
                    <w:rPr>
                      <w:szCs w:val="21"/>
                      <w:u w:val="none"/>
                    </w:rPr>
                    <w:t>GB3838-2002</w:t>
                  </w:r>
                  <w:r>
                    <w:rPr>
                      <w:rFonts w:hint="eastAsia"/>
                      <w:szCs w:val="21"/>
                      <w:u w:val="none"/>
                    </w:rPr>
                    <w:t>）中</w:t>
                  </w:r>
                  <w:r>
                    <w:rPr>
                      <w:szCs w:val="21"/>
                      <w:u w:val="none"/>
                    </w:rPr>
                    <w:t>Ⅲ类</w:t>
                  </w:r>
                  <w:r>
                    <w:rPr>
                      <w:rFonts w:hint="eastAsia"/>
                      <w:szCs w:val="21"/>
                      <w:u w:val="none"/>
                    </w:rPr>
                    <w:t>标准</w:t>
                  </w:r>
                </w:p>
              </w:tc>
            </w:tr>
            <w:tr w14:paraId="3A5E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Align w:val="center"/>
                </w:tcPr>
                <w:p w14:paraId="6ECF6ED3">
                  <w:pPr>
                    <w:adjustRightInd w:val="0"/>
                    <w:snapToGrid w:val="0"/>
                    <w:jc w:val="center"/>
                    <w:rPr>
                      <w:szCs w:val="21"/>
                      <w:u w:val="none"/>
                    </w:rPr>
                  </w:pPr>
                  <w:r>
                    <w:rPr>
                      <w:szCs w:val="21"/>
                      <w:u w:val="none"/>
                    </w:rPr>
                    <w:t>地下水环境保护目标</w:t>
                  </w:r>
                </w:p>
              </w:tc>
              <w:tc>
                <w:tcPr>
                  <w:tcW w:w="3352" w:type="pct"/>
                  <w:gridSpan w:val="5"/>
                  <w:vAlign w:val="center"/>
                </w:tcPr>
                <w:p w14:paraId="7E079B2E">
                  <w:pPr>
                    <w:adjustRightInd w:val="0"/>
                    <w:snapToGrid w:val="0"/>
                    <w:jc w:val="center"/>
                    <w:rPr>
                      <w:szCs w:val="21"/>
                      <w:u w:val="none"/>
                    </w:rPr>
                  </w:pPr>
                  <w:r>
                    <w:rPr>
                      <w:szCs w:val="21"/>
                      <w:u w:val="none"/>
                    </w:rPr>
                    <w:t>厂界外500 m范围内无地下水集中式饮用水水源和热水、矿泉水、温泉等特殊地下水资源</w:t>
                  </w:r>
                </w:p>
              </w:tc>
              <w:tc>
                <w:tcPr>
                  <w:tcW w:w="1053" w:type="pct"/>
                  <w:vAlign w:val="center"/>
                </w:tcPr>
                <w:p w14:paraId="1C8E1834">
                  <w:pPr>
                    <w:adjustRightInd w:val="0"/>
                    <w:snapToGrid w:val="0"/>
                    <w:jc w:val="center"/>
                    <w:rPr>
                      <w:szCs w:val="21"/>
                      <w:u w:val="none"/>
                    </w:rPr>
                  </w:pPr>
                  <w:r>
                    <w:rPr>
                      <w:rFonts w:hint="eastAsia"/>
                      <w:szCs w:val="21"/>
                      <w:u w:val="none"/>
                    </w:rPr>
                    <w:t>《</w:t>
                  </w:r>
                  <w:r>
                    <w:rPr>
                      <w:szCs w:val="21"/>
                      <w:u w:val="none"/>
                    </w:rPr>
                    <w:t>地下水环境质量</w:t>
                  </w:r>
                  <w:r>
                    <w:rPr>
                      <w:rFonts w:hint="eastAsia"/>
                      <w:szCs w:val="21"/>
                      <w:u w:val="none"/>
                    </w:rPr>
                    <w:t>标准》</w:t>
                  </w:r>
                  <w:r>
                    <w:rPr>
                      <w:szCs w:val="21"/>
                      <w:u w:val="none"/>
                    </w:rPr>
                    <w:t>（GB/T14848-2017）</w:t>
                  </w:r>
                  <w:r>
                    <w:rPr>
                      <w:rFonts w:hint="eastAsia"/>
                      <w:szCs w:val="21"/>
                      <w:u w:val="none"/>
                    </w:rPr>
                    <w:t>中</w:t>
                  </w:r>
                  <w:r>
                    <w:rPr>
                      <w:szCs w:val="21"/>
                      <w:u w:val="none"/>
                    </w:rPr>
                    <w:t>Ⅲ类标准</w:t>
                  </w:r>
                </w:p>
              </w:tc>
            </w:tr>
          </w:tbl>
          <w:p w14:paraId="5764A500">
            <w:pPr>
              <w:pStyle w:val="48"/>
              <w:jc w:val="both"/>
              <w:rPr>
                <w:szCs w:val="24"/>
                <w:u w:val="none"/>
              </w:rPr>
            </w:pPr>
          </w:p>
        </w:tc>
      </w:tr>
      <w:tr w14:paraId="1ED65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4" w:type="dxa"/>
            <w:tcMar>
              <w:left w:w="28" w:type="dxa"/>
              <w:right w:w="28" w:type="dxa"/>
            </w:tcMar>
            <w:vAlign w:val="center"/>
          </w:tcPr>
          <w:p w14:paraId="4C3AD5F9">
            <w:pPr>
              <w:adjustRightInd w:val="0"/>
              <w:snapToGrid w:val="0"/>
              <w:jc w:val="center"/>
              <w:rPr>
                <w:kern w:val="0"/>
                <w:sz w:val="24"/>
                <w:u w:val="none"/>
              </w:rPr>
            </w:pPr>
            <w:r>
              <w:rPr>
                <w:kern w:val="0"/>
                <w:sz w:val="24"/>
                <w:u w:val="none"/>
              </w:rPr>
              <w:t>污染</w:t>
            </w:r>
          </w:p>
          <w:p w14:paraId="61751C1E">
            <w:pPr>
              <w:adjustRightInd w:val="0"/>
              <w:snapToGrid w:val="0"/>
              <w:jc w:val="center"/>
              <w:rPr>
                <w:kern w:val="0"/>
                <w:sz w:val="24"/>
                <w:u w:val="none"/>
              </w:rPr>
            </w:pPr>
            <w:r>
              <w:rPr>
                <w:kern w:val="0"/>
                <w:sz w:val="24"/>
                <w:u w:val="none"/>
              </w:rPr>
              <w:t>物排</w:t>
            </w:r>
          </w:p>
          <w:p w14:paraId="5E48840E">
            <w:pPr>
              <w:adjustRightInd w:val="0"/>
              <w:snapToGrid w:val="0"/>
              <w:jc w:val="center"/>
              <w:rPr>
                <w:kern w:val="0"/>
                <w:sz w:val="24"/>
                <w:u w:val="none"/>
              </w:rPr>
            </w:pPr>
            <w:r>
              <w:rPr>
                <w:kern w:val="0"/>
                <w:sz w:val="24"/>
                <w:u w:val="none"/>
              </w:rPr>
              <w:t>放控</w:t>
            </w:r>
          </w:p>
          <w:p w14:paraId="13F123DC">
            <w:pPr>
              <w:adjustRightInd w:val="0"/>
              <w:snapToGrid w:val="0"/>
              <w:jc w:val="center"/>
              <w:rPr>
                <w:kern w:val="0"/>
                <w:sz w:val="24"/>
                <w:u w:val="none"/>
              </w:rPr>
            </w:pPr>
            <w:r>
              <w:rPr>
                <w:kern w:val="0"/>
                <w:sz w:val="24"/>
                <w:u w:val="none" w:color="auto"/>
                <w:shd w:val="clear" w:fill="auto"/>
              </w:rPr>
              <w:t>制</w:t>
            </w:r>
            <w:r>
              <w:rPr>
                <w:kern w:val="0"/>
                <w:sz w:val="24"/>
                <w:u w:val="none"/>
              </w:rPr>
              <w:t>标</w:t>
            </w:r>
          </w:p>
          <w:p w14:paraId="3FF375D2">
            <w:pPr>
              <w:adjustRightInd w:val="0"/>
              <w:snapToGrid w:val="0"/>
              <w:jc w:val="center"/>
              <w:rPr>
                <w:kern w:val="0"/>
                <w:sz w:val="24"/>
                <w:u w:val="none"/>
              </w:rPr>
            </w:pPr>
            <w:r>
              <w:rPr>
                <w:kern w:val="0"/>
                <w:sz w:val="24"/>
                <w:u w:val="none"/>
              </w:rPr>
              <w:t>准</w:t>
            </w:r>
          </w:p>
        </w:tc>
        <w:tc>
          <w:tcPr>
            <w:tcW w:w="8858" w:type="dxa"/>
            <w:vAlign w:val="center"/>
          </w:tcPr>
          <w:p w14:paraId="171633DB">
            <w:pPr>
              <w:wordWrap w:val="0"/>
              <w:spacing w:line="360" w:lineRule="auto"/>
              <w:ind w:firstLine="482" w:firstLineChars="200"/>
              <w:rPr>
                <w:b/>
                <w:sz w:val="24"/>
                <w:szCs w:val="28"/>
                <w:u w:val="none"/>
              </w:rPr>
            </w:pPr>
            <w:r>
              <w:rPr>
                <w:rFonts w:hint="eastAsia"/>
                <w:b/>
                <w:sz w:val="24"/>
                <w:szCs w:val="28"/>
                <w:u w:val="none"/>
              </w:rPr>
              <w:t>1、废气</w:t>
            </w:r>
          </w:p>
          <w:p w14:paraId="716FB6CC">
            <w:pPr>
              <w:tabs>
                <w:tab w:val="left" w:pos="3499"/>
                <w:tab w:val="left" w:pos="5395"/>
              </w:tabs>
              <w:wordWrap w:val="0"/>
              <w:spacing w:line="360" w:lineRule="auto"/>
              <w:ind w:firstLine="482" w:firstLineChars="200"/>
              <w:rPr>
                <w:b/>
                <w:bCs/>
                <w:sz w:val="24"/>
                <w:u w:val="none"/>
              </w:rPr>
            </w:pPr>
            <w:r>
              <w:rPr>
                <w:rFonts w:hint="eastAsia"/>
                <w:b/>
                <w:bCs/>
                <w:sz w:val="24"/>
                <w:u w:val="none"/>
              </w:rPr>
              <w:t>（1）</w:t>
            </w:r>
            <w:r>
              <w:rPr>
                <w:b/>
                <w:bCs/>
                <w:sz w:val="24"/>
                <w:u w:val="none"/>
              </w:rPr>
              <w:t>施工期</w:t>
            </w:r>
          </w:p>
          <w:p w14:paraId="2495A298">
            <w:pPr>
              <w:tabs>
                <w:tab w:val="left" w:pos="3499"/>
                <w:tab w:val="left" w:pos="5395"/>
              </w:tabs>
              <w:wordWrap w:val="0"/>
              <w:spacing w:line="360" w:lineRule="auto"/>
              <w:ind w:firstLine="480"/>
              <w:rPr>
                <w:b/>
                <w:bCs/>
                <w:szCs w:val="21"/>
                <w:u w:val="none"/>
              </w:rPr>
            </w:pPr>
            <w:r>
              <w:rPr>
                <w:sz w:val="24"/>
                <w:u w:val="none"/>
              </w:rPr>
              <w:t>施工期无组织排放的扬尘执行《大气污染物综合排放标准》（GB</w:t>
            </w:r>
            <w:r>
              <w:rPr>
                <w:rFonts w:hint="eastAsia"/>
                <w:sz w:val="24"/>
                <w:u w:val="none"/>
              </w:rPr>
              <w:t xml:space="preserve"> </w:t>
            </w:r>
            <w:r>
              <w:rPr>
                <w:sz w:val="24"/>
                <w:u w:val="none"/>
              </w:rPr>
              <w:t>16297-1996）表2无组织排放监控浓度限值，标准限值要求见表</w:t>
            </w:r>
            <w:r>
              <w:rPr>
                <w:rFonts w:hint="eastAsia"/>
                <w:sz w:val="24"/>
                <w:u w:val="none"/>
              </w:rPr>
              <w:t>3-5</w:t>
            </w:r>
            <w:r>
              <w:rPr>
                <w:sz w:val="24"/>
                <w:u w:val="none"/>
              </w:rPr>
              <w:t>。</w:t>
            </w:r>
          </w:p>
          <w:p w14:paraId="56DAA256">
            <w:pPr>
              <w:tabs>
                <w:tab w:val="left" w:pos="3035"/>
                <w:tab w:val="left" w:pos="5459"/>
              </w:tabs>
              <w:wordWrap w:val="0"/>
              <w:snapToGrid w:val="0"/>
              <w:ind w:left="2126" w:hanging="2126"/>
              <w:jc w:val="center"/>
              <w:rPr>
                <w:sz w:val="13"/>
                <w:szCs w:val="13"/>
                <w:u w:val="none"/>
              </w:rPr>
            </w:pPr>
            <w:r>
              <w:rPr>
                <w:b/>
                <w:bCs/>
                <w:szCs w:val="21"/>
                <w:u w:val="none"/>
              </w:rPr>
              <w:t>表</w:t>
            </w:r>
            <w:r>
              <w:rPr>
                <w:rFonts w:hint="eastAsia"/>
                <w:b/>
                <w:bCs/>
                <w:szCs w:val="21"/>
                <w:u w:val="none"/>
              </w:rPr>
              <w:t>3</w:t>
            </w:r>
            <w:r>
              <w:rPr>
                <w:rFonts w:hint="eastAsia"/>
                <w:b/>
                <w:bCs/>
                <w:spacing w:val="-1"/>
                <w:szCs w:val="21"/>
                <w:u w:val="none"/>
              </w:rPr>
              <w:t xml:space="preserve">-5   </w:t>
            </w:r>
            <w:r>
              <w:rPr>
                <w:b/>
                <w:bCs/>
                <w:spacing w:val="1"/>
                <w:szCs w:val="21"/>
                <w:u w:val="none"/>
              </w:rPr>
              <w:t>大气污染物</w:t>
            </w:r>
            <w:r>
              <w:rPr>
                <w:rFonts w:hint="eastAsia"/>
                <w:b/>
                <w:bCs/>
                <w:spacing w:val="1"/>
                <w:szCs w:val="21"/>
                <w:u w:val="none"/>
              </w:rPr>
              <w:t>综合</w:t>
            </w:r>
            <w:r>
              <w:rPr>
                <w:b/>
                <w:bCs/>
                <w:spacing w:val="1"/>
                <w:szCs w:val="21"/>
                <w:u w:val="none"/>
              </w:rPr>
              <w:t>排放标准</w:t>
            </w:r>
            <w:r>
              <w:rPr>
                <w:rFonts w:hint="eastAsia"/>
                <w:b/>
                <w:bCs/>
                <w:spacing w:val="1"/>
                <w:szCs w:val="21"/>
                <w:u w:val="none"/>
              </w:rPr>
              <w:t xml:space="preserve">  </w:t>
            </w:r>
            <w:r>
              <w:rPr>
                <w:b/>
                <w:bCs/>
                <w:szCs w:val="21"/>
                <w:u w:val="none"/>
              </w:rPr>
              <w:t>单位：mg/m</w:t>
            </w:r>
            <w:r>
              <w:rPr>
                <w:b/>
                <w:bCs/>
                <w:position w:val="7"/>
                <w:sz w:val="13"/>
                <w:szCs w:val="13"/>
                <w:u w:val="none"/>
              </w:rPr>
              <w:t>3</w:t>
            </w:r>
          </w:p>
          <w:tbl>
            <w:tblPr>
              <w:tblStyle w:val="3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2"/>
              <w:gridCol w:w="2974"/>
              <w:gridCol w:w="2782"/>
            </w:tblGrid>
            <w:tr w14:paraId="6485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vMerge w:val="restart"/>
                  <w:tcBorders>
                    <w:tl2br w:val="nil"/>
                    <w:tr2bl w:val="nil"/>
                  </w:tcBorders>
                  <w:vAlign w:val="center"/>
                </w:tcPr>
                <w:p w14:paraId="3DF2BF1C">
                  <w:pPr>
                    <w:wordWrap w:val="0"/>
                    <w:snapToGrid w:val="0"/>
                    <w:ind w:left="896" w:hanging="896" w:hangingChars="417"/>
                    <w:jc w:val="center"/>
                    <w:rPr>
                      <w:szCs w:val="21"/>
                      <w:u w:val="none"/>
                    </w:rPr>
                  </w:pPr>
                  <w:r>
                    <w:rPr>
                      <w:b/>
                      <w:bCs/>
                      <w:spacing w:val="2"/>
                      <w:szCs w:val="21"/>
                      <w:u w:val="none"/>
                    </w:rPr>
                    <w:t>污染物</w:t>
                  </w:r>
                  <w:r>
                    <w:rPr>
                      <w:b/>
                      <w:bCs/>
                      <w:spacing w:val="-1"/>
                      <w:szCs w:val="21"/>
                      <w:u w:val="none"/>
                    </w:rPr>
                    <w:t>名</w:t>
                  </w:r>
                  <w:r>
                    <w:rPr>
                      <w:b/>
                      <w:bCs/>
                      <w:szCs w:val="21"/>
                      <w:u w:val="none"/>
                    </w:rPr>
                    <w:t>称</w:t>
                  </w:r>
                </w:p>
              </w:tc>
              <w:tc>
                <w:tcPr>
                  <w:tcW w:w="3335" w:type="pct"/>
                  <w:gridSpan w:val="2"/>
                  <w:tcBorders>
                    <w:tl2br w:val="nil"/>
                    <w:tr2bl w:val="nil"/>
                  </w:tcBorders>
                  <w:vAlign w:val="center"/>
                </w:tcPr>
                <w:p w14:paraId="1EAB99C6">
                  <w:pPr>
                    <w:wordWrap w:val="0"/>
                    <w:snapToGrid w:val="0"/>
                    <w:ind w:left="1686" w:hanging="1686" w:hangingChars="792"/>
                    <w:jc w:val="center"/>
                    <w:rPr>
                      <w:szCs w:val="21"/>
                      <w:u w:val="none"/>
                    </w:rPr>
                  </w:pPr>
                  <w:r>
                    <w:rPr>
                      <w:b/>
                      <w:bCs/>
                      <w:spacing w:val="1"/>
                      <w:szCs w:val="21"/>
                      <w:u w:val="none"/>
                    </w:rPr>
                    <w:t>无组织排放监控浓度限值</w:t>
                  </w:r>
                </w:p>
              </w:tc>
            </w:tr>
            <w:tr w14:paraId="21160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vMerge w:val="continue"/>
                  <w:tcBorders>
                    <w:tl2br w:val="nil"/>
                    <w:tr2bl w:val="nil"/>
                  </w:tcBorders>
                  <w:vAlign w:val="center"/>
                </w:tcPr>
                <w:p w14:paraId="77D47A41">
                  <w:pPr>
                    <w:wordWrap w:val="0"/>
                    <w:snapToGrid w:val="0"/>
                    <w:jc w:val="center"/>
                    <w:rPr>
                      <w:sz w:val="24"/>
                      <w:u w:val="none"/>
                    </w:rPr>
                  </w:pPr>
                </w:p>
              </w:tc>
              <w:tc>
                <w:tcPr>
                  <w:tcW w:w="1723" w:type="pct"/>
                  <w:tcBorders>
                    <w:tl2br w:val="nil"/>
                    <w:tr2bl w:val="nil"/>
                  </w:tcBorders>
                  <w:vAlign w:val="center"/>
                </w:tcPr>
                <w:p w14:paraId="7CB9DEA5">
                  <w:pPr>
                    <w:wordWrap w:val="0"/>
                    <w:snapToGrid w:val="0"/>
                    <w:ind w:right="1"/>
                    <w:jc w:val="center"/>
                    <w:rPr>
                      <w:szCs w:val="21"/>
                      <w:u w:val="none"/>
                    </w:rPr>
                  </w:pPr>
                  <w:r>
                    <w:rPr>
                      <w:b/>
                      <w:bCs/>
                      <w:spacing w:val="1"/>
                      <w:szCs w:val="21"/>
                      <w:u w:val="none"/>
                    </w:rPr>
                    <w:t>监控点</w:t>
                  </w:r>
                </w:p>
              </w:tc>
              <w:tc>
                <w:tcPr>
                  <w:tcW w:w="1611" w:type="pct"/>
                  <w:tcBorders>
                    <w:tl2br w:val="nil"/>
                    <w:tr2bl w:val="nil"/>
                  </w:tcBorders>
                  <w:vAlign w:val="center"/>
                </w:tcPr>
                <w:p w14:paraId="209C4EE2">
                  <w:pPr>
                    <w:wordWrap w:val="0"/>
                    <w:snapToGrid w:val="0"/>
                    <w:ind w:left="794" w:hanging="794"/>
                    <w:jc w:val="center"/>
                    <w:rPr>
                      <w:szCs w:val="21"/>
                      <w:u w:val="none"/>
                    </w:rPr>
                  </w:pPr>
                  <w:r>
                    <w:rPr>
                      <w:b/>
                      <w:bCs/>
                      <w:szCs w:val="21"/>
                      <w:u w:val="none"/>
                    </w:rPr>
                    <w:t>浓度</w:t>
                  </w:r>
                  <w:r>
                    <w:rPr>
                      <w:rFonts w:hint="eastAsia"/>
                      <w:b/>
                      <w:bCs/>
                      <w:szCs w:val="21"/>
                      <w:u w:val="none"/>
                    </w:rPr>
                    <w:t>（</w:t>
                  </w:r>
                  <w:r>
                    <w:rPr>
                      <w:b/>
                      <w:bCs/>
                      <w:szCs w:val="21"/>
                      <w:u w:val="none"/>
                    </w:rPr>
                    <w:t>mg/m</w:t>
                  </w:r>
                  <w:r>
                    <w:rPr>
                      <w:b/>
                      <w:bCs/>
                      <w:position w:val="7"/>
                      <w:sz w:val="13"/>
                      <w:szCs w:val="13"/>
                      <w:u w:val="none"/>
                    </w:rPr>
                    <w:t>3</w:t>
                  </w:r>
                  <w:r>
                    <w:rPr>
                      <w:rFonts w:hint="eastAsia"/>
                      <w:b/>
                      <w:bCs/>
                      <w:szCs w:val="21"/>
                      <w:u w:val="none"/>
                    </w:rPr>
                    <w:t>）</w:t>
                  </w:r>
                </w:p>
              </w:tc>
            </w:tr>
            <w:tr w14:paraId="1AC55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tcBorders>
                    <w:tl2br w:val="nil"/>
                    <w:tr2bl w:val="nil"/>
                  </w:tcBorders>
                  <w:vAlign w:val="center"/>
                </w:tcPr>
                <w:p w14:paraId="6400FD5A">
                  <w:pPr>
                    <w:wordWrap w:val="0"/>
                    <w:snapToGrid w:val="0"/>
                    <w:ind w:left="2"/>
                    <w:jc w:val="center"/>
                    <w:rPr>
                      <w:szCs w:val="21"/>
                      <w:u w:val="none"/>
                    </w:rPr>
                  </w:pPr>
                  <w:r>
                    <w:rPr>
                      <w:szCs w:val="21"/>
                      <w:u w:val="none"/>
                    </w:rPr>
                    <w:t>颗粒物</w:t>
                  </w:r>
                </w:p>
              </w:tc>
              <w:tc>
                <w:tcPr>
                  <w:tcW w:w="1723" w:type="pct"/>
                  <w:tcBorders>
                    <w:tl2br w:val="nil"/>
                    <w:tr2bl w:val="nil"/>
                  </w:tcBorders>
                  <w:vAlign w:val="center"/>
                </w:tcPr>
                <w:p w14:paraId="3E2DBFA0">
                  <w:pPr>
                    <w:wordWrap w:val="0"/>
                    <w:snapToGrid w:val="0"/>
                    <w:ind w:left="628" w:right="65" w:rightChars="31" w:hanging="627" w:hangingChars="299"/>
                    <w:jc w:val="center"/>
                    <w:rPr>
                      <w:szCs w:val="21"/>
                      <w:u w:val="none"/>
                    </w:rPr>
                  </w:pPr>
                  <w:r>
                    <w:rPr>
                      <w:szCs w:val="21"/>
                      <w:u w:val="none"/>
                    </w:rPr>
                    <w:t>周界外浓度最高点</w:t>
                  </w:r>
                </w:p>
              </w:tc>
              <w:tc>
                <w:tcPr>
                  <w:tcW w:w="1611" w:type="pct"/>
                  <w:tcBorders>
                    <w:tl2br w:val="nil"/>
                    <w:tr2bl w:val="nil"/>
                  </w:tcBorders>
                  <w:vAlign w:val="center"/>
                </w:tcPr>
                <w:p w14:paraId="48255BB3">
                  <w:pPr>
                    <w:wordWrap w:val="0"/>
                    <w:snapToGrid w:val="0"/>
                    <w:ind w:right="5"/>
                    <w:jc w:val="center"/>
                    <w:rPr>
                      <w:szCs w:val="21"/>
                      <w:u w:val="none"/>
                    </w:rPr>
                  </w:pPr>
                  <w:r>
                    <w:rPr>
                      <w:u w:val="none"/>
                    </w:rPr>
                    <w:t>1.0</w:t>
                  </w:r>
                </w:p>
              </w:tc>
            </w:tr>
          </w:tbl>
          <w:p w14:paraId="694DE4F8">
            <w:pPr>
              <w:wordWrap w:val="0"/>
              <w:spacing w:line="360" w:lineRule="auto"/>
              <w:ind w:firstLine="482" w:firstLineChars="200"/>
              <w:rPr>
                <w:b/>
                <w:bCs/>
                <w:sz w:val="24"/>
                <w:u w:val="none"/>
              </w:rPr>
            </w:pPr>
            <w:r>
              <w:rPr>
                <w:rFonts w:hint="eastAsia"/>
                <w:b/>
                <w:bCs/>
                <w:sz w:val="24"/>
                <w:u w:val="none"/>
              </w:rPr>
              <w:t>（2）</w:t>
            </w:r>
            <w:r>
              <w:rPr>
                <w:b/>
                <w:bCs/>
                <w:sz w:val="24"/>
                <w:u w:val="none"/>
              </w:rPr>
              <w:t>运营期</w:t>
            </w:r>
          </w:p>
          <w:p w14:paraId="3DB3A988">
            <w:pPr>
              <w:wordWrap w:val="0"/>
              <w:spacing w:line="360" w:lineRule="auto"/>
              <w:ind w:firstLine="480" w:firstLineChars="200"/>
              <w:rPr>
                <w:u w:val="none"/>
              </w:rPr>
            </w:pPr>
            <w:r>
              <w:rPr>
                <w:sz w:val="24"/>
                <w:u w:val="none"/>
              </w:rPr>
              <w:t>运营期粉尘执行《大气污染物综合排放标准》（GB</w:t>
            </w:r>
            <w:r>
              <w:rPr>
                <w:rFonts w:hint="eastAsia"/>
                <w:sz w:val="24"/>
                <w:u w:val="none"/>
              </w:rPr>
              <w:t xml:space="preserve"> </w:t>
            </w:r>
            <w:r>
              <w:rPr>
                <w:sz w:val="24"/>
                <w:u w:val="none"/>
              </w:rPr>
              <w:t>16297-1996）表2无组织排放监控浓度限值，具体限值见表</w:t>
            </w:r>
            <w:r>
              <w:rPr>
                <w:rFonts w:hint="eastAsia"/>
                <w:sz w:val="24"/>
                <w:u w:val="none"/>
              </w:rPr>
              <w:t>3</w:t>
            </w:r>
            <w:r>
              <w:rPr>
                <w:sz w:val="24"/>
                <w:u w:val="none"/>
              </w:rPr>
              <w:t>-</w:t>
            </w:r>
            <w:r>
              <w:rPr>
                <w:rFonts w:hint="eastAsia"/>
                <w:sz w:val="24"/>
                <w:u w:val="none"/>
              </w:rPr>
              <w:t>6</w:t>
            </w:r>
            <w:r>
              <w:rPr>
                <w:sz w:val="24"/>
                <w:u w:val="none"/>
              </w:rPr>
              <w:t>。</w:t>
            </w:r>
          </w:p>
          <w:p w14:paraId="3296B96B">
            <w:pPr>
              <w:tabs>
                <w:tab w:val="left" w:pos="3035"/>
                <w:tab w:val="left" w:pos="5459"/>
              </w:tabs>
              <w:wordWrap w:val="0"/>
              <w:snapToGrid w:val="0"/>
              <w:ind w:left="2126" w:hanging="2126"/>
              <w:jc w:val="center"/>
              <w:rPr>
                <w:sz w:val="13"/>
                <w:szCs w:val="13"/>
                <w:u w:val="none"/>
              </w:rPr>
            </w:pPr>
            <w:r>
              <w:rPr>
                <w:b/>
                <w:bCs/>
                <w:szCs w:val="21"/>
                <w:u w:val="none"/>
              </w:rPr>
              <w:t>表</w:t>
            </w:r>
            <w:r>
              <w:rPr>
                <w:rFonts w:hint="eastAsia"/>
                <w:b/>
                <w:bCs/>
                <w:szCs w:val="21"/>
                <w:u w:val="none"/>
              </w:rPr>
              <w:t>3</w:t>
            </w:r>
            <w:r>
              <w:rPr>
                <w:rFonts w:hint="eastAsia"/>
                <w:b/>
                <w:bCs/>
                <w:spacing w:val="-1"/>
                <w:szCs w:val="21"/>
                <w:u w:val="none"/>
              </w:rPr>
              <w:t xml:space="preserve">-6   </w:t>
            </w:r>
            <w:r>
              <w:rPr>
                <w:b/>
                <w:bCs/>
                <w:spacing w:val="1"/>
                <w:szCs w:val="21"/>
                <w:u w:val="none"/>
              </w:rPr>
              <w:t>大气污染物</w:t>
            </w:r>
            <w:r>
              <w:rPr>
                <w:rFonts w:hint="eastAsia"/>
                <w:b/>
                <w:bCs/>
                <w:spacing w:val="1"/>
                <w:szCs w:val="21"/>
                <w:u w:val="none"/>
              </w:rPr>
              <w:t>综合</w:t>
            </w:r>
            <w:r>
              <w:rPr>
                <w:b/>
                <w:bCs/>
                <w:spacing w:val="1"/>
                <w:szCs w:val="21"/>
                <w:u w:val="none"/>
              </w:rPr>
              <w:t>排放标准</w:t>
            </w:r>
            <w:r>
              <w:rPr>
                <w:rFonts w:hint="eastAsia"/>
                <w:b/>
                <w:bCs/>
                <w:spacing w:val="1"/>
                <w:szCs w:val="21"/>
                <w:u w:val="none"/>
              </w:rPr>
              <w:t xml:space="preserve">  </w:t>
            </w:r>
            <w:r>
              <w:rPr>
                <w:b/>
                <w:bCs/>
                <w:szCs w:val="21"/>
                <w:u w:val="none"/>
              </w:rPr>
              <w:t>单位：mg/m</w:t>
            </w:r>
            <w:r>
              <w:rPr>
                <w:b/>
                <w:bCs/>
                <w:position w:val="7"/>
                <w:sz w:val="13"/>
                <w:szCs w:val="13"/>
                <w:u w:val="none"/>
              </w:rPr>
              <w:t>3</w:t>
            </w:r>
          </w:p>
          <w:tbl>
            <w:tblPr>
              <w:tblStyle w:val="37"/>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872"/>
              <w:gridCol w:w="2974"/>
              <w:gridCol w:w="2782"/>
            </w:tblGrid>
            <w:tr w14:paraId="7262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vMerge w:val="restart"/>
                  <w:tcBorders>
                    <w:tl2br w:val="nil"/>
                    <w:tr2bl w:val="nil"/>
                  </w:tcBorders>
                  <w:vAlign w:val="center"/>
                </w:tcPr>
                <w:p w14:paraId="0122506C">
                  <w:pPr>
                    <w:wordWrap w:val="0"/>
                    <w:snapToGrid w:val="0"/>
                    <w:ind w:left="896" w:hanging="896" w:hangingChars="417"/>
                    <w:jc w:val="center"/>
                    <w:rPr>
                      <w:szCs w:val="21"/>
                      <w:u w:val="none"/>
                    </w:rPr>
                  </w:pPr>
                  <w:r>
                    <w:rPr>
                      <w:b/>
                      <w:bCs/>
                      <w:spacing w:val="2"/>
                      <w:szCs w:val="21"/>
                      <w:u w:val="none"/>
                    </w:rPr>
                    <w:t>污染物</w:t>
                  </w:r>
                  <w:r>
                    <w:rPr>
                      <w:b/>
                      <w:bCs/>
                      <w:spacing w:val="-1"/>
                      <w:szCs w:val="21"/>
                      <w:u w:val="none"/>
                    </w:rPr>
                    <w:t>名</w:t>
                  </w:r>
                  <w:r>
                    <w:rPr>
                      <w:b/>
                      <w:bCs/>
                      <w:szCs w:val="21"/>
                      <w:u w:val="none"/>
                    </w:rPr>
                    <w:t>称</w:t>
                  </w:r>
                </w:p>
              </w:tc>
              <w:tc>
                <w:tcPr>
                  <w:tcW w:w="3335" w:type="pct"/>
                  <w:gridSpan w:val="2"/>
                  <w:tcBorders>
                    <w:tl2br w:val="nil"/>
                    <w:tr2bl w:val="nil"/>
                  </w:tcBorders>
                  <w:vAlign w:val="center"/>
                </w:tcPr>
                <w:p w14:paraId="48597591">
                  <w:pPr>
                    <w:wordWrap w:val="0"/>
                    <w:snapToGrid w:val="0"/>
                    <w:ind w:left="1686" w:hanging="1686" w:hangingChars="792"/>
                    <w:jc w:val="center"/>
                    <w:rPr>
                      <w:szCs w:val="21"/>
                      <w:u w:val="none"/>
                    </w:rPr>
                  </w:pPr>
                  <w:r>
                    <w:rPr>
                      <w:b/>
                      <w:bCs/>
                      <w:spacing w:val="1"/>
                      <w:szCs w:val="21"/>
                      <w:u w:val="none"/>
                    </w:rPr>
                    <w:t>无组织排放监控浓度限值</w:t>
                  </w:r>
                </w:p>
              </w:tc>
            </w:tr>
            <w:tr w14:paraId="1ED0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vMerge w:val="continue"/>
                  <w:tcBorders>
                    <w:tl2br w:val="nil"/>
                    <w:tr2bl w:val="nil"/>
                  </w:tcBorders>
                  <w:vAlign w:val="center"/>
                </w:tcPr>
                <w:p w14:paraId="45A9F8F5">
                  <w:pPr>
                    <w:wordWrap w:val="0"/>
                    <w:snapToGrid w:val="0"/>
                    <w:jc w:val="center"/>
                    <w:rPr>
                      <w:sz w:val="24"/>
                      <w:u w:val="none"/>
                    </w:rPr>
                  </w:pPr>
                </w:p>
              </w:tc>
              <w:tc>
                <w:tcPr>
                  <w:tcW w:w="1723" w:type="pct"/>
                  <w:tcBorders>
                    <w:tl2br w:val="nil"/>
                    <w:tr2bl w:val="nil"/>
                  </w:tcBorders>
                  <w:vAlign w:val="center"/>
                </w:tcPr>
                <w:p w14:paraId="0C635717">
                  <w:pPr>
                    <w:wordWrap w:val="0"/>
                    <w:snapToGrid w:val="0"/>
                    <w:ind w:right="1"/>
                    <w:jc w:val="center"/>
                    <w:rPr>
                      <w:szCs w:val="21"/>
                      <w:u w:val="none"/>
                    </w:rPr>
                  </w:pPr>
                  <w:r>
                    <w:rPr>
                      <w:b/>
                      <w:bCs/>
                      <w:spacing w:val="1"/>
                      <w:szCs w:val="21"/>
                      <w:u w:val="none"/>
                    </w:rPr>
                    <w:t>监控点</w:t>
                  </w:r>
                </w:p>
              </w:tc>
              <w:tc>
                <w:tcPr>
                  <w:tcW w:w="1611" w:type="pct"/>
                  <w:tcBorders>
                    <w:tl2br w:val="nil"/>
                    <w:tr2bl w:val="nil"/>
                  </w:tcBorders>
                  <w:vAlign w:val="center"/>
                </w:tcPr>
                <w:p w14:paraId="1B3F3E3B">
                  <w:pPr>
                    <w:wordWrap w:val="0"/>
                    <w:snapToGrid w:val="0"/>
                    <w:ind w:left="794" w:hanging="794"/>
                    <w:jc w:val="center"/>
                    <w:rPr>
                      <w:szCs w:val="21"/>
                      <w:u w:val="none"/>
                    </w:rPr>
                  </w:pPr>
                  <w:r>
                    <w:rPr>
                      <w:b/>
                      <w:bCs/>
                      <w:szCs w:val="21"/>
                      <w:u w:val="none"/>
                    </w:rPr>
                    <w:t>浓度</w:t>
                  </w:r>
                  <w:r>
                    <w:rPr>
                      <w:rFonts w:hint="eastAsia"/>
                      <w:b/>
                      <w:bCs/>
                      <w:szCs w:val="21"/>
                      <w:u w:val="none"/>
                    </w:rPr>
                    <w:t>（</w:t>
                  </w:r>
                  <w:r>
                    <w:rPr>
                      <w:b/>
                      <w:bCs/>
                      <w:szCs w:val="21"/>
                      <w:u w:val="none"/>
                    </w:rPr>
                    <w:t>mg/m</w:t>
                  </w:r>
                  <w:r>
                    <w:rPr>
                      <w:b/>
                      <w:bCs/>
                      <w:position w:val="7"/>
                      <w:sz w:val="13"/>
                      <w:szCs w:val="13"/>
                      <w:u w:val="none"/>
                    </w:rPr>
                    <w:t>3</w:t>
                  </w:r>
                  <w:r>
                    <w:rPr>
                      <w:rFonts w:hint="eastAsia"/>
                      <w:b/>
                      <w:bCs/>
                      <w:szCs w:val="21"/>
                      <w:u w:val="none"/>
                    </w:rPr>
                    <w:t>）</w:t>
                  </w:r>
                </w:p>
              </w:tc>
            </w:tr>
            <w:tr w14:paraId="6D8E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664" w:type="pct"/>
                  <w:tcBorders>
                    <w:tl2br w:val="nil"/>
                    <w:tr2bl w:val="nil"/>
                  </w:tcBorders>
                  <w:vAlign w:val="center"/>
                </w:tcPr>
                <w:p w14:paraId="70CC674F">
                  <w:pPr>
                    <w:wordWrap w:val="0"/>
                    <w:snapToGrid w:val="0"/>
                    <w:ind w:left="2"/>
                    <w:jc w:val="center"/>
                    <w:rPr>
                      <w:szCs w:val="21"/>
                      <w:u w:val="none"/>
                    </w:rPr>
                  </w:pPr>
                  <w:r>
                    <w:rPr>
                      <w:szCs w:val="21"/>
                      <w:u w:val="none"/>
                    </w:rPr>
                    <w:t>颗粒物</w:t>
                  </w:r>
                </w:p>
              </w:tc>
              <w:tc>
                <w:tcPr>
                  <w:tcW w:w="1723" w:type="pct"/>
                  <w:tcBorders>
                    <w:tl2br w:val="nil"/>
                    <w:tr2bl w:val="nil"/>
                  </w:tcBorders>
                  <w:vAlign w:val="center"/>
                </w:tcPr>
                <w:p w14:paraId="23574063">
                  <w:pPr>
                    <w:wordWrap w:val="0"/>
                    <w:snapToGrid w:val="0"/>
                    <w:ind w:left="628" w:right="65" w:rightChars="31" w:hanging="627" w:hangingChars="299"/>
                    <w:jc w:val="center"/>
                    <w:rPr>
                      <w:szCs w:val="21"/>
                      <w:u w:val="none"/>
                    </w:rPr>
                  </w:pPr>
                  <w:r>
                    <w:rPr>
                      <w:szCs w:val="21"/>
                      <w:u w:val="none"/>
                    </w:rPr>
                    <w:t>周界外浓度最高点</w:t>
                  </w:r>
                </w:p>
              </w:tc>
              <w:tc>
                <w:tcPr>
                  <w:tcW w:w="1611" w:type="pct"/>
                  <w:tcBorders>
                    <w:tl2br w:val="nil"/>
                    <w:tr2bl w:val="nil"/>
                  </w:tcBorders>
                  <w:vAlign w:val="center"/>
                </w:tcPr>
                <w:p w14:paraId="1B61E2F5">
                  <w:pPr>
                    <w:wordWrap w:val="0"/>
                    <w:snapToGrid w:val="0"/>
                    <w:ind w:right="5"/>
                    <w:jc w:val="center"/>
                    <w:rPr>
                      <w:szCs w:val="21"/>
                      <w:u w:val="none"/>
                    </w:rPr>
                  </w:pPr>
                  <w:r>
                    <w:rPr>
                      <w:u w:val="none"/>
                    </w:rPr>
                    <w:t>1.0</w:t>
                  </w:r>
                </w:p>
              </w:tc>
            </w:tr>
          </w:tbl>
          <w:p w14:paraId="2F3347C8">
            <w:pPr>
              <w:wordWrap w:val="0"/>
              <w:spacing w:line="360" w:lineRule="auto"/>
              <w:ind w:firstLine="482" w:firstLineChars="200"/>
              <w:rPr>
                <w:b/>
                <w:sz w:val="24"/>
                <w:szCs w:val="28"/>
                <w:u w:val="none"/>
              </w:rPr>
            </w:pPr>
            <w:r>
              <w:rPr>
                <w:rFonts w:hint="eastAsia"/>
                <w:b/>
                <w:sz w:val="24"/>
                <w:szCs w:val="28"/>
                <w:u w:val="none"/>
              </w:rPr>
              <w:t>2、废水</w:t>
            </w:r>
          </w:p>
          <w:p w14:paraId="1C826EDC">
            <w:pPr>
              <w:wordWrap w:val="0"/>
              <w:spacing w:line="360" w:lineRule="auto"/>
              <w:ind w:firstLine="482" w:firstLineChars="200"/>
              <w:rPr>
                <w:b/>
                <w:sz w:val="24"/>
                <w:u w:val="none"/>
              </w:rPr>
            </w:pPr>
            <w:r>
              <w:rPr>
                <w:rFonts w:hint="eastAsia"/>
                <w:b/>
                <w:sz w:val="24"/>
                <w:u w:val="none"/>
              </w:rPr>
              <w:t>（1）</w:t>
            </w:r>
            <w:r>
              <w:rPr>
                <w:b/>
                <w:sz w:val="24"/>
                <w:u w:val="none"/>
              </w:rPr>
              <w:t>施工期</w:t>
            </w:r>
          </w:p>
          <w:p w14:paraId="478DB318">
            <w:pPr>
              <w:wordWrap w:val="0"/>
              <w:spacing w:line="360" w:lineRule="auto"/>
              <w:ind w:firstLine="480" w:firstLineChars="200"/>
              <w:rPr>
                <w:bCs/>
                <w:sz w:val="24"/>
                <w:u w:val="none"/>
              </w:rPr>
            </w:pPr>
            <w:r>
              <w:rPr>
                <w:bCs/>
                <w:sz w:val="24"/>
                <w:u w:val="none"/>
              </w:rPr>
              <w:t>本项目施工期间不设施工营地，施工人员不在项目区内食宿，施工期废水主要是施工废水和施工人员清洗废水，废水经简单沉淀后回用，不外排，故不设排放标准。</w:t>
            </w:r>
          </w:p>
          <w:p w14:paraId="67C8E995">
            <w:pPr>
              <w:wordWrap w:val="0"/>
              <w:spacing w:line="360" w:lineRule="auto"/>
              <w:ind w:firstLine="482" w:firstLineChars="200"/>
              <w:rPr>
                <w:b/>
                <w:sz w:val="24"/>
                <w:u w:val="none"/>
              </w:rPr>
            </w:pPr>
            <w:r>
              <w:rPr>
                <w:rFonts w:hint="eastAsia"/>
                <w:b/>
                <w:sz w:val="24"/>
                <w:u w:val="none"/>
              </w:rPr>
              <w:t>（2）</w:t>
            </w:r>
            <w:r>
              <w:rPr>
                <w:b/>
                <w:sz w:val="24"/>
                <w:u w:val="none"/>
              </w:rPr>
              <w:t>运营期</w:t>
            </w:r>
          </w:p>
          <w:p w14:paraId="0BFDA2AE">
            <w:pPr>
              <w:pStyle w:val="160"/>
              <w:wordWrap w:val="0"/>
              <w:ind w:firstLine="480"/>
              <w:rPr>
                <w:bCs/>
                <w:u w:val="none"/>
              </w:rPr>
            </w:pPr>
            <w:r>
              <w:rPr>
                <w:rFonts w:hint="eastAsia" w:cs="宋体"/>
                <w:u w:val="none"/>
              </w:rPr>
              <w:t>项目运营期采用雨污分流制。大棚表面清洁雨水经集雨槽和排水管收集后进入雨污水收集池，经沉淀后回用于大棚喷雾</w:t>
            </w:r>
            <w:r>
              <w:rPr>
                <w:rFonts w:hint="eastAsia"/>
                <w:u w:val="none"/>
              </w:rPr>
              <w:t>降尘、车辆清洗，</w:t>
            </w:r>
            <w:r>
              <w:rPr>
                <w:rFonts w:hint="eastAsia" w:cs="宋体"/>
                <w:u w:val="none"/>
              </w:rPr>
              <w:t>不外排；车辆清洗废水经车辆清洗废水沉淀池处理后循环利用，不外排；场地雨污水经场地雨污水收集池收集沉淀后回用于大棚喷雾</w:t>
            </w:r>
            <w:r>
              <w:rPr>
                <w:rFonts w:hint="eastAsia"/>
                <w:u w:val="none"/>
              </w:rPr>
              <w:t>降尘、车辆清洗，</w:t>
            </w:r>
            <w:r>
              <w:rPr>
                <w:rFonts w:hint="eastAsia" w:cs="宋体"/>
                <w:u w:val="none"/>
              </w:rPr>
              <w:t>不外排。</w:t>
            </w:r>
            <w:r>
              <w:rPr>
                <w:rFonts w:hint="eastAsia"/>
                <w:u w:val="none"/>
              </w:rPr>
              <w:t>办公生活污水排入化粪池</w:t>
            </w:r>
            <w:r>
              <w:rPr>
                <w:rFonts w:hint="eastAsia" w:cs="宋体"/>
                <w:u w:val="none"/>
              </w:rPr>
              <w:t>，</w:t>
            </w:r>
            <w:r>
              <w:rPr>
                <w:rFonts w:hint="eastAsia"/>
                <w:bCs/>
                <w:u w:val="none"/>
              </w:rPr>
              <w:t>而后排入1套处理能力为1m</w:t>
            </w:r>
            <w:r>
              <w:rPr>
                <w:rFonts w:hint="eastAsia"/>
                <w:bCs/>
                <w:u w:val="none"/>
                <w:vertAlign w:val="superscript"/>
              </w:rPr>
              <w:t>3</w:t>
            </w:r>
            <w:r>
              <w:rPr>
                <w:rFonts w:hint="eastAsia"/>
                <w:bCs/>
                <w:u w:val="none"/>
              </w:rPr>
              <w:t>/d的一体化污水处理站处理</w:t>
            </w:r>
            <w:r>
              <w:rPr>
                <w:rFonts w:hint="eastAsia"/>
                <w:u w:val="none"/>
                <w:lang w:val="zh-TW"/>
              </w:rPr>
              <w:t>，处理达</w:t>
            </w:r>
            <w:r>
              <w:rPr>
                <w:rFonts w:hint="eastAsia"/>
                <w:u w:val="none"/>
              </w:rPr>
              <w:t>到</w:t>
            </w:r>
            <w:r>
              <w:rPr>
                <w:rFonts w:hint="eastAsia"/>
                <w:u w:val="none"/>
                <w:lang w:val="zh-TW"/>
              </w:rPr>
              <w:t>《农田灌溉水质标准》（GB5084-2021）中蔬菜标准限值后，采用密闭运输工具清运用于周边旱地、种植基地及菜地灌溉</w:t>
            </w:r>
            <w:r>
              <w:rPr>
                <w:rFonts w:hint="eastAsia"/>
                <w:bCs/>
                <w:u w:val="none"/>
                <w:lang w:val="zh-TW"/>
              </w:rPr>
              <w:t>。</w:t>
            </w:r>
            <w:r>
              <w:rPr>
                <w:rFonts w:hint="eastAsia"/>
                <w:bCs/>
                <w:u w:val="none"/>
              </w:rPr>
              <w:t>项目一体化污水处理站出水执行</w:t>
            </w:r>
            <w:r>
              <w:rPr>
                <w:rFonts w:hint="eastAsia"/>
                <w:bCs/>
                <w:u w:val="none"/>
                <w:lang w:val="zh-TW"/>
              </w:rPr>
              <w:t>《农田灌溉水质标准》（GB5084-2021）中蔬菜标准限值，</w:t>
            </w:r>
            <w:r>
              <w:rPr>
                <w:u w:val="none"/>
              </w:rPr>
              <w:t>标准限值见表</w:t>
            </w:r>
            <w:r>
              <w:rPr>
                <w:rFonts w:hint="eastAsia"/>
                <w:u w:val="none"/>
              </w:rPr>
              <w:t>3-7</w:t>
            </w:r>
            <w:r>
              <w:rPr>
                <w:rFonts w:hint="eastAsia"/>
                <w:bCs/>
                <w:u w:val="none"/>
              </w:rPr>
              <w:t>。</w:t>
            </w:r>
          </w:p>
          <w:p w14:paraId="684894CD">
            <w:pPr>
              <w:tabs>
                <w:tab w:val="left" w:pos="4404"/>
              </w:tabs>
              <w:wordWrap w:val="0"/>
              <w:snapToGrid w:val="0"/>
              <w:jc w:val="center"/>
              <w:rPr>
                <w:b/>
                <w:szCs w:val="21"/>
                <w:u w:val="none"/>
              </w:rPr>
            </w:pPr>
            <w:r>
              <w:rPr>
                <w:b/>
                <w:szCs w:val="21"/>
                <w:u w:val="none"/>
              </w:rPr>
              <w:t>表</w:t>
            </w:r>
            <w:r>
              <w:rPr>
                <w:rFonts w:hint="eastAsia"/>
                <w:b/>
                <w:szCs w:val="21"/>
                <w:u w:val="none"/>
              </w:rPr>
              <w:t>3</w:t>
            </w:r>
            <w:r>
              <w:rPr>
                <w:b/>
                <w:szCs w:val="21"/>
                <w:u w:val="none"/>
              </w:rPr>
              <w:t>-</w:t>
            </w:r>
            <w:r>
              <w:rPr>
                <w:rFonts w:hint="eastAsia"/>
                <w:b/>
                <w:szCs w:val="21"/>
                <w:u w:val="none"/>
              </w:rPr>
              <w:t>7</w:t>
            </w:r>
            <w:r>
              <w:rPr>
                <w:b/>
                <w:szCs w:val="21"/>
                <w:u w:val="none"/>
              </w:rPr>
              <w:t xml:space="preserve"> </w:t>
            </w:r>
            <w:r>
              <w:rPr>
                <w:rFonts w:hint="eastAsia"/>
                <w:b/>
                <w:szCs w:val="21"/>
                <w:u w:val="none"/>
              </w:rPr>
              <w:t xml:space="preserve">  《农田灌溉水质标准》（GB 5084-2021） 单位：mg/L</w:t>
            </w:r>
          </w:p>
          <w:tbl>
            <w:tblPr>
              <w:tblStyle w:val="37"/>
              <w:tblW w:w="4998" w:type="pct"/>
              <w:jc w:val="center"/>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4887"/>
            </w:tblGrid>
            <w:tr w14:paraId="7E7AB4E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4" w:type="pct"/>
                  <w:tcBorders>
                    <w:tl2br w:val="nil"/>
                    <w:tr2bl w:val="nil"/>
                  </w:tcBorders>
                  <w:vAlign w:val="center"/>
                </w:tcPr>
                <w:p w14:paraId="6034C1C1">
                  <w:pPr>
                    <w:jc w:val="center"/>
                    <w:rPr>
                      <w:b/>
                      <w:szCs w:val="21"/>
                      <w:u w:val="none"/>
                    </w:rPr>
                  </w:pPr>
                  <w:r>
                    <w:rPr>
                      <w:rFonts w:hint="eastAsia"/>
                      <w:b/>
                      <w:szCs w:val="21"/>
                      <w:u w:val="none"/>
                    </w:rPr>
                    <w:t>项目</w:t>
                  </w:r>
                </w:p>
              </w:tc>
              <w:tc>
                <w:tcPr>
                  <w:tcW w:w="2835" w:type="pct"/>
                  <w:tcBorders>
                    <w:tl2br w:val="nil"/>
                    <w:tr2bl w:val="nil"/>
                  </w:tcBorders>
                  <w:vAlign w:val="center"/>
                </w:tcPr>
                <w:p w14:paraId="5D48F4F5">
                  <w:pPr>
                    <w:jc w:val="center"/>
                    <w:rPr>
                      <w:b/>
                      <w:szCs w:val="21"/>
                      <w:u w:val="none"/>
                    </w:rPr>
                  </w:pPr>
                  <w:r>
                    <w:rPr>
                      <w:rFonts w:hint="eastAsia"/>
                      <w:b/>
                      <w:szCs w:val="21"/>
                      <w:u w:val="none"/>
                    </w:rPr>
                    <w:t>蔬菜</w:t>
                  </w:r>
                </w:p>
              </w:tc>
            </w:tr>
            <w:tr w14:paraId="348C5AE2">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26B6CAC6">
                  <w:pPr>
                    <w:jc w:val="center"/>
                    <w:rPr>
                      <w:bCs/>
                      <w:szCs w:val="21"/>
                      <w:u w:val="none"/>
                    </w:rPr>
                  </w:pPr>
                  <w:r>
                    <w:rPr>
                      <w:rFonts w:hint="eastAsia"/>
                      <w:bCs/>
                      <w:szCs w:val="21"/>
                      <w:u w:val="none"/>
                    </w:rPr>
                    <w:t>pH</w:t>
                  </w:r>
                </w:p>
              </w:tc>
              <w:tc>
                <w:tcPr>
                  <w:tcW w:w="2835" w:type="pct"/>
                  <w:tcBorders>
                    <w:tl2br w:val="nil"/>
                    <w:tr2bl w:val="nil"/>
                  </w:tcBorders>
                </w:tcPr>
                <w:p w14:paraId="402B1BD3">
                  <w:pPr>
                    <w:jc w:val="center"/>
                    <w:rPr>
                      <w:bCs/>
                      <w:szCs w:val="21"/>
                      <w:u w:val="none"/>
                    </w:rPr>
                  </w:pPr>
                  <w:r>
                    <w:rPr>
                      <w:rFonts w:hint="eastAsia"/>
                      <w:bCs/>
                      <w:szCs w:val="21"/>
                      <w:u w:val="none"/>
                    </w:rPr>
                    <w:t>5.5~8.5</w:t>
                  </w:r>
                </w:p>
              </w:tc>
            </w:tr>
            <w:tr w14:paraId="4B9D55C0">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35FBD666">
                  <w:pPr>
                    <w:jc w:val="center"/>
                    <w:rPr>
                      <w:bCs/>
                      <w:szCs w:val="21"/>
                      <w:u w:val="none"/>
                    </w:rPr>
                  </w:pPr>
                  <w:r>
                    <w:rPr>
                      <w:rFonts w:hint="eastAsia"/>
                      <w:bCs/>
                      <w:szCs w:val="21"/>
                      <w:u w:val="none"/>
                    </w:rPr>
                    <w:t>悬浮物</w:t>
                  </w:r>
                </w:p>
              </w:tc>
              <w:tc>
                <w:tcPr>
                  <w:tcW w:w="2835" w:type="pct"/>
                  <w:tcBorders>
                    <w:tl2br w:val="nil"/>
                    <w:tr2bl w:val="nil"/>
                  </w:tcBorders>
                </w:tcPr>
                <w:p w14:paraId="021DA265">
                  <w:pPr>
                    <w:jc w:val="center"/>
                    <w:rPr>
                      <w:bCs/>
                      <w:szCs w:val="21"/>
                      <w:u w:val="none"/>
                    </w:rPr>
                  </w:pPr>
                  <w:r>
                    <w:rPr>
                      <w:rFonts w:ascii="Arial" w:hAnsi="Arial" w:cs="Arial"/>
                      <w:bCs/>
                      <w:szCs w:val="21"/>
                      <w:u w:val="none"/>
                    </w:rPr>
                    <w:t>≤</w:t>
                  </w:r>
                  <w:r>
                    <w:rPr>
                      <w:rFonts w:hint="eastAsia"/>
                      <w:bCs/>
                      <w:szCs w:val="21"/>
                      <w:u w:val="none"/>
                    </w:rPr>
                    <w:t>60</w:t>
                  </w:r>
                </w:p>
              </w:tc>
            </w:tr>
            <w:tr w14:paraId="171B2CAA">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2490D3D4">
                  <w:pPr>
                    <w:jc w:val="center"/>
                    <w:rPr>
                      <w:bCs/>
                      <w:szCs w:val="21"/>
                      <w:u w:val="none"/>
                    </w:rPr>
                  </w:pPr>
                  <w:r>
                    <w:rPr>
                      <w:rFonts w:hint="eastAsia"/>
                      <w:bCs/>
                      <w:szCs w:val="21"/>
                      <w:u w:val="none"/>
                    </w:rPr>
                    <w:t>BOD</w:t>
                  </w:r>
                  <w:r>
                    <w:rPr>
                      <w:rFonts w:hint="eastAsia"/>
                      <w:bCs/>
                      <w:szCs w:val="21"/>
                      <w:u w:val="none"/>
                      <w:vertAlign w:val="subscript"/>
                    </w:rPr>
                    <w:t>5</w:t>
                  </w:r>
                </w:p>
              </w:tc>
              <w:tc>
                <w:tcPr>
                  <w:tcW w:w="2835" w:type="pct"/>
                  <w:tcBorders>
                    <w:tl2br w:val="nil"/>
                    <w:tr2bl w:val="nil"/>
                  </w:tcBorders>
                </w:tcPr>
                <w:p w14:paraId="4887EB8F">
                  <w:pPr>
                    <w:jc w:val="center"/>
                    <w:rPr>
                      <w:bCs/>
                      <w:szCs w:val="21"/>
                      <w:u w:val="none"/>
                    </w:rPr>
                  </w:pPr>
                  <w:r>
                    <w:rPr>
                      <w:rFonts w:ascii="Arial" w:hAnsi="Arial" w:cs="Arial"/>
                      <w:bCs/>
                      <w:szCs w:val="21"/>
                      <w:u w:val="none"/>
                    </w:rPr>
                    <w:t>≤</w:t>
                  </w:r>
                  <w:r>
                    <w:rPr>
                      <w:rFonts w:hint="eastAsia"/>
                      <w:bCs/>
                      <w:szCs w:val="21"/>
                      <w:u w:val="none"/>
                    </w:rPr>
                    <w:t>40</w:t>
                  </w:r>
                </w:p>
              </w:tc>
            </w:tr>
            <w:tr w14:paraId="2940E2A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22B9BE27">
                  <w:pPr>
                    <w:jc w:val="center"/>
                    <w:rPr>
                      <w:bCs/>
                      <w:szCs w:val="21"/>
                      <w:u w:val="none"/>
                    </w:rPr>
                  </w:pPr>
                  <w:r>
                    <w:rPr>
                      <w:rFonts w:hint="eastAsia"/>
                      <w:bCs/>
                      <w:szCs w:val="21"/>
                      <w:u w:val="none"/>
                    </w:rPr>
                    <w:t>CODcr</w:t>
                  </w:r>
                </w:p>
              </w:tc>
              <w:tc>
                <w:tcPr>
                  <w:tcW w:w="2835" w:type="pct"/>
                  <w:tcBorders>
                    <w:tl2br w:val="nil"/>
                    <w:tr2bl w:val="nil"/>
                  </w:tcBorders>
                </w:tcPr>
                <w:p w14:paraId="5ADFF046">
                  <w:pPr>
                    <w:jc w:val="center"/>
                    <w:rPr>
                      <w:bCs/>
                      <w:szCs w:val="21"/>
                      <w:u w:val="none"/>
                    </w:rPr>
                  </w:pPr>
                  <w:r>
                    <w:rPr>
                      <w:rFonts w:ascii="Arial" w:hAnsi="Arial" w:cs="Arial"/>
                      <w:bCs/>
                      <w:szCs w:val="21"/>
                      <w:u w:val="none"/>
                    </w:rPr>
                    <w:t>≤</w:t>
                  </w:r>
                  <w:r>
                    <w:rPr>
                      <w:rFonts w:hint="eastAsia"/>
                      <w:bCs/>
                      <w:szCs w:val="21"/>
                      <w:u w:val="none"/>
                    </w:rPr>
                    <w:t>100</w:t>
                  </w:r>
                </w:p>
              </w:tc>
            </w:tr>
            <w:tr w14:paraId="6029F73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6B33C4A9">
                  <w:pPr>
                    <w:jc w:val="center"/>
                    <w:rPr>
                      <w:bCs/>
                      <w:szCs w:val="21"/>
                      <w:u w:val="none"/>
                    </w:rPr>
                  </w:pPr>
                  <w:r>
                    <w:rPr>
                      <w:rFonts w:hint="eastAsia"/>
                      <w:bCs/>
                      <w:szCs w:val="21"/>
                      <w:u w:val="none"/>
                    </w:rPr>
                    <w:t>阴离子表面活性剂</w:t>
                  </w:r>
                </w:p>
              </w:tc>
              <w:tc>
                <w:tcPr>
                  <w:tcW w:w="2835" w:type="pct"/>
                  <w:tcBorders>
                    <w:tl2br w:val="nil"/>
                    <w:tr2bl w:val="nil"/>
                  </w:tcBorders>
                </w:tcPr>
                <w:p w14:paraId="09FD86DE">
                  <w:pPr>
                    <w:jc w:val="center"/>
                    <w:rPr>
                      <w:bCs/>
                      <w:szCs w:val="21"/>
                      <w:u w:val="none"/>
                    </w:rPr>
                  </w:pPr>
                  <w:r>
                    <w:rPr>
                      <w:rFonts w:ascii="Arial" w:hAnsi="Arial" w:cs="Arial"/>
                      <w:bCs/>
                      <w:szCs w:val="21"/>
                      <w:u w:val="none"/>
                    </w:rPr>
                    <w:t>≤</w:t>
                  </w:r>
                  <w:r>
                    <w:rPr>
                      <w:rFonts w:hint="eastAsia"/>
                      <w:bCs/>
                      <w:szCs w:val="21"/>
                      <w:u w:val="none"/>
                    </w:rPr>
                    <w:t>5</w:t>
                  </w:r>
                </w:p>
              </w:tc>
            </w:tr>
            <w:tr w14:paraId="657E8CA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6F30688B">
                  <w:pPr>
                    <w:jc w:val="center"/>
                    <w:rPr>
                      <w:bCs/>
                      <w:szCs w:val="21"/>
                      <w:u w:val="none"/>
                    </w:rPr>
                  </w:pPr>
                  <w:r>
                    <w:rPr>
                      <w:rFonts w:hint="eastAsia"/>
                      <w:bCs/>
                      <w:szCs w:val="21"/>
                      <w:u w:val="none"/>
                    </w:rPr>
                    <w:t>氯化物</w:t>
                  </w:r>
                </w:p>
              </w:tc>
              <w:tc>
                <w:tcPr>
                  <w:tcW w:w="2835" w:type="pct"/>
                  <w:tcBorders>
                    <w:tl2br w:val="nil"/>
                    <w:tr2bl w:val="nil"/>
                  </w:tcBorders>
                </w:tcPr>
                <w:p w14:paraId="7BBC5A13">
                  <w:pPr>
                    <w:jc w:val="center"/>
                    <w:rPr>
                      <w:bCs/>
                      <w:szCs w:val="21"/>
                      <w:u w:val="none"/>
                    </w:rPr>
                  </w:pPr>
                  <w:r>
                    <w:rPr>
                      <w:rFonts w:ascii="Arial" w:hAnsi="Arial" w:cs="Arial"/>
                      <w:bCs/>
                      <w:szCs w:val="21"/>
                      <w:u w:val="none"/>
                    </w:rPr>
                    <w:t>≤</w:t>
                  </w:r>
                  <w:r>
                    <w:rPr>
                      <w:rFonts w:hint="eastAsia"/>
                      <w:bCs/>
                      <w:szCs w:val="21"/>
                      <w:u w:val="none"/>
                    </w:rPr>
                    <w:t>350</w:t>
                  </w:r>
                </w:p>
              </w:tc>
            </w:tr>
            <w:tr w14:paraId="06A42D5C">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584621DF">
                  <w:pPr>
                    <w:jc w:val="center"/>
                    <w:rPr>
                      <w:bCs/>
                      <w:szCs w:val="21"/>
                      <w:u w:val="none"/>
                    </w:rPr>
                  </w:pPr>
                  <w:r>
                    <w:rPr>
                      <w:rFonts w:hint="eastAsia"/>
                      <w:bCs/>
                      <w:szCs w:val="21"/>
                      <w:u w:val="none"/>
                    </w:rPr>
                    <w:t>硫化物</w:t>
                  </w:r>
                </w:p>
              </w:tc>
              <w:tc>
                <w:tcPr>
                  <w:tcW w:w="2835" w:type="pct"/>
                  <w:tcBorders>
                    <w:tl2br w:val="nil"/>
                    <w:tr2bl w:val="nil"/>
                  </w:tcBorders>
                </w:tcPr>
                <w:p w14:paraId="6ABB1D62">
                  <w:pPr>
                    <w:jc w:val="center"/>
                    <w:rPr>
                      <w:bCs/>
                      <w:szCs w:val="21"/>
                      <w:u w:val="none"/>
                    </w:rPr>
                  </w:pPr>
                  <w:r>
                    <w:rPr>
                      <w:rFonts w:ascii="Arial" w:hAnsi="Arial" w:cs="Arial"/>
                      <w:bCs/>
                      <w:szCs w:val="21"/>
                      <w:u w:val="none"/>
                    </w:rPr>
                    <w:t>≤</w:t>
                  </w:r>
                  <w:r>
                    <w:rPr>
                      <w:rFonts w:hint="eastAsia"/>
                      <w:bCs/>
                      <w:szCs w:val="21"/>
                      <w:u w:val="none"/>
                    </w:rPr>
                    <w:t>1</w:t>
                  </w:r>
                </w:p>
              </w:tc>
            </w:tr>
            <w:tr w14:paraId="6D9608EE">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5F90E9C4">
                  <w:pPr>
                    <w:jc w:val="center"/>
                    <w:rPr>
                      <w:bCs/>
                      <w:szCs w:val="21"/>
                      <w:u w:val="none"/>
                    </w:rPr>
                  </w:pPr>
                  <w:r>
                    <w:rPr>
                      <w:rFonts w:hint="eastAsia"/>
                      <w:bCs/>
                      <w:szCs w:val="21"/>
                      <w:u w:val="none"/>
                    </w:rPr>
                    <w:t>全盐量</w:t>
                  </w:r>
                </w:p>
              </w:tc>
              <w:tc>
                <w:tcPr>
                  <w:tcW w:w="2835" w:type="pct"/>
                  <w:tcBorders>
                    <w:tl2br w:val="nil"/>
                    <w:tr2bl w:val="nil"/>
                  </w:tcBorders>
                </w:tcPr>
                <w:p w14:paraId="3A9D4A92">
                  <w:pPr>
                    <w:jc w:val="center"/>
                    <w:rPr>
                      <w:bCs/>
                      <w:szCs w:val="21"/>
                      <w:u w:val="none"/>
                    </w:rPr>
                  </w:pPr>
                  <w:r>
                    <w:rPr>
                      <w:rFonts w:ascii="Arial" w:hAnsi="Arial" w:cs="Arial"/>
                      <w:bCs/>
                      <w:szCs w:val="21"/>
                      <w:u w:val="none"/>
                    </w:rPr>
                    <w:t>≤</w:t>
                  </w:r>
                  <w:r>
                    <w:rPr>
                      <w:rFonts w:hint="eastAsia"/>
                      <w:bCs/>
                      <w:szCs w:val="21"/>
                      <w:u w:val="none"/>
                    </w:rPr>
                    <w:t>1000</w:t>
                  </w:r>
                </w:p>
              </w:tc>
            </w:tr>
            <w:tr w14:paraId="0B4576D8">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4" w:type="pct"/>
                  <w:tcBorders>
                    <w:tl2br w:val="nil"/>
                    <w:tr2bl w:val="nil"/>
                  </w:tcBorders>
                </w:tcPr>
                <w:p w14:paraId="5DFB887B">
                  <w:pPr>
                    <w:jc w:val="center"/>
                    <w:rPr>
                      <w:bCs/>
                      <w:szCs w:val="21"/>
                      <w:u w:val="none"/>
                    </w:rPr>
                  </w:pPr>
                  <w:r>
                    <w:rPr>
                      <w:rFonts w:hint="eastAsia"/>
                      <w:bCs/>
                      <w:szCs w:val="21"/>
                      <w:u w:val="none"/>
                    </w:rPr>
                    <w:t>粪大肠菌群数/（MPN/L）</w:t>
                  </w:r>
                </w:p>
              </w:tc>
              <w:tc>
                <w:tcPr>
                  <w:tcW w:w="2835" w:type="pct"/>
                  <w:tcBorders>
                    <w:tl2br w:val="nil"/>
                    <w:tr2bl w:val="nil"/>
                  </w:tcBorders>
                </w:tcPr>
                <w:p w14:paraId="36293E52">
                  <w:pPr>
                    <w:jc w:val="center"/>
                    <w:rPr>
                      <w:bCs/>
                      <w:szCs w:val="21"/>
                      <w:u w:val="none"/>
                    </w:rPr>
                  </w:pPr>
                  <w:r>
                    <w:rPr>
                      <w:rFonts w:ascii="Arial" w:hAnsi="Arial" w:cs="Arial"/>
                      <w:bCs/>
                      <w:szCs w:val="21"/>
                      <w:u w:val="none"/>
                    </w:rPr>
                    <w:t>≤</w:t>
                  </w:r>
                  <w:r>
                    <w:rPr>
                      <w:rFonts w:hint="eastAsia"/>
                      <w:bCs/>
                      <w:szCs w:val="21"/>
                      <w:u w:val="none"/>
                    </w:rPr>
                    <w:t>20000</w:t>
                  </w:r>
                </w:p>
              </w:tc>
            </w:tr>
            <w:tr w14:paraId="3ABFAFE7">
              <w:tblPrEx>
                <w:tblBorders>
                  <w:top w:val="single" w:color="auto" w:sz="4" w:space="0"/>
                  <w:left w:val="single" w:color="auto" w:sz="8" w:space="0"/>
                  <w:bottom w:val="single" w:color="auto" w:sz="4"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164" w:type="pct"/>
                  <w:tcBorders>
                    <w:tl2br w:val="nil"/>
                    <w:tr2bl w:val="nil"/>
                  </w:tcBorders>
                </w:tcPr>
                <w:p w14:paraId="61236F5A">
                  <w:pPr>
                    <w:jc w:val="center"/>
                    <w:rPr>
                      <w:bCs/>
                      <w:szCs w:val="21"/>
                      <w:u w:val="none"/>
                    </w:rPr>
                  </w:pPr>
                  <w:r>
                    <w:rPr>
                      <w:rFonts w:hint="eastAsia"/>
                      <w:bCs/>
                      <w:szCs w:val="21"/>
                      <w:u w:val="none"/>
                    </w:rPr>
                    <w:t>蛔虫卵数/（个/10L）</w:t>
                  </w:r>
                </w:p>
              </w:tc>
              <w:tc>
                <w:tcPr>
                  <w:tcW w:w="2835" w:type="pct"/>
                  <w:tcBorders>
                    <w:tl2br w:val="nil"/>
                    <w:tr2bl w:val="nil"/>
                  </w:tcBorders>
                </w:tcPr>
                <w:p w14:paraId="170A4BD8">
                  <w:pPr>
                    <w:jc w:val="center"/>
                    <w:rPr>
                      <w:rFonts w:ascii="Arial" w:hAnsi="Arial" w:cs="Arial"/>
                      <w:bCs/>
                      <w:szCs w:val="21"/>
                      <w:u w:val="none"/>
                    </w:rPr>
                  </w:pPr>
                  <w:r>
                    <w:rPr>
                      <w:rFonts w:ascii="Arial" w:hAnsi="Arial" w:cs="Arial"/>
                      <w:bCs/>
                      <w:szCs w:val="21"/>
                      <w:u w:val="none"/>
                    </w:rPr>
                    <w:t>≤</w:t>
                  </w:r>
                  <w:r>
                    <w:rPr>
                      <w:rFonts w:hint="eastAsia"/>
                      <w:bCs/>
                      <w:szCs w:val="21"/>
                      <w:u w:val="none"/>
                    </w:rPr>
                    <w:t>20</w:t>
                  </w:r>
                </w:p>
              </w:tc>
            </w:tr>
          </w:tbl>
          <w:p w14:paraId="7C73B2E5">
            <w:pPr>
              <w:wordWrap w:val="0"/>
              <w:spacing w:line="360" w:lineRule="auto"/>
              <w:ind w:firstLine="482" w:firstLineChars="200"/>
              <w:rPr>
                <w:sz w:val="24"/>
                <w:szCs w:val="20"/>
                <w:u w:val="none"/>
              </w:rPr>
            </w:pPr>
            <w:r>
              <w:rPr>
                <w:rFonts w:hint="eastAsia"/>
                <w:b/>
                <w:bCs/>
                <w:sz w:val="24"/>
                <w:szCs w:val="20"/>
                <w:u w:val="none"/>
              </w:rPr>
              <w:t>3、</w:t>
            </w:r>
            <w:r>
              <w:rPr>
                <w:rFonts w:hAnsi="宋体"/>
                <w:b/>
                <w:bCs/>
                <w:sz w:val="24"/>
                <w:szCs w:val="20"/>
                <w:u w:val="none"/>
              </w:rPr>
              <w:t>噪声</w:t>
            </w:r>
          </w:p>
          <w:p w14:paraId="2C9F1D8E">
            <w:pPr>
              <w:wordWrap w:val="0"/>
              <w:spacing w:line="360" w:lineRule="auto"/>
              <w:ind w:firstLine="482" w:firstLineChars="200"/>
              <w:rPr>
                <w:b/>
                <w:bCs/>
                <w:sz w:val="24"/>
                <w:u w:val="none"/>
              </w:rPr>
            </w:pPr>
            <w:r>
              <w:rPr>
                <w:rFonts w:hint="eastAsia"/>
                <w:b/>
                <w:bCs/>
                <w:sz w:val="24"/>
                <w:u w:val="none"/>
              </w:rPr>
              <w:t>（1）</w:t>
            </w:r>
            <w:r>
              <w:rPr>
                <w:b/>
                <w:bCs/>
                <w:sz w:val="24"/>
                <w:u w:val="none"/>
              </w:rPr>
              <w:t>施工期</w:t>
            </w:r>
          </w:p>
          <w:p w14:paraId="33CB6848">
            <w:pPr>
              <w:wordWrap w:val="0"/>
              <w:spacing w:line="360" w:lineRule="auto"/>
              <w:ind w:firstLine="480" w:firstLineChars="200"/>
              <w:rPr>
                <w:spacing w:val="-1"/>
                <w:sz w:val="24"/>
                <w:u w:val="none"/>
              </w:rPr>
            </w:pPr>
            <w:r>
              <w:rPr>
                <w:sz w:val="24"/>
                <w:u w:val="none"/>
              </w:rPr>
              <w:t>项目施工期场界噪声执行</w:t>
            </w:r>
            <w:bookmarkStart w:id="8" w:name="OLE_LINK23"/>
            <w:r>
              <w:rPr>
                <w:sz w:val="24"/>
                <w:u w:val="none"/>
              </w:rPr>
              <w:t>《建筑施工场界环境噪声排放标准》</w:t>
            </w:r>
            <w:bookmarkEnd w:id="8"/>
            <w:r>
              <w:rPr>
                <w:sz w:val="24"/>
                <w:u w:val="none"/>
              </w:rPr>
              <w:t>（GB12523-2011）中表1排放限值，具体标准值见表</w:t>
            </w:r>
            <w:r>
              <w:rPr>
                <w:rFonts w:hint="eastAsia"/>
                <w:sz w:val="24"/>
                <w:u w:val="none"/>
              </w:rPr>
              <w:t>3-8</w:t>
            </w:r>
            <w:r>
              <w:rPr>
                <w:sz w:val="24"/>
                <w:u w:val="none"/>
              </w:rPr>
              <w:t>。</w:t>
            </w:r>
          </w:p>
          <w:p w14:paraId="5D18C0F2">
            <w:pPr>
              <w:wordWrap w:val="0"/>
              <w:adjustRightInd w:val="0"/>
              <w:snapToGrid w:val="0"/>
              <w:jc w:val="center"/>
              <w:rPr>
                <w:b/>
                <w:szCs w:val="21"/>
                <w:u w:val="none"/>
              </w:rPr>
            </w:pPr>
            <w:r>
              <w:rPr>
                <w:b/>
                <w:szCs w:val="21"/>
                <w:u w:val="none"/>
              </w:rPr>
              <w:t>表</w:t>
            </w:r>
            <w:r>
              <w:rPr>
                <w:rFonts w:hint="eastAsia"/>
                <w:b/>
                <w:szCs w:val="21"/>
                <w:u w:val="none"/>
              </w:rPr>
              <w:t>3-8</w:t>
            </w:r>
            <w:r>
              <w:rPr>
                <w:b/>
                <w:szCs w:val="21"/>
                <w:u w:val="none"/>
              </w:rPr>
              <w:t xml:space="preserve">   建筑施工场界环境噪声排放标准  </w:t>
            </w:r>
            <w:r>
              <w:rPr>
                <w:rFonts w:hint="eastAsia"/>
                <w:b/>
                <w:szCs w:val="21"/>
                <w:u w:val="none"/>
              </w:rPr>
              <w:t xml:space="preserve"> </w:t>
            </w:r>
            <w:r>
              <w:rPr>
                <w:b/>
                <w:szCs w:val="21"/>
                <w:u w:val="none"/>
              </w:rPr>
              <w:t>单位：dB</w:t>
            </w:r>
            <w:r>
              <w:rPr>
                <w:rFonts w:hint="eastAsia"/>
                <w:b/>
                <w:szCs w:val="21"/>
                <w:u w:val="none"/>
              </w:rPr>
              <w:t>（</w:t>
            </w:r>
            <w:r>
              <w:rPr>
                <w:b/>
                <w:szCs w:val="21"/>
                <w:u w:val="none"/>
              </w:rPr>
              <w:t>A</w:t>
            </w:r>
            <w:r>
              <w:rPr>
                <w:rFonts w:hint="eastAsia"/>
                <w:b/>
                <w:szCs w:val="21"/>
                <w:u w:val="none"/>
              </w:rPr>
              <w:t>）</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3"/>
              <w:gridCol w:w="4315"/>
            </w:tblGrid>
            <w:tr w14:paraId="2233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9" w:type="pct"/>
                  <w:tcBorders>
                    <w:tl2br w:val="nil"/>
                    <w:tr2bl w:val="nil"/>
                  </w:tcBorders>
                  <w:vAlign w:val="center"/>
                </w:tcPr>
                <w:p w14:paraId="68ECE3CF">
                  <w:pPr>
                    <w:wordWrap w:val="0"/>
                    <w:adjustRightInd w:val="0"/>
                    <w:snapToGrid w:val="0"/>
                    <w:jc w:val="center"/>
                    <w:rPr>
                      <w:b/>
                      <w:szCs w:val="21"/>
                      <w:u w:val="none"/>
                    </w:rPr>
                  </w:pPr>
                  <w:r>
                    <w:rPr>
                      <w:b/>
                      <w:szCs w:val="21"/>
                      <w:u w:val="none"/>
                    </w:rPr>
                    <w:t>昼间</w:t>
                  </w:r>
                </w:p>
              </w:tc>
              <w:tc>
                <w:tcPr>
                  <w:tcW w:w="2500" w:type="pct"/>
                  <w:tcBorders>
                    <w:tl2br w:val="nil"/>
                    <w:tr2bl w:val="nil"/>
                  </w:tcBorders>
                  <w:vAlign w:val="center"/>
                </w:tcPr>
                <w:p w14:paraId="11243679">
                  <w:pPr>
                    <w:wordWrap w:val="0"/>
                    <w:adjustRightInd w:val="0"/>
                    <w:snapToGrid w:val="0"/>
                    <w:jc w:val="center"/>
                    <w:rPr>
                      <w:b/>
                      <w:szCs w:val="21"/>
                      <w:u w:val="none"/>
                    </w:rPr>
                  </w:pPr>
                  <w:r>
                    <w:rPr>
                      <w:b/>
                      <w:szCs w:val="21"/>
                      <w:u w:val="none"/>
                    </w:rPr>
                    <w:t>夜间</w:t>
                  </w:r>
                </w:p>
              </w:tc>
            </w:tr>
            <w:tr w14:paraId="2F91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99" w:type="pct"/>
                  <w:tcBorders>
                    <w:tl2br w:val="nil"/>
                    <w:tr2bl w:val="nil"/>
                  </w:tcBorders>
                  <w:vAlign w:val="center"/>
                </w:tcPr>
                <w:p w14:paraId="6671FB5E">
                  <w:pPr>
                    <w:wordWrap w:val="0"/>
                    <w:adjustRightInd w:val="0"/>
                    <w:snapToGrid w:val="0"/>
                    <w:jc w:val="center"/>
                    <w:rPr>
                      <w:szCs w:val="21"/>
                      <w:u w:val="none"/>
                    </w:rPr>
                  </w:pPr>
                  <w:r>
                    <w:rPr>
                      <w:szCs w:val="21"/>
                      <w:u w:val="none"/>
                    </w:rPr>
                    <w:t>70</w:t>
                  </w:r>
                </w:p>
              </w:tc>
              <w:tc>
                <w:tcPr>
                  <w:tcW w:w="2500" w:type="pct"/>
                  <w:tcBorders>
                    <w:tl2br w:val="nil"/>
                    <w:tr2bl w:val="nil"/>
                  </w:tcBorders>
                  <w:vAlign w:val="center"/>
                </w:tcPr>
                <w:p w14:paraId="262C6714">
                  <w:pPr>
                    <w:wordWrap w:val="0"/>
                    <w:adjustRightInd w:val="0"/>
                    <w:snapToGrid w:val="0"/>
                    <w:jc w:val="center"/>
                    <w:rPr>
                      <w:szCs w:val="21"/>
                      <w:u w:val="none"/>
                    </w:rPr>
                  </w:pPr>
                  <w:r>
                    <w:rPr>
                      <w:szCs w:val="21"/>
                      <w:u w:val="none"/>
                    </w:rPr>
                    <w:t>55</w:t>
                  </w:r>
                </w:p>
              </w:tc>
            </w:tr>
          </w:tbl>
          <w:p w14:paraId="45E4A2D0">
            <w:pPr>
              <w:wordWrap w:val="0"/>
              <w:autoSpaceDE w:val="0"/>
              <w:autoSpaceDN w:val="0"/>
              <w:spacing w:line="360" w:lineRule="auto"/>
              <w:ind w:firstLine="482" w:firstLineChars="200"/>
              <w:rPr>
                <w:b/>
                <w:bCs/>
                <w:sz w:val="24"/>
                <w:u w:val="none"/>
              </w:rPr>
            </w:pPr>
            <w:r>
              <w:rPr>
                <w:rFonts w:hint="eastAsia"/>
                <w:b/>
                <w:bCs/>
                <w:sz w:val="24"/>
                <w:u w:val="none"/>
              </w:rPr>
              <w:t>（2）</w:t>
            </w:r>
            <w:r>
              <w:rPr>
                <w:b/>
                <w:bCs/>
                <w:sz w:val="24"/>
                <w:u w:val="none"/>
              </w:rPr>
              <w:t>运营期</w:t>
            </w:r>
          </w:p>
          <w:p w14:paraId="67D517D3">
            <w:pPr>
              <w:wordWrap w:val="0"/>
              <w:adjustRightInd w:val="0"/>
              <w:snapToGrid w:val="0"/>
              <w:spacing w:line="360" w:lineRule="auto"/>
              <w:ind w:firstLine="480" w:firstLineChars="200"/>
              <w:rPr>
                <w:sz w:val="24"/>
                <w:u w:val="none"/>
              </w:rPr>
            </w:pPr>
            <w:r>
              <w:rPr>
                <w:rFonts w:hint="eastAsia"/>
                <w:sz w:val="24"/>
                <w:u w:val="none"/>
              </w:rPr>
              <w:t>项目位于3类声环境功能区，运营期</w:t>
            </w:r>
            <w:r>
              <w:rPr>
                <w:rFonts w:hint="eastAsia"/>
                <w:sz w:val="24"/>
                <w:szCs w:val="28"/>
                <w:u w:val="none"/>
                <w:lang w:val="zh-CN"/>
              </w:rPr>
              <w:t>项目</w:t>
            </w:r>
            <w:r>
              <w:rPr>
                <w:rFonts w:hint="eastAsia"/>
                <w:sz w:val="24"/>
                <w:szCs w:val="28"/>
                <w:u w:val="none"/>
              </w:rPr>
              <w:t>厂界</w:t>
            </w:r>
            <w:r>
              <w:rPr>
                <w:rFonts w:hint="eastAsia"/>
                <w:sz w:val="24"/>
                <w:szCs w:val="28"/>
                <w:u w:val="none"/>
                <w:lang w:val="zh-CN"/>
              </w:rPr>
              <w:t>噪声</w:t>
            </w:r>
            <w:r>
              <w:rPr>
                <w:sz w:val="24"/>
                <w:u w:val="none"/>
              </w:rPr>
              <w:t>执行《</w:t>
            </w:r>
            <w:r>
              <w:rPr>
                <w:rFonts w:hint="eastAsia"/>
                <w:sz w:val="24"/>
                <w:u w:val="none"/>
              </w:rPr>
              <w:t>工业企业厂界环境噪声排放标准</w:t>
            </w:r>
            <w:r>
              <w:rPr>
                <w:sz w:val="24"/>
                <w:u w:val="none"/>
              </w:rPr>
              <w:t>》</w:t>
            </w:r>
            <w:r>
              <w:rPr>
                <w:rFonts w:hint="eastAsia"/>
                <w:sz w:val="24"/>
                <w:u w:val="none"/>
              </w:rPr>
              <w:t>（</w:t>
            </w:r>
            <w:r>
              <w:rPr>
                <w:sz w:val="24"/>
                <w:u w:val="none"/>
              </w:rPr>
              <w:t>GB</w:t>
            </w:r>
            <w:r>
              <w:rPr>
                <w:rFonts w:hint="eastAsia"/>
                <w:sz w:val="24"/>
                <w:u w:val="none"/>
              </w:rPr>
              <w:t xml:space="preserve"> </w:t>
            </w:r>
            <w:r>
              <w:rPr>
                <w:sz w:val="24"/>
                <w:u w:val="none"/>
              </w:rPr>
              <w:t>12348-2008</w:t>
            </w:r>
            <w:r>
              <w:rPr>
                <w:rFonts w:hint="eastAsia"/>
                <w:sz w:val="24"/>
                <w:u w:val="none"/>
              </w:rPr>
              <w:t>）3类标准</w:t>
            </w:r>
            <w:r>
              <w:rPr>
                <w:sz w:val="24"/>
                <w:u w:val="none"/>
              </w:rPr>
              <w:t>。</w:t>
            </w:r>
            <w:r>
              <w:rPr>
                <w:rFonts w:hint="eastAsia"/>
                <w:sz w:val="24"/>
                <w:u w:val="none"/>
              </w:rPr>
              <w:t>标准值</w:t>
            </w:r>
            <w:r>
              <w:rPr>
                <w:sz w:val="24"/>
                <w:u w:val="none"/>
              </w:rPr>
              <w:t>具体见表</w:t>
            </w:r>
            <w:r>
              <w:rPr>
                <w:rFonts w:hint="eastAsia"/>
                <w:sz w:val="24"/>
                <w:u w:val="none"/>
              </w:rPr>
              <w:t>3-9</w:t>
            </w:r>
            <w:r>
              <w:rPr>
                <w:sz w:val="24"/>
                <w:u w:val="none"/>
              </w:rPr>
              <w:t>。</w:t>
            </w:r>
          </w:p>
          <w:p w14:paraId="65333EA7">
            <w:pPr>
              <w:wordWrap w:val="0"/>
              <w:adjustRightInd w:val="0"/>
              <w:snapToGrid w:val="0"/>
              <w:spacing w:line="360" w:lineRule="auto"/>
              <w:jc w:val="center"/>
              <w:rPr>
                <w:b/>
                <w:kern w:val="0"/>
                <w:sz w:val="24"/>
                <w:u w:val="none"/>
              </w:rPr>
            </w:pPr>
            <w:r>
              <w:rPr>
                <w:b/>
                <w:szCs w:val="21"/>
                <w:u w:val="none"/>
              </w:rPr>
              <w:t>表</w:t>
            </w:r>
            <w:r>
              <w:rPr>
                <w:rFonts w:hint="eastAsia"/>
                <w:b/>
                <w:szCs w:val="21"/>
                <w:u w:val="none"/>
              </w:rPr>
              <w:t>3-9</w:t>
            </w:r>
            <w:r>
              <w:rPr>
                <w:b/>
                <w:szCs w:val="21"/>
                <w:u w:val="none"/>
              </w:rPr>
              <w:t xml:space="preserve">   </w:t>
            </w:r>
            <w:r>
              <w:rPr>
                <w:rFonts w:hint="eastAsia"/>
                <w:b/>
                <w:szCs w:val="21"/>
                <w:u w:val="none"/>
              </w:rPr>
              <w:t xml:space="preserve">工业企业厂界环境噪声排放标准   </w:t>
            </w:r>
            <w:r>
              <w:rPr>
                <w:b/>
                <w:szCs w:val="21"/>
                <w:u w:val="none"/>
              </w:rPr>
              <w:t>单位：dB</w:t>
            </w:r>
            <w:r>
              <w:rPr>
                <w:rFonts w:hint="eastAsia"/>
                <w:b/>
                <w:szCs w:val="21"/>
                <w:u w:val="none"/>
              </w:rPr>
              <w:t>（</w:t>
            </w:r>
            <w:r>
              <w:rPr>
                <w:b/>
                <w:szCs w:val="21"/>
                <w:u w:val="none"/>
              </w:rPr>
              <w:t>A</w:t>
            </w:r>
            <w:r>
              <w:rPr>
                <w:rFonts w:hint="eastAsia"/>
                <w:b/>
                <w:szCs w:val="21"/>
                <w:u w:val="none"/>
              </w:rPr>
              <w:t>）</w:t>
            </w:r>
          </w:p>
          <w:tbl>
            <w:tblPr>
              <w:tblStyle w:val="37"/>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63"/>
              <w:gridCol w:w="3429"/>
              <w:gridCol w:w="3430"/>
            </w:tblGrid>
            <w:tr w14:paraId="7B5E5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22" w:type="pct"/>
                  <w:vAlign w:val="center"/>
                </w:tcPr>
                <w:p w14:paraId="3F8A667D">
                  <w:pPr>
                    <w:wordWrap w:val="0"/>
                    <w:adjustRightInd w:val="0"/>
                    <w:snapToGrid w:val="0"/>
                    <w:jc w:val="center"/>
                    <w:rPr>
                      <w:rFonts w:hAnsi="宋体"/>
                      <w:bCs/>
                      <w:szCs w:val="21"/>
                      <w:u w:val="none"/>
                    </w:rPr>
                  </w:pPr>
                  <w:r>
                    <w:rPr>
                      <w:rFonts w:hAnsi="宋体"/>
                      <w:bCs/>
                      <w:szCs w:val="21"/>
                      <w:u w:val="none"/>
                    </w:rPr>
                    <w:t>类别</w:t>
                  </w:r>
                </w:p>
              </w:tc>
              <w:tc>
                <w:tcPr>
                  <w:tcW w:w="1988" w:type="pct"/>
                  <w:vAlign w:val="center"/>
                </w:tcPr>
                <w:p w14:paraId="63380B0A">
                  <w:pPr>
                    <w:wordWrap w:val="0"/>
                    <w:adjustRightInd w:val="0"/>
                    <w:snapToGrid w:val="0"/>
                    <w:jc w:val="center"/>
                    <w:rPr>
                      <w:rFonts w:hAnsi="宋体"/>
                      <w:bCs/>
                      <w:szCs w:val="21"/>
                      <w:u w:val="none"/>
                    </w:rPr>
                  </w:pPr>
                  <w:r>
                    <w:rPr>
                      <w:rFonts w:hAnsi="宋体"/>
                      <w:bCs/>
                      <w:szCs w:val="21"/>
                      <w:u w:val="none"/>
                    </w:rPr>
                    <w:t>昼间</w:t>
                  </w:r>
                </w:p>
              </w:tc>
              <w:tc>
                <w:tcPr>
                  <w:tcW w:w="1988" w:type="pct"/>
                  <w:vAlign w:val="center"/>
                </w:tcPr>
                <w:p w14:paraId="31A96352">
                  <w:pPr>
                    <w:wordWrap w:val="0"/>
                    <w:adjustRightInd w:val="0"/>
                    <w:snapToGrid w:val="0"/>
                    <w:jc w:val="center"/>
                    <w:rPr>
                      <w:rFonts w:hAnsi="宋体"/>
                      <w:bCs/>
                      <w:szCs w:val="21"/>
                      <w:u w:val="none"/>
                    </w:rPr>
                  </w:pPr>
                  <w:r>
                    <w:rPr>
                      <w:rFonts w:hAnsi="宋体"/>
                      <w:bCs/>
                      <w:szCs w:val="21"/>
                      <w:u w:val="none"/>
                    </w:rPr>
                    <w:t>夜间</w:t>
                  </w:r>
                </w:p>
              </w:tc>
            </w:tr>
            <w:tr w14:paraId="743AC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 w:hRule="atLeast"/>
                <w:jc w:val="center"/>
              </w:trPr>
              <w:tc>
                <w:tcPr>
                  <w:tcW w:w="1022" w:type="pct"/>
                  <w:vAlign w:val="center"/>
                </w:tcPr>
                <w:p w14:paraId="2C16CF7D">
                  <w:pPr>
                    <w:wordWrap w:val="0"/>
                    <w:adjustRightInd w:val="0"/>
                    <w:snapToGrid w:val="0"/>
                    <w:jc w:val="center"/>
                    <w:rPr>
                      <w:rFonts w:hAnsi="宋体"/>
                      <w:bCs/>
                      <w:szCs w:val="21"/>
                      <w:u w:val="none"/>
                    </w:rPr>
                  </w:pPr>
                  <w:r>
                    <w:rPr>
                      <w:rFonts w:hint="eastAsia" w:hAnsi="宋体"/>
                      <w:bCs/>
                      <w:szCs w:val="21"/>
                      <w:u w:val="none"/>
                    </w:rPr>
                    <w:t>3</w:t>
                  </w:r>
                </w:p>
              </w:tc>
              <w:tc>
                <w:tcPr>
                  <w:tcW w:w="1988" w:type="pct"/>
                  <w:vAlign w:val="center"/>
                </w:tcPr>
                <w:p w14:paraId="06AC913F">
                  <w:pPr>
                    <w:wordWrap w:val="0"/>
                    <w:adjustRightInd w:val="0"/>
                    <w:snapToGrid w:val="0"/>
                    <w:jc w:val="center"/>
                    <w:rPr>
                      <w:rFonts w:hAnsi="宋体"/>
                      <w:bCs/>
                      <w:szCs w:val="21"/>
                      <w:u w:val="none"/>
                    </w:rPr>
                  </w:pPr>
                  <w:r>
                    <w:rPr>
                      <w:rFonts w:hint="eastAsia" w:hAnsi="宋体"/>
                      <w:bCs/>
                      <w:szCs w:val="21"/>
                      <w:u w:val="none"/>
                    </w:rPr>
                    <w:t>65</w:t>
                  </w:r>
                </w:p>
              </w:tc>
              <w:tc>
                <w:tcPr>
                  <w:tcW w:w="1988" w:type="pct"/>
                  <w:vAlign w:val="center"/>
                </w:tcPr>
                <w:p w14:paraId="5C8DB280">
                  <w:pPr>
                    <w:wordWrap w:val="0"/>
                    <w:adjustRightInd w:val="0"/>
                    <w:snapToGrid w:val="0"/>
                    <w:jc w:val="center"/>
                    <w:rPr>
                      <w:rFonts w:hAnsi="宋体"/>
                      <w:bCs/>
                      <w:szCs w:val="21"/>
                      <w:u w:val="none"/>
                    </w:rPr>
                  </w:pPr>
                  <w:r>
                    <w:rPr>
                      <w:rFonts w:hint="eastAsia" w:hAnsi="宋体"/>
                      <w:bCs/>
                      <w:szCs w:val="21"/>
                      <w:u w:val="none"/>
                    </w:rPr>
                    <w:t>55</w:t>
                  </w:r>
                </w:p>
              </w:tc>
            </w:tr>
          </w:tbl>
          <w:p w14:paraId="175F6FF6">
            <w:pPr>
              <w:wordWrap w:val="0"/>
              <w:spacing w:line="360" w:lineRule="auto"/>
              <w:ind w:firstLine="482" w:firstLineChars="200"/>
              <w:rPr>
                <w:b/>
                <w:bCs/>
                <w:sz w:val="24"/>
                <w:u w:val="none"/>
              </w:rPr>
            </w:pPr>
            <w:r>
              <w:rPr>
                <w:rFonts w:hint="eastAsia"/>
                <w:b/>
                <w:bCs/>
                <w:sz w:val="24"/>
                <w:u w:val="none"/>
              </w:rPr>
              <w:t>4、固体废物</w:t>
            </w:r>
          </w:p>
          <w:p w14:paraId="0ABECD2F">
            <w:pPr>
              <w:wordWrap w:val="0"/>
              <w:adjustRightInd w:val="0"/>
              <w:spacing w:line="360" w:lineRule="auto"/>
              <w:ind w:firstLine="480" w:firstLineChars="200"/>
              <w:rPr>
                <w:u w:val="none"/>
              </w:rPr>
            </w:pPr>
            <w:r>
              <w:rPr>
                <w:sz w:val="24"/>
                <w:u w:val="none"/>
              </w:rPr>
              <w:t>项目产生的一般</w:t>
            </w:r>
            <w:r>
              <w:rPr>
                <w:rFonts w:hint="eastAsia"/>
                <w:sz w:val="24"/>
                <w:u w:val="none"/>
              </w:rPr>
              <w:t>工业</w:t>
            </w:r>
            <w:r>
              <w:rPr>
                <w:sz w:val="24"/>
                <w:u w:val="none"/>
              </w:rPr>
              <w:t>固体废物执行</w:t>
            </w:r>
            <w:r>
              <w:rPr>
                <w:u w:val="none"/>
              </w:rPr>
              <w:fldChar w:fldCharType="begin"/>
            </w:r>
            <w:r>
              <w:rPr>
                <w:u w:val="none"/>
              </w:rPr>
              <w:instrText xml:space="preserve"> HYPERLINK "http://www.mee.gov.cn/ywgz/fgbz/bz/bzwb/gthw/gtfwwrkzbz/202012/t20201218_813927.shtml" </w:instrText>
            </w:r>
            <w:r>
              <w:rPr>
                <w:u w:val="none"/>
              </w:rPr>
              <w:fldChar w:fldCharType="separate"/>
            </w:r>
            <w:r>
              <w:rPr>
                <w:sz w:val="24"/>
                <w:u w:val="none"/>
              </w:rPr>
              <w:t>《一般工业固体废物贮存和填埋污染控制标准》（GB 18599-2020）</w:t>
            </w:r>
            <w:r>
              <w:rPr>
                <w:sz w:val="24"/>
                <w:u w:val="none"/>
              </w:rPr>
              <w:fldChar w:fldCharType="end"/>
            </w:r>
            <w:r>
              <w:rPr>
                <w:sz w:val="24"/>
                <w:u w:val="none"/>
              </w:rPr>
              <w:t>。</w:t>
            </w:r>
            <w:r>
              <w:rPr>
                <w:kern w:val="0"/>
                <w:sz w:val="24"/>
                <w:u w:val="none"/>
              </w:rPr>
              <w:t>项目运营</w:t>
            </w:r>
            <w:r>
              <w:rPr>
                <w:rFonts w:hint="eastAsia"/>
                <w:kern w:val="0"/>
                <w:sz w:val="24"/>
                <w:u w:val="none"/>
              </w:rPr>
              <w:t>过程中无</w:t>
            </w:r>
            <w:r>
              <w:rPr>
                <w:kern w:val="0"/>
                <w:sz w:val="24"/>
                <w:u w:val="none"/>
              </w:rPr>
              <w:t>危险废物产生</w:t>
            </w:r>
            <w:r>
              <w:rPr>
                <w:sz w:val="24"/>
                <w:u w:val="none"/>
              </w:rPr>
              <w:t>。</w:t>
            </w:r>
          </w:p>
        </w:tc>
      </w:tr>
      <w:tr w14:paraId="280F4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454" w:type="dxa"/>
            <w:vAlign w:val="center"/>
          </w:tcPr>
          <w:p w14:paraId="056DB1E0">
            <w:pPr>
              <w:adjustRightInd w:val="0"/>
              <w:snapToGrid w:val="0"/>
              <w:rPr>
                <w:kern w:val="0"/>
                <w:sz w:val="24"/>
                <w:u w:val="none"/>
              </w:rPr>
            </w:pPr>
          </w:p>
          <w:p w14:paraId="6292F653">
            <w:pPr>
              <w:adjustRightInd w:val="0"/>
              <w:snapToGrid w:val="0"/>
              <w:jc w:val="center"/>
              <w:rPr>
                <w:kern w:val="0"/>
                <w:sz w:val="24"/>
                <w:u w:val="none"/>
              </w:rPr>
            </w:pPr>
          </w:p>
          <w:p w14:paraId="0112ECB2">
            <w:pPr>
              <w:pStyle w:val="36"/>
              <w:ind w:firstLine="480"/>
              <w:rPr>
                <w:kern w:val="0"/>
                <w:sz w:val="24"/>
                <w:u w:val="none"/>
              </w:rPr>
            </w:pPr>
          </w:p>
          <w:p w14:paraId="2437CCAD">
            <w:pPr>
              <w:rPr>
                <w:u w:val="none"/>
              </w:rPr>
            </w:pPr>
          </w:p>
          <w:p w14:paraId="07C92CA1">
            <w:pPr>
              <w:adjustRightInd w:val="0"/>
              <w:snapToGrid w:val="0"/>
              <w:jc w:val="center"/>
              <w:rPr>
                <w:kern w:val="0"/>
                <w:sz w:val="24"/>
                <w:u w:val="none"/>
              </w:rPr>
            </w:pPr>
            <w:r>
              <w:rPr>
                <w:kern w:val="0"/>
                <w:sz w:val="24"/>
                <w:u w:val="none"/>
              </w:rPr>
              <w:t>总量</w:t>
            </w:r>
          </w:p>
          <w:p w14:paraId="754790B7">
            <w:pPr>
              <w:adjustRightInd w:val="0"/>
              <w:snapToGrid w:val="0"/>
              <w:jc w:val="center"/>
              <w:rPr>
                <w:kern w:val="0"/>
                <w:sz w:val="24"/>
                <w:u w:val="none"/>
              </w:rPr>
            </w:pPr>
            <w:r>
              <w:rPr>
                <w:kern w:val="0"/>
                <w:sz w:val="24"/>
                <w:u w:val="none"/>
              </w:rPr>
              <w:t>控制</w:t>
            </w:r>
          </w:p>
          <w:p w14:paraId="6D0888F0">
            <w:pPr>
              <w:adjustRightInd w:val="0"/>
              <w:snapToGrid w:val="0"/>
              <w:jc w:val="center"/>
              <w:rPr>
                <w:kern w:val="0"/>
                <w:sz w:val="24"/>
                <w:u w:val="none"/>
              </w:rPr>
            </w:pPr>
            <w:r>
              <w:rPr>
                <w:kern w:val="0"/>
                <w:sz w:val="24"/>
                <w:u w:val="none"/>
              </w:rPr>
              <w:t>指标</w:t>
            </w:r>
          </w:p>
        </w:tc>
        <w:tc>
          <w:tcPr>
            <w:tcW w:w="8858" w:type="dxa"/>
            <w:vAlign w:val="center"/>
          </w:tcPr>
          <w:p w14:paraId="04350F8F">
            <w:pPr>
              <w:spacing w:line="360" w:lineRule="auto"/>
              <w:ind w:firstLine="480" w:firstLineChars="200"/>
              <w:jc w:val="left"/>
              <w:rPr>
                <w:snapToGrid w:val="0"/>
                <w:kern w:val="0"/>
                <w:sz w:val="24"/>
                <w:u w:val="none"/>
              </w:rPr>
            </w:pPr>
            <w:r>
              <w:rPr>
                <w:snapToGrid w:val="0"/>
                <w:kern w:val="0"/>
                <w:sz w:val="24"/>
                <w:u w:val="none"/>
              </w:rPr>
              <w:t>根据《曲靖市生态环境局关于进一步加强建设项目主要污染物排放总量指标管理的通知》</w:t>
            </w:r>
            <w:r>
              <w:rPr>
                <w:rFonts w:hint="eastAsia"/>
                <w:snapToGrid w:val="0"/>
                <w:kern w:val="0"/>
                <w:sz w:val="24"/>
                <w:u w:val="none"/>
              </w:rPr>
              <w:t>（</w:t>
            </w:r>
            <w:r>
              <w:rPr>
                <w:snapToGrid w:val="0"/>
                <w:kern w:val="0"/>
                <w:sz w:val="24"/>
                <w:u w:val="none"/>
              </w:rPr>
              <w:t>曲环通</w:t>
            </w:r>
            <w:r>
              <w:rPr>
                <w:rFonts w:hint="eastAsia"/>
                <w:snapToGrid w:val="0"/>
                <w:kern w:val="0"/>
                <w:sz w:val="24"/>
                <w:u w:val="none"/>
              </w:rPr>
              <w:t>〔2022〕65号）</w:t>
            </w:r>
            <w:r>
              <w:rPr>
                <w:snapToGrid w:val="0"/>
                <w:kern w:val="0"/>
                <w:sz w:val="24"/>
                <w:u w:val="none"/>
              </w:rPr>
              <w:t>，结合本项目污染物排放情况，列出本项目建议执行的总量控制指标如下：</w:t>
            </w:r>
          </w:p>
          <w:p w14:paraId="3FE9BCD1">
            <w:pPr>
              <w:spacing w:line="360" w:lineRule="auto"/>
              <w:ind w:firstLine="482" w:firstLineChars="200"/>
              <w:rPr>
                <w:snapToGrid w:val="0"/>
                <w:kern w:val="0"/>
                <w:sz w:val="24"/>
                <w:u w:val="none"/>
              </w:rPr>
            </w:pPr>
            <w:r>
              <w:rPr>
                <w:b/>
                <w:bCs/>
                <w:snapToGrid w:val="0"/>
                <w:kern w:val="0"/>
                <w:sz w:val="24"/>
                <w:u w:val="none"/>
              </w:rPr>
              <w:t>（1）废水：</w:t>
            </w:r>
            <w:r>
              <w:rPr>
                <w:snapToGrid w:val="0"/>
                <w:kern w:val="0"/>
                <w:sz w:val="24"/>
                <w:u w:val="none"/>
              </w:rPr>
              <w:t>项目</w:t>
            </w:r>
            <w:r>
              <w:rPr>
                <w:rFonts w:hint="eastAsia"/>
                <w:snapToGrid w:val="0"/>
                <w:kern w:val="0"/>
                <w:sz w:val="24"/>
                <w:u w:val="none"/>
              </w:rPr>
              <w:t>车辆</w:t>
            </w:r>
            <w:r>
              <w:rPr>
                <w:snapToGrid w:val="0"/>
                <w:kern w:val="0"/>
                <w:sz w:val="24"/>
                <w:u w:val="none"/>
              </w:rPr>
              <w:t>清洗废水经</w:t>
            </w:r>
            <w:r>
              <w:rPr>
                <w:rFonts w:hint="eastAsia"/>
                <w:snapToGrid w:val="0"/>
                <w:kern w:val="0"/>
                <w:sz w:val="24"/>
                <w:u w:val="none"/>
              </w:rPr>
              <w:t>沉淀</w:t>
            </w:r>
            <w:r>
              <w:rPr>
                <w:snapToGrid w:val="0"/>
                <w:kern w:val="0"/>
                <w:sz w:val="24"/>
                <w:u w:val="none"/>
              </w:rPr>
              <w:t>处理后回用于项目生产过程，不外排；</w:t>
            </w:r>
            <w:r>
              <w:rPr>
                <w:bCs/>
                <w:sz w:val="24"/>
                <w:u w:val="none"/>
              </w:rPr>
              <w:t>职工办公生活污水经化粪池处理后排入1套处理能力为1m</w:t>
            </w:r>
            <w:r>
              <w:rPr>
                <w:bCs/>
                <w:sz w:val="24"/>
                <w:u w:val="none"/>
                <w:vertAlign w:val="superscript"/>
              </w:rPr>
              <w:t>3</w:t>
            </w:r>
            <w:r>
              <w:rPr>
                <w:bCs/>
                <w:sz w:val="24"/>
                <w:u w:val="none"/>
              </w:rPr>
              <w:t>/d的一体化污水处理站处理</w:t>
            </w:r>
            <w:r>
              <w:rPr>
                <w:bCs/>
                <w:sz w:val="24"/>
                <w:u w:val="none"/>
                <w:lang w:val="zh-TW"/>
              </w:rPr>
              <w:t>，</w:t>
            </w:r>
            <w:r>
              <w:rPr>
                <w:rFonts w:hint="eastAsia"/>
                <w:sz w:val="24"/>
                <w:u w:val="none"/>
                <w:lang w:val="zh-TW"/>
              </w:rPr>
              <w:t>处理达</w:t>
            </w:r>
            <w:r>
              <w:rPr>
                <w:rFonts w:hint="eastAsia"/>
                <w:sz w:val="24"/>
                <w:u w:val="none"/>
              </w:rPr>
              <w:t>到</w:t>
            </w:r>
            <w:r>
              <w:rPr>
                <w:rFonts w:hint="eastAsia"/>
                <w:sz w:val="24"/>
                <w:u w:val="none"/>
                <w:lang w:val="zh-TW"/>
              </w:rPr>
              <w:t>《农田灌溉水质标准》（GB5084-2021）中蔬菜标准限值后，采用密闭运输工具清运用于周边旱地、种植基地及菜地灌溉</w:t>
            </w:r>
            <w:r>
              <w:rPr>
                <w:rFonts w:hint="eastAsia"/>
                <w:snapToGrid w:val="0"/>
                <w:kern w:val="0"/>
                <w:sz w:val="24"/>
                <w:u w:val="none"/>
              </w:rPr>
              <w:t>。</w:t>
            </w:r>
            <w:r>
              <w:rPr>
                <w:snapToGrid w:val="0"/>
                <w:kern w:val="0"/>
                <w:sz w:val="24"/>
                <w:u w:val="none"/>
              </w:rPr>
              <w:t>故废水不设总量控制指标。</w:t>
            </w:r>
          </w:p>
          <w:p w14:paraId="132DC407">
            <w:pPr>
              <w:spacing w:line="360" w:lineRule="auto"/>
              <w:ind w:firstLine="482" w:firstLineChars="200"/>
              <w:jc w:val="left"/>
              <w:rPr>
                <w:snapToGrid w:val="0"/>
                <w:kern w:val="0"/>
                <w:sz w:val="24"/>
                <w:u w:val="none"/>
              </w:rPr>
            </w:pPr>
            <w:r>
              <w:rPr>
                <w:b/>
                <w:bCs/>
                <w:snapToGrid w:val="0"/>
                <w:kern w:val="0"/>
                <w:sz w:val="24"/>
                <w:u w:val="none"/>
              </w:rPr>
              <w:t>（2）废气：</w:t>
            </w:r>
            <w:r>
              <w:rPr>
                <w:snapToGrid w:val="0"/>
                <w:kern w:val="0"/>
                <w:sz w:val="24"/>
                <w:u w:val="none"/>
              </w:rPr>
              <w:t>项目运营期废气污染物主要为</w:t>
            </w:r>
            <w:r>
              <w:rPr>
                <w:rFonts w:hint="eastAsia"/>
                <w:snapToGrid w:val="0"/>
                <w:kern w:val="0"/>
                <w:sz w:val="24"/>
                <w:u w:val="none"/>
              </w:rPr>
              <w:t>粉尘</w:t>
            </w:r>
            <w:r>
              <w:rPr>
                <w:snapToGrid w:val="0"/>
                <w:kern w:val="0"/>
                <w:sz w:val="24"/>
                <w:u w:val="none"/>
              </w:rPr>
              <w:t>，根据国家</w:t>
            </w:r>
            <w:r>
              <w:rPr>
                <w:rFonts w:hint="eastAsia"/>
                <w:snapToGrid w:val="0"/>
                <w:kern w:val="0"/>
                <w:sz w:val="24"/>
                <w:u w:val="none"/>
              </w:rPr>
              <w:t>及曲靖市</w:t>
            </w:r>
            <w:r>
              <w:rPr>
                <w:snapToGrid w:val="0"/>
                <w:kern w:val="0"/>
                <w:sz w:val="24"/>
                <w:u w:val="none"/>
              </w:rPr>
              <w:t>要求未列入总量控制指标，因此项目废气不设总量控制指标。</w:t>
            </w:r>
          </w:p>
          <w:p w14:paraId="299F690A">
            <w:pPr>
              <w:pStyle w:val="148"/>
              <w:adjustRightInd w:val="0"/>
              <w:spacing w:line="360" w:lineRule="auto"/>
              <w:ind w:left="105" w:leftChars="50" w:right="105" w:rightChars="50" w:firstLine="480" w:firstLineChars="200"/>
              <w:rPr>
                <w:kern w:val="2"/>
                <w:sz w:val="24"/>
                <w:szCs w:val="24"/>
                <w:u w:val="none"/>
              </w:rPr>
            </w:pPr>
            <w:r>
              <w:rPr>
                <w:snapToGrid w:val="0"/>
                <w:sz w:val="24"/>
                <w:szCs w:val="24"/>
                <w:u w:val="none"/>
              </w:rPr>
              <w:t>因此，本项目不设置总量控制指标</w:t>
            </w:r>
            <w:r>
              <w:rPr>
                <w:rFonts w:hint="eastAsia"/>
                <w:sz w:val="24"/>
                <w:u w:val="none"/>
              </w:rPr>
              <w:t xml:space="preserve">。 </w:t>
            </w:r>
          </w:p>
          <w:p w14:paraId="0D29908E">
            <w:pPr>
              <w:pStyle w:val="15"/>
              <w:snapToGrid/>
              <w:spacing w:before="0" w:after="0" w:line="360" w:lineRule="auto"/>
              <w:ind w:right="0"/>
              <w:rPr>
                <w:u w:val="none"/>
              </w:rPr>
            </w:pPr>
          </w:p>
          <w:p w14:paraId="4681EA7F">
            <w:pPr>
              <w:rPr>
                <w:u w:val="none"/>
              </w:rPr>
            </w:pPr>
          </w:p>
          <w:p w14:paraId="2127A294">
            <w:pPr>
              <w:rPr>
                <w:u w:val="none"/>
              </w:rPr>
            </w:pPr>
          </w:p>
          <w:p w14:paraId="52DAE215">
            <w:pPr>
              <w:rPr>
                <w:u w:val="none"/>
              </w:rPr>
            </w:pPr>
          </w:p>
          <w:p w14:paraId="2F7D98FD">
            <w:pPr>
              <w:rPr>
                <w:u w:val="none"/>
              </w:rPr>
            </w:pPr>
          </w:p>
          <w:p w14:paraId="3B3436A3">
            <w:pPr>
              <w:rPr>
                <w:u w:val="none"/>
              </w:rPr>
            </w:pPr>
          </w:p>
          <w:p w14:paraId="3B32E283">
            <w:pPr>
              <w:rPr>
                <w:u w:val="none"/>
              </w:rPr>
            </w:pPr>
          </w:p>
          <w:p w14:paraId="740D46C8">
            <w:pPr>
              <w:rPr>
                <w:u w:val="none"/>
              </w:rPr>
            </w:pPr>
          </w:p>
        </w:tc>
      </w:tr>
    </w:tbl>
    <w:p w14:paraId="1E5977CB">
      <w:pPr>
        <w:pStyle w:val="32"/>
        <w:jc w:val="center"/>
        <w:outlineLvl w:val="0"/>
        <w:rPr>
          <w:rFonts w:ascii="Times New Roman" w:hAnsi="Times New Roman"/>
          <w:snapToGrid w:val="0"/>
          <w:sz w:val="30"/>
          <w:szCs w:val="30"/>
          <w:u w:val="none"/>
        </w:rPr>
      </w:pPr>
      <w:r>
        <w:rPr>
          <w:rFonts w:ascii="Times New Roman" w:hAnsi="Times New Roman"/>
          <w:snapToGrid w:val="0"/>
          <w:sz w:val="36"/>
          <w:szCs w:val="36"/>
          <w:u w:val="none"/>
        </w:rPr>
        <w:br w:type="page"/>
      </w:r>
      <w:bookmarkStart w:id="9" w:name="_Toc25136"/>
      <w:r>
        <w:rPr>
          <w:rFonts w:ascii="Times New Roman" w:hAnsi="Times New Roman"/>
          <w:b/>
          <w:bCs/>
          <w:snapToGrid w:val="0"/>
          <w:sz w:val="30"/>
          <w:szCs w:val="30"/>
          <w:u w:val="none"/>
        </w:rPr>
        <w:t>四、主要环境影响和保护措施</w:t>
      </w:r>
      <w:bookmarkEnd w:id="9"/>
    </w:p>
    <w:tbl>
      <w:tblPr>
        <w:tblStyle w:val="37"/>
        <w:tblW w:w="93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8687"/>
      </w:tblGrid>
      <w:tr w14:paraId="148B6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46" w:type="dxa"/>
            <w:tcMar>
              <w:left w:w="28" w:type="dxa"/>
              <w:right w:w="28" w:type="dxa"/>
            </w:tcMar>
            <w:vAlign w:val="center"/>
          </w:tcPr>
          <w:p w14:paraId="35877BCD">
            <w:pPr>
              <w:pStyle w:val="32"/>
              <w:adjustRightInd w:val="0"/>
              <w:snapToGrid w:val="0"/>
              <w:spacing w:before="0" w:beforeAutospacing="0" w:after="0" w:afterAutospacing="0"/>
              <w:jc w:val="center"/>
              <w:rPr>
                <w:rFonts w:ascii="Times New Roman" w:hAnsi="Times New Roman"/>
                <w:kern w:val="2"/>
                <w:szCs w:val="24"/>
                <w:u w:val="none"/>
              </w:rPr>
            </w:pPr>
            <w:r>
              <w:rPr>
                <w:rFonts w:ascii="Times New Roman" w:hAnsi="Times New Roman"/>
                <w:kern w:val="2"/>
                <w:szCs w:val="24"/>
                <w:u w:val="none"/>
              </w:rPr>
              <w:t>施工</w:t>
            </w:r>
          </w:p>
          <w:p w14:paraId="19C58881">
            <w:pPr>
              <w:pStyle w:val="32"/>
              <w:adjustRightInd w:val="0"/>
              <w:snapToGrid w:val="0"/>
              <w:spacing w:before="0" w:beforeAutospacing="0" w:after="0" w:afterAutospacing="0"/>
              <w:jc w:val="center"/>
              <w:rPr>
                <w:rFonts w:ascii="Times New Roman" w:hAnsi="Times New Roman"/>
                <w:kern w:val="2"/>
                <w:szCs w:val="24"/>
                <w:u w:val="none"/>
              </w:rPr>
            </w:pPr>
            <w:r>
              <w:rPr>
                <w:rFonts w:ascii="Times New Roman" w:hAnsi="Times New Roman"/>
                <w:kern w:val="2"/>
                <w:szCs w:val="24"/>
                <w:u w:val="none"/>
              </w:rPr>
              <w:t>期环</w:t>
            </w:r>
          </w:p>
          <w:p w14:paraId="215F9462">
            <w:pPr>
              <w:pStyle w:val="32"/>
              <w:adjustRightInd w:val="0"/>
              <w:snapToGrid w:val="0"/>
              <w:spacing w:before="0" w:beforeAutospacing="0" w:after="0" w:afterAutospacing="0"/>
              <w:jc w:val="center"/>
              <w:rPr>
                <w:rFonts w:ascii="Times New Roman" w:hAnsi="Times New Roman"/>
                <w:kern w:val="2"/>
                <w:szCs w:val="24"/>
                <w:u w:val="none"/>
              </w:rPr>
            </w:pPr>
            <w:r>
              <w:rPr>
                <w:rFonts w:ascii="Times New Roman" w:hAnsi="Times New Roman"/>
                <w:kern w:val="2"/>
                <w:szCs w:val="24"/>
                <w:u w:val="none"/>
              </w:rPr>
              <w:t>境保</w:t>
            </w:r>
          </w:p>
          <w:p w14:paraId="23A1A4F8">
            <w:pPr>
              <w:pStyle w:val="32"/>
              <w:adjustRightInd w:val="0"/>
              <w:snapToGrid w:val="0"/>
              <w:spacing w:before="0" w:beforeAutospacing="0" w:after="0" w:afterAutospacing="0"/>
              <w:jc w:val="center"/>
              <w:rPr>
                <w:rFonts w:ascii="Times New Roman" w:hAnsi="Times New Roman"/>
                <w:kern w:val="2"/>
                <w:szCs w:val="24"/>
                <w:u w:val="none"/>
              </w:rPr>
            </w:pPr>
            <w:r>
              <w:rPr>
                <w:rFonts w:ascii="Times New Roman" w:hAnsi="Times New Roman"/>
                <w:kern w:val="2"/>
                <w:szCs w:val="24"/>
                <w:u w:val="none"/>
              </w:rPr>
              <w:t>护措</w:t>
            </w:r>
          </w:p>
          <w:p w14:paraId="436BED8B">
            <w:pPr>
              <w:pStyle w:val="32"/>
              <w:adjustRightInd w:val="0"/>
              <w:snapToGrid w:val="0"/>
              <w:spacing w:before="0" w:beforeAutospacing="0" w:after="0" w:afterAutospacing="0"/>
              <w:jc w:val="center"/>
              <w:rPr>
                <w:rFonts w:ascii="Times New Roman" w:hAnsi="Times New Roman"/>
                <w:bCs/>
                <w:kern w:val="2"/>
                <w:szCs w:val="24"/>
                <w:u w:val="none"/>
              </w:rPr>
            </w:pPr>
            <w:r>
              <w:rPr>
                <w:rFonts w:ascii="Times New Roman" w:hAnsi="Times New Roman"/>
                <w:kern w:val="2"/>
                <w:szCs w:val="24"/>
                <w:u w:val="none"/>
              </w:rPr>
              <w:t>施</w:t>
            </w:r>
          </w:p>
        </w:tc>
        <w:tc>
          <w:tcPr>
            <w:tcW w:w="8618" w:type="dxa"/>
            <w:vAlign w:val="center"/>
          </w:tcPr>
          <w:p w14:paraId="27C2AB70">
            <w:pPr>
              <w:pStyle w:val="160"/>
              <w:ind w:firstLine="480"/>
              <w:rPr>
                <w:b/>
                <w:bCs/>
                <w:u w:val="none"/>
              </w:rPr>
            </w:pPr>
            <w:r>
              <w:rPr>
                <w:rFonts w:hint="eastAsia"/>
                <w:u w:val="none"/>
              </w:rPr>
              <w:t>项目不设置施工营地，所用混凝土为商品混凝土，无需在现场搅拌</w:t>
            </w:r>
            <w:r>
              <w:rPr>
                <w:u w:val="none"/>
              </w:rPr>
              <w:t>。</w:t>
            </w:r>
            <w:r>
              <w:rPr>
                <w:rFonts w:hint="eastAsia"/>
                <w:u w:val="none"/>
              </w:rPr>
              <w:t>项目砂石料外购，不设置砂石料场。施工</w:t>
            </w:r>
            <w:r>
              <w:rPr>
                <w:rFonts w:hint="eastAsia"/>
                <w:u w:val="none" w:color="auto"/>
                <w:shd w:val="clear" w:fill="auto"/>
              </w:rPr>
              <w:t>期</w:t>
            </w:r>
            <w:r>
              <w:rPr>
                <w:rFonts w:hint="eastAsia"/>
                <w:u w:val="none"/>
              </w:rPr>
              <w:t>各项环境保护措施如下：</w:t>
            </w:r>
          </w:p>
          <w:p w14:paraId="2E2FE94B">
            <w:pPr>
              <w:pStyle w:val="160"/>
              <w:ind w:firstLine="482"/>
              <w:rPr>
                <w:b/>
                <w:bCs/>
                <w:u w:val="none"/>
              </w:rPr>
            </w:pPr>
            <w:r>
              <w:rPr>
                <w:b/>
                <w:bCs/>
                <w:u w:val="none"/>
              </w:rPr>
              <w:t>1、大气环境保护措施</w:t>
            </w:r>
          </w:p>
          <w:p w14:paraId="74CC908E">
            <w:pPr>
              <w:pStyle w:val="160"/>
              <w:ind w:firstLine="480"/>
              <w:rPr>
                <w:u w:val="none"/>
              </w:rPr>
            </w:pPr>
            <w:r>
              <w:rPr>
                <w:u w:val="none"/>
              </w:rPr>
              <w:t>（1）对施工场地进行洒水降尘，在大风天气</w:t>
            </w:r>
            <w:r>
              <w:rPr>
                <w:rFonts w:hint="eastAsia"/>
                <w:u w:val="none"/>
              </w:rPr>
              <w:t>下</w:t>
            </w:r>
            <w:r>
              <w:rPr>
                <w:u w:val="none"/>
              </w:rPr>
              <w:t>加大洒水量及洒水频次；</w:t>
            </w:r>
          </w:p>
          <w:p w14:paraId="20BD9D29">
            <w:pPr>
              <w:pStyle w:val="160"/>
              <w:ind w:firstLine="480"/>
              <w:rPr>
                <w:u w:val="none"/>
              </w:rPr>
            </w:pPr>
            <w:r>
              <w:rPr>
                <w:u w:val="none"/>
              </w:rPr>
              <w:t>（2）土石方、建筑材料用</w:t>
            </w:r>
            <w:r>
              <w:rPr>
                <w:rFonts w:hint="eastAsia"/>
                <w:u w:val="none"/>
              </w:rPr>
              <w:t>篷布</w:t>
            </w:r>
            <w:r>
              <w:rPr>
                <w:u w:val="none"/>
              </w:rPr>
              <w:t>进行遮盖，尽量按量购进建筑材料</w:t>
            </w:r>
            <w:r>
              <w:rPr>
                <w:rFonts w:hint="eastAsia"/>
                <w:u w:val="none"/>
              </w:rPr>
              <w:t>，</w:t>
            </w:r>
            <w:r>
              <w:rPr>
                <w:u w:val="none"/>
              </w:rPr>
              <w:t xml:space="preserve">避免在场内长时间堆放； </w:t>
            </w:r>
          </w:p>
          <w:p w14:paraId="67E30721">
            <w:pPr>
              <w:pStyle w:val="160"/>
              <w:ind w:firstLine="480"/>
              <w:rPr>
                <w:u w:val="none"/>
              </w:rPr>
            </w:pPr>
            <w:r>
              <w:rPr>
                <w:u w:val="none"/>
              </w:rPr>
              <w:t>（3）施工工地场界采用挡板等遮挡；</w:t>
            </w:r>
          </w:p>
          <w:p w14:paraId="3621C7F6">
            <w:pPr>
              <w:pStyle w:val="160"/>
              <w:ind w:firstLine="480"/>
              <w:rPr>
                <w:u w:val="none"/>
              </w:rPr>
            </w:pPr>
            <w:r>
              <w:rPr>
                <w:u w:val="none"/>
              </w:rPr>
              <w:t>（4）运输车辆采取遮盖、密闭措施，在施工场地减速慢行，及时清扫运输道路，对道路洒水抑尘。</w:t>
            </w:r>
          </w:p>
          <w:p w14:paraId="5695D5C8">
            <w:pPr>
              <w:pStyle w:val="160"/>
              <w:ind w:firstLine="482"/>
              <w:rPr>
                <w:b/>
                <w:bCs/>
                <w:u w:val="none"/>
              </w:rPr>
            </w:pPr>
            <w:r>
              <w:rPr>
                <w:b/>
                <w:bCs/>
                <w:u w:val="none"/>
              </w:rPr>
              <w:t>2、地表水环境保护措施</w:t>
            </w:r>
          </w:p>
          <w:p w14:paraId="7F2D75A2">
            <w:pPr>
              <w:pStyle w:val="160"/>
              <w:ind w:firstLine="480"/>
              <w:rPr>
                <w:u w:val="none"/>
              </w:rPr>
            </w:pPr>
            <w:r>
              <w:rPr>
                <w:u w:val="none"/>
              </w:rPr>
              <w:t xml:space="preserve">（1）设置施工废水临时沉淀池，生活污水、施工废水经过沉淀处理后用于道路、施工场地洒水降尘，不外排； </w:t>
            </w:r>
          </w:p>
          <w:p w14:paraId="39719A82">
            <w:pPr>
              <w:pStyle w:val="160"/>
              <w:ind w:firstLine="480"/>
              <w:rPr>
                <w:u w:val="none"/>
              </w:rPr>
            </w:pPr>
            <w:r>
              <w:rPr>
                <w:u w:val="none"/>
              </w:rPr>
              <w:t>（2）加强管理，注意施工</w:t>
            </w:r>
            <w:r>
              <w:rPr>
                <w:u w:val="none" w:color="auto"/>
                <w:shd w:val="clear" w:fill="auto"/>
              </w:rPr>
              <w:t>期</w:t>
            </w:r>
            <w:r>
              <w:rPr>
                <w:u w:val="none"/>
              </w:rPr>
              <w:t>节约用水，减少废水的产生；</w:t>
            </w:r>
          </w:p>
          <w:p w14:paraId="119D5EE5">
            <w:pPr>
              <w:pStyle w:val="160"/>
              <w:ind w:firstLine="480"/>
              <w:rPr>
                <w:u w:val="none"/>
              </w:rPr>
            </w:pPr>
            <w:r>
              <w:rPr>
                <w:u w:val="none"/>
              </w:rPr>
              <w:t>（3）施工要避开雨天，建筑材料应设</w:t>
            </w:r>
            <w:r>
              <w:rPr>
                <w:rFonts w:hint="eastAsia"/>
                <w:u w:val="none"/>
              </w:rPr>
              <w:t>篷</w:t>
            </w:r>
            <w:r>
              <w:rPr>
                <w:u w:val="none"/>
              </w:rPr>
              <w:t>盖和</w:t>
            </w:r>
            <w:r>
              <w:rPr>
                <w:rFonts w:hint="eastAsia"/>
                <w:u w:val="none"/>
              </w:rPr>
              <w:t>围栏</w:t>
            </w:r>
            <w:r>
              <w:rPr>
                <w:u w:val="none"/>
              </w:rPr>
              <w:t>，防止雨水冲刷进入水体。</w:t>
            </w:r>
          </w:p>
          <w:p w14:paraId="0C5281B5">
            <w:pPr>
              <w:pStyle w:val="160"/>
              <w:ind w:firstLine="482"/>
              <w:rPr>
                <w:b/>
                <w:bCs/>
                <w:u w:val="none"/>
              </w:rPr>
            </w:pPr>
            <w:r>
              <w:rPr>
                <w:b/>
                <w:bCs/>
                <w:u w:val="none"/>
              </w:rPr>
              <w:t>3、声环境保护措施</w:t>
            </w:r>
          </w:p>
          <w:p w14:paraId="51D3A762">
            <w:pPr>
              <w:pStyle w:val="160"/>
              <w:ind w:firstLine="480"/>
              <w:rPr>
                <w:u w:val="none"/>
              </w:rPr>
            </w:pPr>
            <w:r>
              <w:rPr>
                <w:u w:val="none"/>
              </w:rPr>
              <w:t>（1）尽量使用低噪声机械设备，同时对设备定期保养和维护，严格按操作规范使用各类机械；</w:t>
            </w:r>
          </w:p>
          <w:p w14:paraId="0868B0F2">
            <w:pPr>
              <w:pStyle w:val="160"/>
              <w:ind w:firstLine="480"/>
              <w:rPr>
                <w:u w:val="none"/>
              </w:rPr>
            </w:pPr>
            <w:r>
              <w:rPr>
                <w:u w:val="none"/>
              </w:rPr>
              <w:t xml:space="preserve">（2）加强施工管理，合理安排作业时间，根据施工设备噪声产生情况，合理布置施工场地，尽量避免高噪声设备同时运行； </w:t>
            </w:r>
          </w:p>
          <w:p w14:paraId="793C0D05">
            <w:pPr>
              <w:pStyle w:val="160"/>
              <w:ind w:firstLine="480"/>
              <w:rPr>
                <w:u w:val="none"/>
              </w:rPr>
            </w:pPr>
            <w:r>
              <w:rPr>
                <w:u w:val="none"/>
              </w:rPr>
              <w:t>（3）施工</w:t>
            </w:r>
            <w:r>
              <w:rPr>
                <w:u w:val="none" w:color="auto"/>
                <w:shd w:val="clear" w:fill="auto"/>
              </w:rPr>
              <w:t>期</w:t>
            </w:r>
            <w:r>
              <w:rPr>
                <w:u w:val="none"/>
              </w:rPr>
              <w:t>运输车辆应尽量保持良好车况，合理调度，运输车辆经过声环境敏感点及进入场地时，要限速、禁鸣。</w:t>
            </w:r>
          </w:p>
          <w:p w14:paraId="1FFD23A9">
            <w:pPr>
              <w:pStyle w:val="160"/>
              <w:ind w:firstLine="482"/>
              <w:rPr>
                <w:b/>
                <w:bCs/>
                <w:u w:val="none"/>
              </w:rPr>
            </w:pPr>
            <w:r>
              <w:rPr>
                <w:b/>
                <w:bCs/>
                <w:u w:val="none"/>
              </w:rPr>
              <w:t>4、固体废物污染防治措施</w:t>
            </w:r>
          </w:p>
          <w:p w14:paraId="557B62A0">
            <w:pPr>
              <w:pStyle w:val="160"/>
              <w:ind w:firstLine="480"/>
              <w:rPr>
                <w:u w:val="none"/>
              </w:rPr>
            </w:pPr>
            <w:r>
              <w:rPr>
                <w:u w:val="none"/>
              </w:rPr>
              <w:t>（1）生活垃圾收集后委托环卫部门清运处置，不得长期堆放，以免污染环境；</w:t>
            </w:r>
          </w:p>
          <w:p w14:paraId="7B648815">
            <w:pPr>
              <w:pStyle w:val="160"/>
              <w:ind w:firstLine="480"/>
              <w:rPr>
                <w:u w:val="none"/>
              </w:rPr>
            </w:pPr>
            <w:r>
              <w:rPr>
                <w:u w:val="none"/>
              </w:rPr>
              <w:t>（2）建筑垃圾经分类收集后，能回收利用部分的材料</w:t>
            </w:r>
            <w:r>
              <w:rPr>
                <w:rFonts w:hint="eastAsia"/>
                <w:u w:val="none"/>
              </w:rPr>
              <w:t>进行</w:t>
            </w:r>
            <w:r>
              <w:rPr>
                <w:u w:val="none"/>
              </w:rPr>
              <w:t>回收处理（如钢材碎料可出售），不可利用部分运至住建部门指定地点堆存；</w:t>
            </w:r>
          </w:p>
          <w:p w14:paraId="6A6D94C4">
            <w:pPr>
              <w:spacing w:line="360" w:lineRule="auto"/>
              <w:ind w:firstLine="480" w:firstLineChars="200"/>
              <w:rPr>
                <w:sz w:val="24"/>
                <w:u w:val="none"/>
              </w:rPr>
            </w:pPr>
            <w:r>
              <w:rPr>
                <w:sz w:val="24"/>
                <w:u w:val="none"/>
              </w:rPr>
              <w:t>（3）合理利用开挖的土石方，不随意堆放，采取去高补低方式进行地面平整，开挖过程中将土方全部合理调配用于平整，不产生外运弃方。</w:t>
            </w:r>
          </w:p>
        </w:tc>
      </w:tr>
      <w:tr w14:paraId="28874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46" w:type="dxa"/>
            <w:tcMar>
              <w:left w:w="28" w:type="dxa"/>
              <w:right w:w="28" w:type="dxa"/>
            </w:tcMar>
            <w:vAlign w:val="center"/>
          </w:tcPr>
          <w:p w14:paraId="2FE57751">
            <w:pPr>
              <w:pStyle w:val="32"/>
              <w:adjustRightInd w:val="0"/>
              <w:snapToGrid w:val="0"/>
              <w:spacing w:before="0" w:beforeAutospacing="0" w:after="0" w:afterAutospacing="0"/>
              <w:jc w:val="center"/>
              <w:rPr>
                <w:rFonts w:ascii="Times New Roman" w:hAnsi="Times New Roman"/>
                <w:kern w:val="2"/>
                <w:szCs w:val="24"/>
                <w:u w:val="none"/>
              </w:rPr>
            </w:pPr>
            <w:bookmarkStart w:id="10" w:name="_Toc67408760"/>
            <w:r>
              <w:rPr>
                <w:bCs/>
                <w:u w:val="none"/>
              </w:rPr>
              <w:t>运营期</w:t>
            </w:r>
            <w:r>
              <w:rPr>
                <w:bCs/>
                <w:u w:val="thick" w:color="FFB03A"/>
                <w:shd w:val="clear" w:fill="FFEFD7"/>
              </w:rPr>
              <w:t>环境</w:t>
            </w:r>
            <w:r>
              <w:rPr>
                <w:bCs/>
                <w:u w:val="none"/>
              </w:rPr>
              <w:t>影响和保护措施</w:t>
            </w:r>
          </w:p>
        </w:tc>
        <w:tc>
          <w:tcPr>
            <w:tcW w:w="8618" w:type="dxa"/>
            <w:vAlign w:val="center"/>
          </w:tcPr>
          <w:p w14:paraId="2B987FDC">
            <w:pPr>
              <w:spacing w:line="360" w:lineRule="auto"/>
              <w:ind w:firstLine="482" w:firstLineChars="200"/>
              <w:rPr>
                <w:b/>
                <w:bCs/>
                <w:sz w:val="24"/>
                <w:u w:val="none"/>
              </w:rPr>
            </w:pPr>
            <w:r>
              <w:rPr>
                <w:rFonts w:hint="eastAsia"/>
                <w:b/>
                <w:bCs/>
                <w:sz w:val="24"/>
                <w:u w:val="none"/>
              </w:rPr>
              <w:t>1、废气</w:t>
            </w:r>
          </w:p>
          <w:p w14:paraId="4C875F6D">
            <w:pPr>
              <w:spacing w:line="360" w:lineRule="auto"/>
              <w:ind w:firstLine="482" w:firstLineChars="200"/>
              <w:rPr>
                <w:b/>
                <w:bCs/>
                <w:sz w:val="24"/>
                <w:u w:val="none"/>
              </w:rPr>
            </w:pPr>
            <w:r>
              <w:rPr>
                <w:rFonts w:hint="eastAsia"/>
                <w:b/>
                <w:bCs/>
                <w:sz w:val="24"/>
                <w:u w:val="none"/>
              </w:rPr>
              <w:t>1.1、废气环境影响分析和保护措施</w:t>
            </w:r>
          </w:p>
          <w:p w14:paraId="7B9E0CEC">
            <w:pPr>
              <w:spacing w:line="360" w:lineRule="auto"/>
              <w:ind w:firstLine="480" w:firstLineChars="200"/>
              <w:rPr>
                <w:sz w:val="24"/>
                <w:u w:val="none"/>
              </w:rPr>
            </w:pPr>
            <w:r>
              <w:rPr>
                <w:rFonts w:hint="eastAsia"/>
                <w:sz w:val="24"/>
                <w:u w:val="none"/>
              </w:rPr>
              <w:t>本项目运营期废气主要为磷矿堆场扬尘、磷矿装卸粉尘及车辆运输过程产生的扬尘。</w:t>
            </w:r>
          </w:p>
          <w:p w14:paraId="4CD124F4">
            <w:pPr>
              <w:spacing w:line="360" w:lineRule="auto"/>
              <w:ind w:firstLine="482" w:firstLineChars="200"/>
              <w:rPr>
                <w:b/>
                <w:bCs/>
                <w:sz w:val="24"/>
                <w:u w:val="none"/>
              </w:rPr>
            </w:pPr>
            <w:r>
              <w:rPr>
                <w:b/>
                <w:bCs/>
                <w:sz w:val="24"/>
                <w:u w:val="none"/>
              </w:rPr>
              <w:t>（1）</w:t>
            </w:r>
            <w:r>
              <w:rPr>
                <w:rFonts w:hint="eastAsia"/>
                <w:b/>
                <w:bCs/>
                <w:sz w:val="24"/>
                <w:u w:val="none"/>
              </w:rPr>
              <w:t>磷矿堆场扬尘</w:t>
            </w:r>
          </w:p>
          <w:p w14:paraId="42BCF4A6">
            <w:pPr>
              <w:spacing w:line="360" w:lineRule="auto"/>
              <w:ind w:firstLine="482" w:firstLineChars="200"/>
              <w:rPr>
                <w:bCs/>
                <w:sz w:val="24"/>
                <w:u w:val="none"/>
              </w:rPr>
            </w:pPr>
            <w:r>
              <w:rPr>
                <w:rFonts w:hint="eastAsia"/>
                <w:b/>
                <w:bCs/>
                <w:sz w:val="24"/>
                <w:u w:val="none"/>
              </w:rPr>
              <w:t>产生量：</w:t>
            </w:r>
            <w:r>
              <w:rPr>
                <w:rFonts w:hint="eastAsia"/>
                <w:bCs/>
                <w:sz w:val="24"/>
                <w:u w:val="none"/>
              </w:rPr>
              <w:t>项目仓储大棚建设为全封闭仓储棚，仅留设车辆进出口，由于仓储大棚封闭处理，无起尘风速，同时在仓储大棚顶部安装喷雾降尘设施，使磷矿具有一定的含水率，因此堆场扬尘产生量较小，呈无组织排放。</w:t>
            </w:r>
          </w:p>
          <w:p w14:paraId="7ED58F82">
            <w:pPr>
              <w:wordWrap w:val="0"/>
              <w:spacing w:line="360" w:lineRule="auto"/>
              <w:ind w:firstLine="482" w:firstLineChars="200"/>
              <w:jc w:val="left"/>
              <w:rPr>
                <w:b/>
                <w:bCs/>
                <w:sz w:val="24"/>
                <w:u w:val="none"/>
              </w:rPr>
            </w:pPr>
            <w:r>
              <w:rPr>
                <w:rFonts w:hint="eastAsia"/>
                <w:b/>
                <w:bCs/>
                <w:sz w:val="24"/>
                <w:u w:val="none"/>
              </w:rPr>
              <w:t>污染治理措施可行性及环境影响分析：</w:t>
            </w:r>
            <w:r>
              <w:rPr>
                <w:rFonts w:hint="eastAsia"/>
                <w:bCs/>
                <w:sz w:val="24"/>
                <w:u w:val="none"/>
              </w:rPr>
              <w:t>项目仓储大棚建设为全封闭大棚，仅留设车辆进出口，同时在仓储大棚顶部安装喷雾降尘设施</w:t>
            </w:r>
            <w:r>
              <w:rPr>
                <w:rFonts w:hint="eastAsia"/>
                <w:sz w:val="24"/>
                <w:u w:val="none"/>
              </w:rPr>
              <w:t>，堆场扬尘排放量很小，颗粒物周界外浓度最高点能够满足</w:t>
            </w:r>
            <w:r>
              <w:rPr>
                <w:sz w:val="24"/>
                <w:u w:val="none"/>
              </w:rPr>
              <w:t>《大气污染物综合排放标准》（GB16297-1996）</w:t>
            </w:r>
            <w:r>
              <w:rPr>
                <w:rFonts w:hint="eastAsia"/>
                <w:sz w:val="24"/>
                <w:u w:val="none"/>
              </w:rPr>
              <w:t>中相关要求，对周边空气环境影响很小。</w:t>
            </w:r>
          </w:p>
          <w:p w14:paraId="20EBD606">
            <w:pPr>
              <w:spacing w:line="360" w:lineRule="auto"/>
              <w:ind w:firstLine="482" w:firstLineChars="200"/>
              <w:jc w:val="left"/>
              <w:rPr>
                <w:b/>
                <w:bCs/>
                <w:sz w:val="24"/>
                <w:u w:val="none"/>
              </w:rPr>
            </w:pPr>
            <w:r>
              <w:rPr>
                <w:rFonts w:hint="eastAsia"/>
                <w:b/>
                <w:bCs/>
                <w:sz w:val="24"/>
                <w:u w:val="none"/>
              </w:rPr>
              <w:t>（2）装卸扬尘</w:t>
            </w:r>
          </w:p>
          <w:p w14:paraId="7E817570">
            <w:pPr>
              <w:spacing w:line="360" w:lineRule="auto"/>
              <w:ind w:firstLine="482" w:firstLineChars="200"/>
              <w:rPr>
                <w:rFonts w:ascii="宋体" w:hAnsi="宋体" w:cs="宋体"/>
                <w:sz w:val="24"/>
                <w:u w:val="none"/>
              </w:rPr>
            </w:pPr>
            <w:r>
              <w:rPr>
                <w:rFonts w:hint="eastAsia"/>
                <w:b/>
                <w:bCs/>
                <w:sz w:val="24"/>
                <w:u w:val="none"/>
              </w:rPr>
              <w:t>产生量：</w:t>
            </w:r>
            <w:r>
              <w:rPr>
                <w:rFonts w:hint="eastAsia"/>
                <w:sz w:val="24"/>
                <w:u w:val="none"/>
              </w:rPr>
              <w:t>磷矿</w:t>
            </w:r>
            <w:r>
              <w:rPr>
                <w:rFonts w:ascii="宋体" w:hAnsi="宋体" w:cs="宋体"/>
                <w:sz w:val="24"/>
                <w:u w:val="none"/>
              </w:rPr>
              <w:t>卸料时</w:t>
            </w:r>
            <w:r>
              <w:rPr>
                <w:rFonts w:hint="eastAsia" w:ascii="宋体" w:hAnsi="宋体" w:cs="宋体"/>
                <w:sz w:val="24"/>
                <w:u w:val="none"/>
              </w:rPr>
              <w:t>会</w:t>
            </w:r>
            <w:r>
              <w:rPr>
                <w:rFonts w:ascii="宋体" w:hAnsi="宋体" w:cs="宋体"/>
                <w:sz w:val="24"/>
                <w:u w:val="none"/>
              </w:rPr>
              <w:t>产生粉尘，</w:t>
            </w:r>
            <w:r>
              <w:rPr>
                <w:rFonts w:hint="eastAsia" w:ascii="宋体" w:hAnsi="宋体" w:cs="宋体"/>
                <w:sz w:val="24"/>
                <w:u w:val="none"/>
              </w:rPr>
              <w:t>起尘量选用山西环保科研所、武汉水运工程学院提出的经验公式估算，经验公式为：</w:t>
            </w:r>
          </w:p>
          <w:p w14:paraId="1618D625">
            <w:pPr>
              <w:pStyle w:val="15"/>
              <w:spacing w:after="0"/>
              <w:rPr>
                <w:rFonts w:ascii="宋体" w:hAnsi="宋体" w:cs="宋体"/>
                <w:sz w:val="24"/>
                <w:szCs w:val="24"/>
                <w:u w:val="none"/>
              </w:rPr>
            </w:pPr>
            <m:oMathPara>
              <m:oMath>
                <m:r>
                  <m:rPr>
                    <m:sty m:val="p"/>
                  </m:rPr>
                  <w:rPr>
                    <w:rFonts w:ascii="Cambria Math" w:hAnsi="Cambria Math" w:cs="宋体"/>
                    <w:sz w:val="24"/>
                    <w:szCs w:val="24"/>
                    <w:u w:val="none"/>
                  </w:rPr>
                  <m:t>Q=</m:t>
                </m:r>
                <m:sSup>
                  <m:sSupPr>
                    <m:ctrlPr>
                      <w:rPr>
                        <w:rFonts w:hint="eastAsia" w:ascii="Cambria Math" w:hAnsi="Cambria Math" w:cs="宋体"/>
                        <w:sz w:val="24"/>
                        <w:szCs w:val="24"/>
                        <w:u w:val="none"/>
                      </w:rPr>
                    </m:ctrlPr>
                  </m:sSupPr>
                  <m:e>
                    <m:r>
                      <m:rPr>
                        <m:sty m:val="p"/>
                      </m:rPr>
                      <w:rPr>
                        <w:rFonts w:ascii="Cambria Math" w:hAnsi="Cambria Math" w:cs="宋体"/>
                        <w:sz w:val="24"/>
                        <w:szCs w:val="24"/>
                        <w:u w:val="none"/>
                      </w:rPr>
                      <m:t>e</m:t>
                    </m:r>
                    <m:ctrlPr>
                      <w:rPr>
                        <w:rFonts w:hint="eastAsia" w:ascii="Cambria Math" w:hAnsi="Cambria Math" w:cs="宋体"/>
                        <w:sz w:val="24"/>
                        <w:szCs w:val="24"/>
                        <w:u w:val="none"/>
                      </w:rPr>
                    </m:ctrlPr>
                  </m:e>
                  <m:sup>
                    <m:r>
                      <m:rPr>
                        <m:sty m:val="p"/>
                      </m:rPr>
                      <w:rPr>
                        <w:rFonts w:ascii="Cambria Math" w:hAnsi="Cambria Math" w:cs="宋体"/>
                        <w:sz w:val="24"/>
                        <w:szCs w:val="24"/>
                        <w:u w:val="none"/>
                      </w:rPr>
                      <m:t>0.61u</m:t>
                    </m:r>
                    <m:ctrlPr>
                      <w:rPr>
                        <w:rFonts w:hint="eastAsia" w:ascii="Cambria Math" w:hAnsi="Cambria Math" w:cs="宋体"/>
                        <w:sz w:val="24"/>
                        <w:szCs w:val="24"/>
                        <w:u w:val="none"/>
                      </w:rPr>
                    </m:ctrlPr>
                  </m:sup>
                </m:sSup>
                <m:f>
                  <m:fPr>
                    <m:ctrlPr>
                      <w:rPr>
                        <w:rFonts w:ascii="Cambria Math" w:hAnsi="Cambria Math"/>
                        <w:sz w:val="24"/>
                        <w:szCs w:val="24"/>
                        <w:u w:val="none"/>
                      </w:rPr>
                    </m:ctrlPr>
                  </m:fPr>
                  <m:num>
                    <m:r>
                      <m:rPr>
                        <m:sty m:val="p"/>
                      </m:rPr>
                      <w:rPr>
                        <w:rFonts w:ascii="Cambria Math" w:hAnsi="Cambria Math"/>
                        <w:sz w:val="24"/>
                        <w:szCs w:val="24"/>
                        <w:u w:val="none"/>
                      </w:rPr>
                      <m:t>M</m:t>
                    </m:r>
                    <m:ctrlPr>
                      <w:rPr>
                        <w:rFonts w:ascii="Cambria Math" w:hAnsi="Cambria Math"/>
                        <w:sz w:val="24"/>
                        <w:szCs w:val="24"/>
                        <w:u w:val="none"/>
                      </w:rPr>
                    </m:ctrlPr>
                  </m:num>
                  <m:den>
                    <m:r>
                      <m:rPr>
                        <m:sty m:val="p"/>
                      </m:rPr>
                      <w:rPr>
                        <w:rFonts w:ascii="Cambria Math" w:hAnsi="Cambria Math"/>
                        <w:sz w:val="24"/>
                        <w:szCs w:val="24"/>
                        <w:u w:val="none"/>
                      </w:rPr>
                      <m:t>13.5</m:t>
                    </m:r>
                    <m:ctrlPr>
                      <w:rPr>
                        <w:rFonts w:ascii="Cambria Math" w:hAnsi="Cambria Math"/>
                        <w:sz w:val="24"/>
                        <w:szCs w:val="24"/>
                        <w:u w:val="none"/>
                      </w:rPr>
                    </m:ctrlPr>
                  </m:den>
                </m:f>
              </m:oMath>
            </m:oMathPara>
          </w:p>
          <w:p w14:paraId="02A27C05">
            <w:pPr>
              <w:spacing w:line="360" w:lineRule="auto"/>
              <w:ind w:firstLine="480" w:firstLineChars="200"/>
              <w:rPr>
                <w:sz w:val="24"/>
                <w:u w:val="none"/>
              </w:rPr>
            </w:pPr>
            <w:r>
              <w:rPr>
                <w:rFonts w:hint="eastAsia"/>
                <w:sz w:val="24"/>
                <w:u w:val="none"/>
              </w:rPr>
              <w:t>式中：Q</w:t>
            </w:r>
            <w:r>
              <w:rPr>
                <w:rFonts w:hint="eastAsia" w:ascii="宋体" w:hAnsi="宋体" w:cs="宋体"/>
                <w:sz w:val="24"/>
                <w:u w:val="none"/>
              </w:rPr>
              <w:t>－</w:t>
            </w:r>
            <w:r>
              <w:rPr>
                <w:rFonts w:hint="eastAsia"/>
                <w:sz w:val="24"/>
                <w:u w:val="none"/>
              </w:rPr>
              <w:t>自卸汽车卸料起尘量，g/次；</w:t>
            </w:r>
          </w:p>
          <w:p w14:paraId="3999AB0B">
            <w:pPr>
              <w:spacing w:line="360" w:lineRule="auto"/>
              <w:ind w:firstLine="480" w:firstLineChars="200"/>
              <w:rPr>
                <w:sz w:val="24"/>
                <w:u w:val="none"/>
              </w:rPr>
            </w:pPr>
            <w:r>
              <w:rPr>
                <w:rFonts w:hint="eastAsia"/>
                <w:sz w:val="24"/>
                <w:u w:val="none"/>
              </w:rPr>
              <w:t>u</w:t>
            </w:r>
            <w:r>
              <w:rPr>
                <w:rFonts w:hint="eastAsia" w:ascii="宋体" w:hAnsi="宋体" w:cs="宋体"/>
                <w:sz w:val="24"/>
                <w:u w:val="none"/>
              </w:rPr>
              <w:t>－</w:t>
            </w:r>
            <w:r>
              <w:rPr>
                <w:rFonts w:hint="eastAsia"/>
                <w:sz w:val="24"/>
                <w:u w:val="none"/>
              </w:rPr>
              <w:t>平均风速，m/s（封闭彩钢瓦大棚内，取0.2m/s）；</w:t>
            </w:r>
          </w:p>
          <w:p w14:paraId="661CBCC6">
            <w:pPr>
              <w:spacing w:line="360" w:lineRule="auto"/>
              <w:ind w:firstLine="480" w:firstLineChars="200"/>
              <w:rPr>
                <w:sz w:val="24"/>
                <w:u w:val="none"/>
              </w:rPr>
            </w:pPr>
            <w:r>
              <w:rPr>
                <w:rFonts w:hint="eastAsia"/>
                <w:sz w:val="24"/>
                <w:u w:val="none"/>
              </w:rPr>
              <w:t>M</w:t>
            </w:r>
            <w:r>
              <w:rPr>
                <w:rFonts w:hint="eastAsia" w:ascii="宋体" w:hAnsi="宋体" w:cs="宋体"/>
                <w:sz w:val="24"/>
                <w:u w:val="none"/>
              </w:rPr>
              <w:t>－</w:t>
            </w:r>
            <w:r>
              <w:rPr>
                <w:rFonts w:hint="eastAsia"/>
                <w:sz w:val="24"/>
                <w:u w:val="none"/>
              </w:rPr>
              <w:t>汽车卸料量，t。</w:t>
            </w:r>
          </w:p>
          <w:p w14:paraId="5A03E3B3">
            <w:pPr>
              <w:spacing w:line="360" w:lineRule="auto"/>
              <w:ind w:firstLine="480" w:firstLineChars="200"/>
              <w:rPr>
                <w:sz w:val="24"/>
                <w:u w:val="none"/>
              </w:rPr>
            </w:pPr>
            <w:r>
              <w:rPr>
                <w:sz w:val="24"/>
                <w:u w:val="none"/>
              </w:rPr>
              <w:t>项目卸料量为</w:t>
            </w:r>
            <w:r>
              <w:rPr>
                <w:rFonts w:hint="eastAsia"/>
                <w:sz w:val="24"/>
                <w:u w:val="none"/>
              </w:rPr>
              <w:t>110</w:t>
            </w:r>
            <w:r>
              <w:rPr>
                <w:sz w:val="24"/>
                <w:u w:val="none"/>
              </w:rPr>
              <w:t>万t/a，自卸汽车卸料起尘量为0.0</w:t>
            </w:r>
            <w:r>
              <w:rPr>
                <w:rFonts w:hint="eastAsia"/>
                <w:sz w:val="24"/>
                <w:u w:val="none"/>
              </w:rPr>
              <w:t>9</w:t>
            </w:r>
            <w:r>
              <w:rPr>
                <w:sz w:val="24"/>
                <w:u w:val="none"/>
              </w:rPr>
              <w:t>2t/a。</w:t>
            </w:r>
          </w:p>
          <w:p w14:paraId="1C1B760A">
            <w:pPr>
              <w:spacing w:line="360" w:lineRule="auto"/>
              <w:ind w:firstLine="480" w:firstLineChars="200"/>
              <w:rPr>
                <w:sz w:val="24"/>
                <w:u w:val="none"/>
              </w:rPr>
            </w:pPr>
            <w:r>
              <w:rPr>
                <w:rFonts w:hint="eastAsia"/>
                <w:sz w:val="24"/>
                <w:u w:val="none"/>
              </w:rPr>
              <w:t>磷矿铲装过程由于落差会产生粉尘，物料装车机械落差的起尘量采用交通运输部水运研究所和武汉水运工程学院提出的装卸起尘量的经验公式估算，经验公式为：</w:t>
            </w:r>
          </w:p>
          <w:p w14:paraId="2591D401">
            <w:pPr>
              <w:pStyle w:val="15"/>
              <w:spacing w:after="0"/>
              <w:rPr>
                <w:rFonts w:ascii="宋体" w:hAnsi="宋体" w:cs="宋体"/>
                <w:sz w:val="24"/>
                <w:szCs w:val="24"/>
                <w:u w:val="none"/>
              </w:rPr>
            </w:pPr>
            <m:oMathPara>
              <m:oMath>
                <m:r>
                  <m:rPr>
                    <m:sty m:val="p"/>
                  </m:rPr>
                  <w:rPr>
                    <w:rFonts w:ascii="Cambria Math" w:hAnsi="Cambria Math" w:cs="宋体"/>
                    <w:sz w:val="24"/>
                    <w:szCs w:val="24"/>
                    <w:u w:val="none"/>
                  </w:rPr>
                  <m:t>Q</m:t>
                </m:r>
                <m:r>
                  <m:rPr>
                    <m:sty m:val="p"/>
                  </m:rPr>
                  <w:rPr>
                    <w:rFonts w:hint="eastAsia" w:ascii="Cambria Math" w:hAnsi="Cambria Math" w:cs="宋体"/>
                    <w:sz w:val="24"/>
                    <w:szCs w:val="24"/>
                    <w:u w:val="none"/>
                  </w:rPr>
                  <m:t>=</m:t>
                </m:r>
                <m:sSup>
                  <m:sSupPr>
                    <m:ctrlPr>
                      <w:rPr>
                        <w:rFonts w:hint="eastAsia" w:ascii="Cambria Math" w:hAnsi="Cambria Math" w:cs="宋体"/>
                        <w:sz w:val="24"/>
                        <w:szCs w:val="24"/>
                        <w:u w:val="none"/>
                      </w:rPr>
                    </m:ctrlPr>
                  </m:sSupPr>
                  <m:e>
                    <m:f>
                      <m:fPr>
                        <m:ctrlPr>
                          <w:rPr>
                            <w:rFonts w:hint="eastAsia" w:ascii="Cambria Math" w:hAnsi="Cambria Math" w:cs="宋体"/>
                            <w:sz w:val="24"/>
                            <w:szCs w:val="24"/>
                            <w:u w:val="none"/>
                          </w:rPr>
                        </m:ctrlPr>
                      </m:fPr>
                      <m:num>
                        <m:r>
                          <m:rPr>
                            <m:sty m:val="p"/>
                          </m:rPr>
                          <w:rPr>
                            <w:rFonts w:ascii="Cambria Math" w:hAnsi="Cambria Math" w:cs="宋体"/>
                            <w:sz w:val="24"/>
                            <w:szCs w:val="24"/>
                            <w:u w:val="none"/>
                          </w:rPr>
                          <m:t>1</m:t>
                        </m:r>
                        <m:ctrlPr>
                          <w:rPr>
                            <w:rFonts w:hint="eastAsia" w:ascii="Cambria Math" w:hAnsi="Cambria Math" w:cs="宋体"/>
                            <w:sz w:val="24"/>
                            <w:szCs w:val="24"/>
                            <w:u w:val="none"/>
                          </w:rPr>
                        </m:ctrlPr>
                      </m:num>
                      <m:den>
                        <m:r>
                          <m:rPr>
                            <m:sty m:val="p"/>
                          </m:rPr>
                          <w:rPr>
                            <w:rFonts w:ascii="Cambria Math" w:hAnsi="Cambria Math" w:cs="宋体"/>
                            <w:sz w:val="24"/>
                            <w:szCs w:val="24"/>
                            <w:u w:val="none"/>
                          </w:rPr>
                          <m:t>t</m:t>
                        </m:r>
                        <m:ctrlPr>
                          <w:rPr>
                            <w:rFonts w:hint="eastAsia" w:ascii="Cambria Math" w:hAnsi="Cambria Math" w:cs="宋体"/>
                            <w:sz w:val="24"/>
                            <w:szCs w:val="24"/>
                            <w:u w:val="none"/>
                          </w:rPr>
                        </m:ctrlPr>
                      </m:den>
                    </m:f>
                    <m:r>
                      <m:rPr>
                        <m:sty m:val="p"/>
                      </m:rPr>
                      <w:rPr>
                        <w:rFonts w:ascii="Cambria Math" w:hAnsi="Cambria Math" w:cs="宋体"/>
                        <w:sz w:val="24"/>
                        <w:szCs w:val="24"/>
                        <w:u w:val="none"/>
                      </w:rPr>
                      <m:t>0.03u</m:t>
                    </m:r>
                    <m:ctrlPr>
                      <w:rPr>
                        <w:rFonts w:hint="eastAsia" w:ascii="Cambria Math" w:hAnsi="Cambria Math" w:cs="宋体"/>
                        <w:sz w:val="24"/>
                        <w:szCs w:val="24"/>
                        <w:u w:val="none"/>
                      </w:rPr>
                    </m:ctrlPr>
                  </m:e>
                  <m:sup>
                    <m:r>
                      <m:rPr>
                        <m:sty m:val="p"/>
                      </m:rPr>
                      <w:rPr>
                        <w:rFonts w:ascii="Cambria Math" w:hAnsi="Cambria Math" w:cs="宋体"/>
                        <w:sz w:val="24"/>
                        <w:szCs w:val="24"/>
                        <w:u w:val="none"/>
                      </w:rPr>
                      <m:t>1.6</m:t>
                    </m:r>
                    <m:ctrlPr>
                      <w:rPr>
                        <w:rFonts w:hint="eastAsia" w:ascii="Cambria Math" w:hAnsi="Cambria Math" w:cs="宋体"/>
                        <w:sz w:val="24"/>
                        <w:szCs w:val="24"/>
                        <w:u w:val="none"/>
                      </w:rPr>
                    </m:ctrlPr>
                  </m:sup>
                </m:sSup>
                <m:sSup>
                  <m:sSupPr>
                    <m:ctrlPr>
                      <w:rPr>
                        <w:rFonts w:hint="eastAsia" w:ascii="Cambria Math" w:hAnsi="Cambria Math" w:cs="宋体"/>
                        <w:sz w:val="24"/>
                        <w:szCs w:val="24"/>
                        <w:u w:val="none"/>
                      </w:rPr>
                    </m:ctrlPr>
                  </m:sSupPr>
                  <m:e>
                    <m:r>
                      <m:rPr>
                        <m:sty m:val="p"/>
                      </m:rPr>
                      <w:rPr>
                        <w:rFonts w:ascii="Cambria Math" w:hAnsi="Cambria Math" w:cs="宋体"/>
                        <w:sz w:val="24"/>
                        <w:szCs w:val="24"/>
                        <w:u w:val="none"/>
                      </w:rPr>
                      <m:t>H</m:t>
                    </m:r>
                    <m:ctrlPr>
                      <w:rPr>
                        <w:rFonts w:hint="eastAsia" w:ascii="Cambria Math" w:hAnsi="Cambria Math" w:cs="宋体"/>
                        <w:sz w:val="24"/>
                        <w:szCs w:val="24"/>
                        <w:u w:val="none"/>
                      </w:rPr>
                    </m:ctrlPr>
                  </m:e>
                  <m:sup>
                    <m:r>
                      <m:rPr>
                        <m:sty m:val="p"/>
                      </m:rPr>
                      <w:rPr>
                        <w:rFonts w:ascii="Cambria Math" w:hAnsi="Cambria Math" w:cs="宋体"/>
                        <w:sz w:val="24"/>
                        <w:szCs w:val="24"/>
                        <w:u w:val="none"/>
                      </w:rPr>
                      <m:t>1.23</m:t>
                    </m:r>
                    <m:ctrlPr>
                      <w:rPr>
                        <w:rFonts w:hint="eastAsia" w:ascii="Cambria Math" w:hAnsi="Cambria Math" w:cs="宋体"/>
                        <w:sz w:val="24"/>
                        <w:szCs w:val="24"/>
                        <w:u w:val="none"/>
                      </w:rPr>
                    </m:ctrlPr>
                  </m:sup>
                </m:sSup>
                <m:sSup>
                  <m:sSupPr>
                    <m:ctrlPr>
                      <w:rPr>
                        <w:rFonts w:hint="eastAsia" w:ascii="Cambria Math" w:hAnsi="Cambria Math" w:cs="宋体"/>
                        <w:sz w:val="24"/>
                        <w:szCs w:val="24"/>
                        <w:u w:val="none"/>
                      </w:rPr>
                    </m:ctrlPr>
                  </m:sSupPr>
                  <m:e>
                    <m:r>
                      <m:rPr>
                        <m:sty m:val="p"/>
                      </m:rPr>
                      <w:rPr>
                        <w:rFonts w:ascii="Cambria Math" w:hAnsi="Cambria Math" w:cs="宋体"/>
                        <w:sz w:val="24"/>
                        <w:szCs w:val="24"/>
                        <w:u w:val="none"/>
                      </w:rPr>
                      <m:t>e</m:t>
                    </m:r>
                    <m:ctrlPr>
                      <w:rPr>
                        <w:rFonts w:hint="eastAsia" w:ascii="Cambria Math" w:hAnsi="Cambria Math" w:cs="宋体"/>
                        <w:sz w:val="24"/>
                        <w:szCs w:val="24"/>
                        <w:u w:val="none"/>
                      </w:rPr>
                    </m:ctrlPr>
                  </m:e>
                  <m:sup>
                    <m:r>
                      <m:rPr>
                        <m:sty m:val="p"/>
                      </m:rPr>
                      <w:rPr>
                        <w:rFonts w:ascii="Cambria Math" w:hAnsi="Cambria Math" w:cs="宋体"/>
                        <w:sz w:val="24"/>
                        <w:szCs w:val="24"/>
                        <w:u w:val="none"/>
                      </w:rPr>
                      <m:t>−0.28ω</m:t>
                    </m:r>
                    <m:ctrlPr>
                      <w:rPr>
                        <w:rFonts w:hint="eastAsia" w:ascii="Cambria Math" w:hAnsi="Cambria Math" w:cs="宋体"/>
                        <w:sz w:val="24"/>
                        <w:szCs w:val="24"/>
                        <w:u w:val="none"/>
                      </w:rPr>
                    </m:ctrlPr>
                  </m:sup>
                </m:sSup>
              </m:oMath>
            </m:oMathPara>
          </w:p>
          <w:p w14:paraId="5C589E46">
            <w:pPr>
              <w:spacing w:line="360" w:lineRule="auto"/>
              <w:ind w:firstLine="480" w:firstLineChars="200"/>
              <w:rPr>
                <w:sz w:val="24"/>
                <w:u w:val="none"/>
              </w:rPr>
            </w:pPr>
            <w:r>
              <w:rPr>
                <w:rFonts w:hint="eastAsia"/>
                <w:sz w:val="24"/>
                <w:u w:val="none"/>
              </w:rPr>
              <w:t>式中：Q</w:t>
            </w:r>
            <w:r>
              <w:rPr>
                <w:rFonts w:hint="eastAsia" w:ascii="宋体" w:hAnsi="宋体" w:cs="宋体"/>
                <w:sz w:val="24"/>
                <w:u w:val="none"/>
              </w:rPr>
              <w:t>－</w:t>
            </w:r>
            <w:r>
              <w:rPr>
                <w:rFonts w:hint="eastAsia"/>
                <w:sz w:val="24"/>
                <w:u w:val="none"/>
              </w:rPr>
              <w:t>物料装车时机械落差起尘量，kg/s；</w:t>
            </w:r>
          </w:p>
          <w:p w14:paraId="15C7CE99">
            <w:pPr>
              <w:spacing w:line="360" w:lineRule="auto"/>
              <w:ind w:firstLine="480" w:firstLineChars="200"/>
              <w:rPr>
                <w:sz w:val="24"/>
                <w:u w:val="none"/>
              </w:rPr>
            </w:pPr>
            <w:r>
              <w:rPr>
                <w:rFonts w:hint="eastAsia"/>
                <w:sz w:val="24"/>
                <w:u w:val="none"/>
              </w:rPr>
              <w:t>u</w:t>
            </w:r>
            <w:r>
              <w:rPr>
                <w:rFonts w:hint="eastAsia" w:ascii="宋体" w:hAnsi="宋体" w:cs="宋体"/>
                <w:sz w:val="24"/>
                <w:u w:val="none"/>
              </w:rPr>
              <w:t>－</w:t>
            </w:r>
            <w:r>
              <w:rPr>
                <w:rFonts w:hint="eastAsia"/>
                <w:sz w:val="24"/>
                <w:u w:val="none"/>
              </w:rPr>
              <w:t>平均风速，m/s（封闭彩钢瓦大棚内，取0.2m/s）；</w:t>
            </w:r>
          </w:p>
          <w:p w14:paraId="1B5699CE">
            <w:pPr>
              <w:spacing w:line="360" w:lineRule="auto"/>
              <w:ind w:firstLine="480" w:firstLineChars="200"/>
              <w:rPr>
                <w:sz w:val="24"/>
                <w:u w:val="none"/>
              </w:rPr>
            </w:pPr>
            <w:r>
              <w:rPr>
                <w:rFonts w:hint="eastAsia"/>
                <w:sz w:val="24"/>
                <w:u w:val="none"/>
              </w:rPr>
              <w:t>H</w:t>
            </w:r>
            <w:r>
              <w:rPr>
                <w:rFonts w:hint="eastAsia" w:ascii="宋体" w:hAnsi="宋体" w:cs="宋体"/>
                <w:sz w:val="24"/>
                <w:u w:val="none"/>
              </w:rPr>
              <w:t>－</w:t>
            </w:r>
            <w:r>
              <w:rPr>
                <w:rFonts w:hint="eastAsia"/>
                <w:sz w:val="24"/>
                <w:u w:val="none"/>
              </w:rPr>
              <w:t>物料落差，m（取1.5m）；</w:t>
            </w:r>
          </w:p>
          <w:p w14:paraId="3C436F00">
            <w:pPr>
              <w:spacing w:line="360" w:lineRule="auto"/>
              <w:ind w:firstLine="480" w:firstLineChars="200"/>
              <w:rPr>
                <w:sz w:val="24"/>
                <w:u w:val="none"/>
              </w:rPr>
            </w:pPr>
            <m:oMath>
              <m:r>
                <m:rPr>
                  <m:sty m:val="p"/>
                </m:rPr>
                <w:rPr>
                  <w:rFonts w:ascii="Cambria Math" w:hAnsi="Cambria Math" w:cs="宋体"/>
                  <w:kern w:val="0"/>
                  <w:sz w:val="24"/>
                  <w:u w:val="none"/>
                </w:rPr>
                <m:t>ω</m:t>
              </m:r>
            </m:oMath>
            <w:r>
              <w:rPr>
                <w:rFonts w:hint="eastAsia" w:ascii="宋体" w:hAnsi="宋体" w:cs="宋体"/>
                <w:sz w:val="24"/>
                <w:u w:val="none"/>
              </w:rPr>
              <w:t>－</w:t>
            </w:r>
            <w:r>
              <w:rPr>
                <w:rFonts w:hint="eastAsia"/>
                <w:sz w:val="24"/>
                <w:u w:val="none"/>
              </w:rPr>
              <w:t>物料含水率，%（取10%）；</w:t>
            </w:r>
          </w:p>
          <w:p w14:paraId="2504E05E">
            <w:pPr>
              <w:spacing w:line="360" w:lineRule="auto"/>
              <w:ind w:firstLine="480" w:firstLineChars="200"/>
              <w:rPr>
                <w:sz w:val="24"/>
                <w:u w:val="none"/>
              </w:rPr>
            </w:pPr>
            <w:r>
              <w:rPr>
                <w:rFonts w:hint="eastAsia"/>
                <w:sz w:val="24"/>
                <w:u w:val="none"/>
              </w:rPr>
              <w:t>t</w:t>
            </w:r>
            <w:r>
              <w:rPr>
                <w:rFonts w:hint="eastAsia" w:ascii="宋体" w:hAnsi="宋体" w:cs="宋体"/>
                <w:sz w:val="24"/>
                <w:u w:val="none"/>
              </w:rPr>
              <w:t>－</w:t>
            </w:r>
            <w:r>
              <w:rPr>
                <w:rFonts w:hint="eastAsia"/>
                <w:sz w:val="24"/>
                <w:u w:val="none"/>
              </w:rPr>
              <w:t>物料装车所用时间，t/s（取10s/t）。</w:t>
            </w:r>
          </w:p>
          <w:p w14:paraId="18F781DF">
            <w:pPr>
              <w:spacing w:line="360" w:lineRule="auto"/>
              <w:ind w:firstLine="480" w:firstLineChars="200"/>
              <w:rPr>
                <w:sz w:val="24"/>
                <w:u w:val="none"/>
              </w:rPr>
            </w:pPr>
            <w:r>
              <w:rPr>
                <w:rFonts w:hint="eastAsia" w:ascii="宋体" w:hAnsi="宋体" w:cs="宋体"/>
                <w:sz w:val="24"/>
                <w:u w:val="none"/>
              </w:rPr>
              <w:t>则</w:t>
            </w:r>
            <w:r>
              <w:rPr>
                <w:rFonts w:hint="eastAsia"/>
                <w:sz w:val="24"/>
                <w:u w:val="none"/>
              </w:rPr>
              <w:t>磷矿铲装粉尘产生量为0.023g/s，0.253t/a。</w:t>
            </w:r>
          </w:p>
          <w:p w14:paraId="3076FD19">
            <w:pPr>
              <w:pStyle w:val="15"/>
              <w:snapToGrid/>
              <w:spacing w:before="0" w:after="0" w:line="360" w:lineRule="auto"/>
              <w:ind w:firstLine="480"/>
              <w:rPr>
                <w:u w:val="none"/>
              </w:rPr>
            </w:pPr>
            <w:r>
              <w:rPr>
                <w:rFonts w:hint="eastAsia"/>
                <w:sz w:val="24"/>
                <w:szCs w:val="24"/>
                <w:u w:val="none"/>
              </w:rPr>
              <w:t>综上，项目磷矿装卸粉尘产生量为0.345t/a。</w:t>
            </w:r>
          </w:p>
          <w:p w14:paraId="424E68FB">
            <w:pPr>
              <w:spacing w:line="360" w:lineRule="auto"/>
              <w:ind w:firstLine="482" w:firstLineChars="200"/>
              <w:jc w:val="left"/>
              <w:rPr>
                <w:sz w:val="24"/>
                <w:u w:val="none"/>
              </w:rPr>
            </w:pPr>
            <w:r>
              <w:rPr>
                <w:rFonts w:hint="eastAsia"/>
                <w:b/>
                <w:bCs/>
                <w:sz w:val="24"/>
                <w:u w:val="none"/>
              </w:rPr>
              <w:t>处置措施：</w:t>
            </w:r>
            <w:r>
              <w:rPr>
                <w:rFonts w:hint="eastAsia"/>
                <w:sz w:val="24"/>
                <w:u w:val="none"/>
              </w:rPr>
              <w:t>本项目仓储大棚为封闭式储棚，且在仓储大棚顶部设置喷雾降尘装置，装卸作业在棚内进行。</w:t>
            </w:r>
          </w:p>
          <w:p w14:paraId="5D93BF61">
            <w:pPr>
              <w:spacing w:line="360" w:lineRule="auto"/>
              <w:ind w:firstLine="482" w:firstLineChars="200"/>
              <w:jc w:val="left"/>
              <w:rPr>
                <w:sz w:val="24"/>
                <w:u w:val="none"/>
              </w:rPr>
            </w:pPr>
            <w:r>
              <w:rPr>
                <w:rFonts w:hint="eastAsia"/>
                <w:b/>
                <w:bCs/>
                <w:sz w:val="24"/>
                <w:u w:val="none"/>
              </w:rPr>
              <w:t>排放量：</w:t>
            </w:r>
            <w:r>
              <w:rPr>
                <w:rFonts w:hint="eastAsia"/>
                <w:sz w:val="24"/>
                <w:u w:val="none"/>
              </w:rPr>
              <w:t>项目装卸作业在封闭式仓储</w:t>
            </w:r>
            <w:r>
              <w:rPr>
                <w:rFonts w:hint="eastAsia"/>
                <w:bCs/>
                <w:sz w:val="24"/>
                <w:u w:val="none"/>
              </w:rPr>
              <w:t>大</w:t>
            </w:r>
            <w:r>
              <w:rPr>
                <w:rFonts w:hint="eastAsia"/>
                <w:sz w:val="24"/>
                <w:u w:val="none"/>
              </w:rPr>
              <w:t>棚内进行，且棚顶部设置喷雾降尘装置，粉尘去除效率取80%，则磷矿装卸粉尘排放量为0.069t/a。</w:t>
            </w:r>
          </w:p>
          <w:p w14:paraId="07B6D297">
            <w:pPr>
              <w:wordWrap w:val="0"/>
              <w:spacing w:line="360" w:lineRule="auto"/>
              <w:ind w:firstLine="482" w:firstLineChars="200"/>
              <w:jc w:val="left"/>
              <w:rPr>
                <w:b/>
                <w:bCs/>
                <w:sz w:val="24"/>
                <w:u w:val="none"/>
              </w:rPr>
            </w:pPr>
            <w:r>
              <w:rPr>
                <w:rFonts w:hint="eastAsia"/>
                <w:b/>
                <w:bCs/>
                <w:sz w:val="24"/>
                <w:u w:val="none"/>
              </w:rPr>
              <w:t>污染治理措施可行性及环境影响分析：</w:t>
            </w:r>
            <w:r>
              <w:rPr>
                <w:rFonts w:hint="eastAsia"/>
                <w:sz w:val="24"/>
                <w:u w:val="none"/>
              </w:rPr>
              <w:t>本项目仓储</w:t>
            </w:r>
            <w:r>
              <w:rPr>
                <w:rFonts w:hint="eastAsia"/>
                <w:bCs/>
                <w:sz w:val="24"/>
                <w:u w:val="none"/>
              </w:rPr>
              <w:t>大</w:t>
            </w:r>
            <w:r>
              <w:rPr>
                <w:rFonts w:hint="eastAsia"/>
                <w:sz w:val="24"/>
                <w:u w:val="none"/>
              </w:rPr>
              <w:t>棚为封闭式仓储棚，且在仓储</w:t>
            </w:r>
            <w:r>
              <w:rPr>
                <w:rFonts w:hint="eastAsia"/>
                <w:bCs/>
                <w:sz w:val="24"/>
                <w:u w:val="none"/>
              </w:rPr>
              <w:t>大</w:t>
            </w:r>
            <w:r>
              <w:rPr>
                <w:rFonts w:hint="eastAsia"/>
                <w:sz w:val="24"/>
                <w:u w:val="none"/>
              </w:rPr>
              <w:t>棚顶部设置喷淋降尘装置，装卸在</w:t>
            </w:r>
            <w:r>
              <w:rPr>
                <w:rFonts w:hint="eastAsia"/>
                <w:bCs/>
                <w:sz w:val="24"/>
                <w:u w:val="none"/>
              </w:rPr>
              <w:t>大</w:t>
            </w:r>
            <w:r>
              <w:rPr>
                <w:rFonts w:hint="eastAsia"/>
                <w:sz w:val="24"/>
                <w:u w:val="none"/>
              </w:rPr>
              <w:t>棚内进行，项目装卸扬尘排放量很小，颗粒物周界外浓度最高点能够满足</w:t>
            </w:r>
            <w:r>
              <w:rPr>
                <w:sz w:val="24"/>
                <w:u w:val="none"/>
              </w:rPr>
              <w:t>《大气污染物综合排放标准》（GB16297-1996）</w:t>
            </w:r>
            <w:r>
              <w:rPr>
                <w:rFonts w:hint="eastAsia"/>
                <w:sz w:val="24"/>
                <w:u w:val="none"/>
              </w:rPr>
              <w:t>中相关要求，对周边空气环境影响很小。</w:t>
            </w:r>
          </w:p>
          <w:p w14:paraId="160C7271">
            <w:pPr>
              <w:wordWrap w:val="0"/>
              <w:spacing w:line="360" w:lineRule="auto"/>
              <w:ind w:firstLine="482" w:firstLineChars="200"/>
              <w:jc w:val="left"/>
              <w:rPr>
                <w:b/>
                <w:bCs/>
                <w:sz w:val="24"/>
                <w:u w:val="none"/>
              </w:rPr>
            </w:pPr>
            <w:r>
              <w:rPr>
                <w:b/>
                <w:bCs/>
                <w:sz w:val="24"/>
                <w:u w:val="none"/>
              </w:rPr>
              <w:t>（</w:t>
            </w:r>
            <w:r>
              <w:rPr>
                <w:rFonts w:hint="eastAsia"/>
                <w:b/>
                <w:bCs/>
                <w:sz w:val="24"/>
                <w:u w:val="none"/>
              </w:rPr>
              <w:t>3</w:t>
            </w:r>
            <w:r>
              <w:rPr>
                <w:b/>
                <w:bCs/>
                <w:sz w:val="24"/>
                <w:u w:val="none"/>
              </w:rPr>
              <w:t>）</w:t>
            </w:r>
            <w:r>
              <w:rPr>
                <w:rFonts w:hint="eastAsia"/>
                <w:b/>
                <w:bCs/>
                <w:sz w:val="24"/>
                <w:u w:val="none"/>
              </w:rPr>
              <w:t>运输扬尘</w:t>
            </w:r>
          </w:p>
          <w:p w14:paraId="6738C6F1">
            <w:pPr>
              <w:spacing w:line="360" w:lineRule="auto"/>
              <w:ind w:firstLine="480" w:firstLineChars="200"/>
              <w:rPr>
                <w:sz w:val="24"/>
                <w:u w:val="none"/>
              </w:rPr>
            </w:pPr>
            <w:r>
              <w:rPr>
                <w:rFonts w:hint="eastAsia"/>
                <w:sz w:val="24"/>
                <w:u w:val="none"/>
              </w:rPr>
              <w:t>本项目运营</w:t>
            </w:r>
            <w:r>
              <w:rPr>
                <w:rFonts w:hint="eastAsia"/>
                <w:sz w:val="24"/>
                <w:u w:val="none" w:color="auto"/>
                <w:shd w:val="clear" w:fill="auto"/>
              </w:rPr>
              <w:t>期</w:t>
            </w:r>
            <w:r>
              <w:rPr>
                <w:rFonts w:hint="eastAsia"/>
                <w:sz w:val="24"/>
                <w:u w:val="none"/>
              </w:rPr>
              <w:t>运输车辆行驶时会产生少量扬尘。这些扬尘排放源均为无组织排放。</w:t>
            </w:r>
          </w:p>
          <w:p w14:paraId="4BE32D97">
            <w:pPr>
              <w:wordWrap w:val="0"/>
              <w:spacing w:line="360" w:lineRule="auto"/>
              <w:ind w:firstLine="480" w:firstLineChars="200"/>
              <w:jc w:val="left"/>
              <w:rPr>
                <w:u w:val="none"/>
              </w:rPr>
            </w:pPr>
            <w:r>
              <w:rPr>
                <w:rFonts w:hint="eastAsia"/>
                <w:sz w:val="24"/>
                <w:u w:val="none"/>
              </w:rPr>
              <w:t>本次评价要求建设单位对厂区内地面进行定期洒水、清扫、运输车辆采取密闭运输，以减少道路扬尘的产生。经采取降尘措施后，汽车动力起尘量减少约85%，排放量很小，粉尘随空气扩散、稀释和沉降后，颗粒物周界外浓度最高点能够满足</w:t>
            </w:r>
            <w:r>
              <w:rPr>
                <w:sz w:val="24"/>
                <w:u w:val="none"/>
              </w:rPr>
              <w:t>《大气污染物综合排放标准》（GB</w:t>
            </w:r>
            <w:r>
              <w:rPr>
                <w:rFonts w:hint="eastAsia"/>
                <w:sz w:val="24"/>
                <w:u w:val="none"/>
              </w:rPr>
              <w:t xml:space="preserve"> </w:t>
            </w:r>
            <w:r>
              <w:rPr>
                <w:sz w:val="24"/>
                <w:u w:val="none"/>
              </w:rPr>
              <w:t>16297-1996）</w:t>
            </w:r>
            <w:r>
              <w:rPr>
                <w:rFonts w:hint="eastAsia"/>
                <w:sz w:val="24"/>
                <w:u w:val="none"/>
              </w:rPr>
              <w:t>中相关要求，对周边空气环境影响很小。</w:t>
            </w:r>
          </w:p>
          <w:p w14:paraId="4A9A9F5D">
            <w:pPr>
              <w:snapToGrid w:val="0"/>
              <w:jc w:val="center"/>
              <w:rPr>
                <w:b/>
                <w:bCs/>
                <w:szCs w:val="21"/>
                <w:u w:val="none"/>
              </w:rPr>
            </w:pPr>
            <w:r>
              <w:rPr>
                <w:b/>
                <w:bCs/>
                <w:szCs w:val="21"/>
                <w:u w:val="none"/>
              </w:rPr>
              <w:t>表</w:t>
            </w:r>
            <w:r>
              <w:rPr>
                <w:rFonts w:hint="eastAsia"/>
                <w:b/>
                <w:bCs/>
                <w:szCs w:val="21"/>
                <w:u w:val="none"/>
              </w:rPr>
              <w:t>4-1</w:t>
            </w:r>
            <w:r>
              <w:rPr>
                <w:b/>
                <w:bCs/>
                <w:szCs w:val="21"/>
                <w:u w:val="none"/>
              </w:rPr>
              <w:t xml:space="preserve">   </w:t>
            </w:r>
            <w:r>
              <w:rPr>
                <w:rFonts w:hint="eastAsia"/>
                <w:b/>
                <w:bCs/>
                <w:szCs w:val="21"/>
                <w:u w:val="none"/>
              </w:rPr>
              <w:t>无组织废气排放情况一览表</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183"/>
              <w:gridCol w:w="1731"/>
              <w:gridCol w:w="2770"/>
              <w:gridCol w:w="1853"/>
              <w:gridCol w:w="7"/>
            </w:tblGrid>
            <w:tr w14:paraId="73A2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trPr>
              <w:tc>
                <w:tcPr>
                  <w:tcW w:w="1240" w:type="pct"/>
                  <w:gridSpan w:val="2"/>
                  <w:vAlign w:val="center"/>
                </w:tcPr>
                <w:p w14:paraId="3E433B24">
                  <w:pPr>
                    <w:adjustRightInd w:val="0"/>
                    <w:snapToGrid w:val="0"/>
                    <w:jc w:val="center"/>
                    <w:rPr>
                      <w:b/>
                      <w:spacing w:val="-10"/>
                      <w:szCs w:val="21"/>
                      <w:u w:val="none"/>
                    </w:rPr>
                  </w:pPr>
                  <w:r>
                    <w:rPr>
                      <w:b/>
                      <w:spacing w:val="-10"/>
                      <w:szCs w:val="21"/>
                      <w:u w:val="none"/>
                    </w:rPr>
                    <w:t>产污排污环节</w:t>
                  </w:r>
                </w:p>
              </w:tc>
              <w:tc>
                <w:tcPr>
                  <w:tcW w:w="1023" w:type="pct"/>
                  <w:tcBorders>
                    <w:left w:val="single" w:color="000000" w:sz="4" w:space="0"/>
                  </w:tcBorders>
                  <w:vAlign w:val="center"/>
                </w:tcPr>
                <w:p w14:paraId="5D4B75A4">
                  <w:pPr>
                    <w:adjustRightInd w:val="0"/>
                    <w:snapToGrid w:val="0"/>
                    <w:jc w:val="center"/>
                    <w:rPr>
                      <w:szCs w:val="21"/>
                      <w:u w:val="none"/>
                    </w:rPr>
                  </w:pPr>
                  <w:r>
                    <w:rPr>
                      <w:rFonts w:hint="eastAsia"/>
                      <w:szCs w:val="21"/>
                      <w:u w:val="none"/>
                    </w:rPr>
                    <w:t>仓储大棚</w:t>
                  </w:r>
                </w:p>
              </w:tc>
              <w:tc>
                <w:tcPr>
                  <w:tcW w:w="1637" w:type="pct"/>
                  <w:tcBorders>
                    <w:left w:val="single" w:color="000000" w:sz="4" w:space="0"/>
                  </w:tcBorders>
                  <w:vAlign w:val="center"/>
                </w:tcPr>
                <w:p w14:paraId="13228711">
                  <w:pPr>
                    <w:adjustRightInd w:val="0"/>
                    <w:snapToGrid w:val="0"/>
                    <w:jc w:val="center"/>
                    <w:rPr>
                      <w:szCs w:val="21"/>
                      <w:u w:val="none"/>
                    </w:rPr>
                  </w:pPr>
                  <w:r>
                    <w:rPr>
                      <w:rFonts w:hint="eastAsia"/>
                      <w:szCs w:val="21"/>
                      <w:u w:val="none"/>
                    </w:rPr>
                    <w:t>磷矿装卸</w:t>
                  </w:r>
                </w:p>
              </w:tc>
              <w:tc>
                <w:tcPr>
                  <w:tcW w:w="1094" w:type="pct"/>
                  <w:tcBorders>
                    <w:left w:val="single" w:color="000000" w:sz="4" w:space="0"/>
                  </w:tcBorders>
                  <w:vAlign w:val="center"/>
                </w:tcPr>
                <w:p w14:paraId="76E47BAD">
                  <w:pPr>
                    <w:adjustRightInd w:val="0"/>
                    <w:snapToGrid w:val="0"/>
                    <w:jc w:val="center"/>
                    <w:rPr>
                      <w:szCs w:val="21"/>
                      <w:u w:val="none"/>
                    </w:rPr>
                  </w:pPr>
                  <w:r>
                    <w:rPr>
                      <w:rFonts w:hint="eastAsia"/>
                      <w:szCs w:val="21"/>
                      <w:u w:val="none"/>
                    </w:rPr>
                    <w:t>运输车辆</w:t>
                  </w:r>
                </w:p>
              </w:tc>
            </w:tr>
            <w:tr w14:paraId="6EDB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28" w:hRule="atLeast"/>
              </w:trPr>
              <w:tc>
                <w:tcPr>
                  <w:tcW w:w="1240" w:type="pct"/>
                  <w:gridSpan w:val="2"/>
                  <w:vAlign w:val="center"/>
                </w:tcPr>
                <w:p w14:paraId="280C3A4D">
                  <w:pPr>
                    <w:adjustRightInd w:val="0"/>
                    <w:snapToGrid w:val="0"/>
                    <w:jc w:val="center"/>
                    <w:rPr>
                      <w:b/>
                      <w:spacing w:val="-10"/>
                      <w:szCs w:val="21"/>
                      <w:u w:val="none"/>
                    </w:rPr>
                  </w:pPr>
                  <w:r>
                    <w:rPr>
                      <w:b/>
                      <w:spacing w:val="-10"/>
                      <w:szCs w:val="21"/>
                      <w:u w:val="none"/>
                    </w:rPr>
                    <w:t>污染物种类</w:t>
                  </w:r>
                </w:p>
              </w:tc>
              <w:tc>
                <w:tcPr>
                  <w:tcW w:w="3755" w:type="pct"/>
                  <w:gridSpan w:val="3"/>
                  <w:tcBorders>
                    <w:left w:val="single" w:color="000000" w:sz="4" w:space="0"/>
                  </w:tcBorders>
                  <w:vAlign w:val="center"/>
                </w:tcPr>
                <w:p w14:paraId="20906527">
                  <w:pPr>
                    <w:adjustRightInd w:val="0"/>
                    <w:snapToGrid w:val="0"/>
                    <w:jc w:val="center"/>
                    <w:rPr>
                      <w:bCs/>
                      <w:spacing w:val="-10"/>
                      <w:szCs w:val="21"/>
                      <w:u w:val="none"/>
                    </w:rPr>
                  </w:pPr>
                  <w:r>
                    <w:rPr>
                      <w:rFonts w:hint="eastAsia"/>
                      <w:bCs/>
                      <w:spacing w:val="-10"/>
                      <w:szCs w:val="21"/>
                      <w:u w:val="none"/>
                    </w:rPr>
                    <w:t>颗粒物</w:t>
                  </w:r>
                </w:p>
              </w:tc>
            </w:tr>
            <w:tr w14:paraId="5A70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240" w:type="pct"/>
                  <w:gridSpan w:val="2"/>
                  <w:vAlign w:val="center"/>
                </w:tcPr>
                <w:p w14:paraId="04E6F21F">
                  <w:pPr>
                    <w:adjustRightInd w:val="0"/>
                    <w:snapToGrid w:val="0"/>
                    <w:jc w:val="center"/>
                    <w:rPr>
                      <w:b/>
                      <w:spacing w:val="-10"/>
                      <w:szCs w:val="21"/>
                      <w:u w:val="none"/>
                    </w:rPr>
                  </w:pPr>
                  <w:r>
                    <w:rPr>
                      <w:b/>
                      <w:spacing w:val="-10"/>
                      <w:szCs w:val="21"/>
                      <w:u w:val="none"/>
                    </w:rPr>
                    <w:t>排放形式</w:t>
                  </w:r>
                </w:p>
              </w:tc>
              <w:tc>
                <w:tcPr>
                  <w:tcW w:w="3759" w:type="pct"/>
                  <w:gridSpan w:val="4"/>
                  <w:tcBorders>
                    <w:left w:val="single" w:color="000000" w:sz="4" w:space="0"/>
                  </w:tcBorders>
                  <w:vAlign w:val="center"/>
                </w:tcPr>
                <w:p w14:paraId="7F5BC500">
                  <w:pPr>
                    <w:adjustRightInd w:val="0"/>
                    <w:snapToGrid w:val="0"/>
                    <w:jc w:val="center"/>
                    <w:rPr>
                      <w:bCs/>
                      <w:spacing w:val="-10"/>
                      <w:szCs w:val="21"/>
                      <w:u w:val="none"/>
                    </w:rPr>
                  </w:pPr>
                  <w:r>
                    <w:rPr>
                      <w:rFonts w:hint="eastAsia"/>
                      <w:bCs/>
                      <w:spacing w:val="-10"/>
                      <w:szCs w:val="21"/>
                      <w:u w:val="none"/>
                    </w:rPr>
                    <w:t>无组织</w:t>
                  </w:r>
                </w:p>
              </w:tc>
            </w:tr>
            <w:tr w14:paraId="0C91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1240" w:type="pct"/>
                  <w:gridSpan w:val="2"/>
                  <w:vAlign w:val="center"/>
                </w:tcPr>
                <w:p w14:paraId="37968619">
                  <w:pPr>
                    <w:adjustRightInd w:val="0"/>
                    <w:snapToGrid w:val="0"/>
                    <w:jc w:val="center"/>
                    <w:rPr>
                      <w:b/>
                      <w:spacing w:val="-10"/>
                      <w:szCs w:val="21"/>
                      <w:u w:val="none"/>
                    </w:rPr>
                  </w:pPr>
                  <w:r>
                    <w:rPr>
                      <w:b/>
                      <w:spacing w:val="-10"/>
                      <w:szCs w:val="21"/>
                      <w:u w:val="none"/>
                    </w:rPr>
                    <w:t>污染物产生量</w:t>
                  </w:r>
                </w:p>
              </w:tc>
              <w:tc>
                <w:tcPr>
                  <w:tcW w:w="1023" w:type="pct"/>
                  <w:tcBorders>
                    <w:left w:val="single" w:color="000000" w:sz="4" w:space="0"/>
                  </w:tcBorders>
                  <w:vAlign w:val="center"/>
                </w:tcPr>
                <w:p w14:paraId="66B4ECDC">
                  <w:pPr>
                    <w:adjustRightInd w:val="0"/>
                    <w:snapToGrid w:val="0"/>
                    <w:jc w:val="center"/>
                    <w:rPr>
                      <w:bCs/>
                      <w:spacing w:val="-10"/>
                      <w:szCs w:val="21"/>
                      <w:u w:val="none"/>
                    </w:rPr>
                  </w:pPr>
                  <w:r>
                    <w:rPr>
                      <w:bCs/>
                      <w:spacing w:val="-10"/>
                      <w:szCs w:val="21"/>
                      <w:u w:val="none"/>
                    </w:rPr>
                    <w:t>少量</w:t>
                  </w:r>
                </w:p>
              </w:tc>
              <w:tc>
                <w:tcPr>
                  <w:tcW w:w="1637" w:type="pct"/>
                  <w:tcBorders>
                    <w:left w:val="single" w:color="000000" w:sz="4" w:space="0"/>
                  </w:tcBorders>
                  <w:vAlign w:val="center"/>
                </w:tcPr>
                <w:p w14:paraId="679001EB">
                  <w:pPr>
                    <w:adjustRightInd w:val="0"/>
                    <w:snapToGrid w:val="0"/>
                    <w:jc w:val="center"/>
                    <w:rPr>
                      <w:bCs/>
                      <w:spacing w:val="-10"/>
                      <w:szCs w:val="21"/>
                      <w:u w:val="none"/>
                    </w:rPr>
                  </w:pPr>
                  <w:r>
                    <w:rPr>
                      <w:rFonts w:hint="eastAsia"/>
                      <w:bCs/>
                      <w:spacing w:val="-10"/>
                      <w:szCs w:val="21"/>
                      <w:u w:val="none"/>
                    </w:rPr>
                    <w:t>0.345t/a</w:t>
                  </w:r>
                </w:p>
              </w:tc>
              <w:tc>
                <w:tcPr>
                  <w:tcW w:w="1094" w:type="pct"/>
                  <w:tcBorders>
                    <w:left w:val="single" w:color="000000" w:sz="4" w:space="0"/>
                  </w:tcBorders>
                  <w:vAlign w:val="center"/>
                </w:tcPr>
                <w:p w14:paraId="46D702E0">
                  <w:pPr>
                    <w:adjustRightInd w:val="0"/>
                    <w:snapToGrid w:val="0"/>
                    <w:jc w:val="center"/>
                    <w:rPr>
                      <w:bCs/>
                      <w:spacing w:val="-10"/>
                      <w:szCs w:val="21"/>
                      <w:u w:val="none"/>
                    </w:rPr>
                  </w:pPr>
                  <w:r>
                    <w:rPr>
                      <w:bCs/>
                      <w:spacing w:val="-10"/>
                      <w:szCs w:val="21"/>
                      <w:u w:val="none"/>
                    </w:rPr>
                    <w:t>少量</w:t>
                  </w:r>
                </w:p>
              </w:tc>
            </w:tr>
            <w:tr w14:paraId="164C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462" w:hRule="atLeast"/>
              </w:trPr>
              <w:tc>
                <w:tcPr>
                  <w:tcW w:w="541" w:type="pct"/>
                  <w:vMerge w:val="restart"/>
                  <w:vAlign w:val="center"/>
                </w:tcPr>
                <w:p w14:paraId="3B6F8C51">
                  <w:pPr>
                    <w:adjustRightInd w:val="0"/>
                    <w:snapToGrid w:val="0"/>
                    <w:jc w:val="center"/>
                    <w:rPr>
                      <w:b/>
                      <w:spacing w:val="-10"/>
                      <w:szCs w:val="21"/>
                      <w:u w:val="none"/>
                    </w:rPr>
                  </w:pPr>
                  <w:r>
                    <w:rPr>
                      <w:b/>
                      <w:spacing w:val="-10"/>
                      <w:szCs w:val="21"/>
                      <w:u w:val="none"/>
                    </w:rPr>
                    <w:t>治理设施</w:t>
                  </w:r>
                </w:p>
              </w:tc>
              <w:tc>
                <w:tcPr>
                  <w:tcW w:w="698" w:type="pct"/>
                  <w:vAlign w:val="center"/>
                </w:tcPr>
                <w:p w14:paraId="7F3CA29A">
                  <w:pPr>
                    <w:adjustRightInd w:val="0"/>
                    <w:snapToGrid w:val="0"/>
                    <w:jc w:val="center"/>
                    <w:rPr>
                      <w:b/>
                      <w:spacing w:val="-10"/>
                      <w:szCs w:val="21"/>
                      <w:u w:val="none"/>
                    </w:rPr>
                  </w:pPr>
                  <w:r>
                    <w:rPr>
                      <w:b/>
                      <w:spacing w:val="-10"/>
                      <w:szCs w:val="21"/>
                      <w:u w:val="none"/>
                    </w:rPr>
                    <w:t>收集效率</w:t>
                  </w:r>
                </w:p>
              </w:tc>
              <w:tc>
                <w:tcPr>
                  <w:tcW w:w="1023" w:type="pct"/>
                  <w:vAlign w:val="center"/>
                </w:tcPr>
                <w:p w14:paraId="0F5E287E">
                  <w:pPr>
                    <w:adjustRightInd w:val="0"/>
                    <w:snapToGrid w:val="0"/>
                    <w:jc w:val="center"/>
                    <w:rPr>
                      <w:u w:val="none"/>
                    </w:rPr>
                  </w:pPr>
                  <w:r>
                    <w:rPr>
                      <w:rFonts w:hint="eastAsia"/>
                      <w:u w:val="none"/>
                    </w:rPr>
                    <w:t>/</w:t>
                  </w:r>
                </w:p>
              </w:tc>
              <w:tc>
                <w:tcPr>
                  <w:tcW w:w="1637" w:type="pct"/>
                  <w:vAlign w:val="center"/>
                </w:tcPr>
                <w:p w14:paraId="531D0F6C">
                  <w:pPr>
                    <w:adjustRightInd w:val="0"/>
                    <w:snapToGrid w:val="0"/>
                    <w:jc w:val="center"/>
                    <w:rPr>
                      <w:bCs/>
                      <w:spacing w:val="-10"/>
                      <w:szCs w:val="21"/>
                      <w:u w:val="none"/>
                    </w:rPr>
                  </w:pPr>
                  <w:r>
                    <w:rPr>
                      <w:rFonts w:hint="eastAsia"/>
                      <w:bCs/>
                      <w:spacing w:val="-10"/>
                      <w:szCs w:val="21"/>
                      <w:u w:val="none"/>
                    </w:rPr>
                    <w:t>/</w:t>
                  </w:r>
                </w:p>
              </w:tc>
              <w:tc>
                <w:tcPr>
                  <w:tcW w:w="1094" w:type="pct"/>
                  <w:vAlign w:val="center"/>
                </w:tcPr>
                <w:p w14:paraId="2B7C1769">
                  <w:pPr>
                    <w:adjustRightInd w:val="0"/>
                    <w:snapToGrid w:val="0"/>
                    <w:jc w:val="center"/>
                    <w:rPr>
                      <w:bCs/>
                      <w:spacing w:val="-10"/>
                      <w:szCs w:val="21"/>
                      <w:u w:val="none"/>
                    </w:rPr>
                  </w:pPr>
                  <w:r>
                    <w:rPr>
                      <w:rFonts w:hint="eastAsia"/>
                      <w:bCs/>
                      <w:spacing w:val="-10"/>
                      <w:szCs w:val="21"/>
                      <w:u w:val="none"/>
                    </w:rPr>
                    <w:t>/</w:t>
                  </w:r>
                </w:p>
              </w:tc>
            </w:tr>
            <w:tr w14:paraId="64F6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541" w:type="pct"/>
                  <w:vMerge w:val="continue"/>
                  <w:vAlign w:val="center"/>
                </w:tcPr>
                <w:p w14:paraId="76D38FCA">
                  <w:pPr>
                    <w:adjustRightInd w:val="0"/>
                    <w:snapToGrid w:val="0"/>
                    <w:jc w:val="center"/>
                    <w:rPr>
                      <w:b/>
                      <w:spacing w:val="-10"/>
                      <w:szCs w:val="21"/>
                      <w:u w:val="none"/>
                    </w:rPr>
                  </w:pPr>
                </w:p>
              </w:tc>
              <w:tc>
                <w:tcPr>
                  <w:tcW w:w="698" w:type="pct"/>
                  <w:vAlign w:val="center"/>
                </w:tcPr>
                <w:p w14:paraId="3134B73F">
                  <w:pPr>
                    <w:adjustRightInd w:val="0"/>
                    <w:snapToGrid w:val="0"/>
                    <w:jc w:val="center"/>
                    <w:rPr>
                      <w:b/>
                      <w:spacing w:val="-10"/>
                      <w:szCs w:val="21"/>
                      <w:u w:val="none"/>
                    </w:rPr>
                  </w:pPr>
                  <w:r>
                    <w:rPr>
                      <w:b/>
                      <w:spacing w:val="-10"/>
                      <w:szCs w:val="21"/>
                      <w:u w:val="none"/>
                    </w:rPr>
                    <w:t>治理工艺</w:t>
                  </w:r>
                </w:p>
              </w:tc>
              <w:tc>
                <w:tcPr>
                  <w:tcW w:w="2660" w:type="pct"/>
                  <w:gridSpan w:val="2"/>
                  <w:vAlign w:val="center"/>
                </w:tcPr>
                <w:p w14:paraId="23E24353">
                  <w:pPr>
                    <w:adjustRightInd w:val="0"/>
                    <w:snapToGrid w:val="0"/>
                    <w:jc w:val="center"/>
                    <w:rPr>
                      <w:bCs/>
                      <w:spacing w:val="-10"/>
                      <w:szCs w:val="21"/>
                      <w:u w:val="none"/>
                    </w:rPr>
                  </w:pPr>
                  <w:r>
                    <w:rPr>
                      <w:rFonts w:hint="eastAsia"/>
                      <w:szCs w:val="21"/>
                      <w:u w:val="none"/>
                    </w:rPr>
                    <w:t>仓储大棚</w:t>
                  </w:r>
                  <w:r>
                    <w:rPr>
                      <w:bCs/>
                      <w:spacing w:val="-10"/>
                      <w:szCs w:val="21"/>
                      <w:u w:val="none"/>
                    </w:rPr>
                    <w:t>建设为全封闭</w:t>
                  </w:r>
                  <w:r>
                    <w:rPr>
                      <w:rFonts w:hint="eastAsia"/>
                      <w:szCs w:val="21"/>
                      <w:u w:val="none"/>
                    </w:rPr>
                    <w:t>仓储大棚</w:t>
                  </w:r>
                  <w:r>
                    <w:rPr>
                      <w:bCs/>
                      <w:spacing w:val="-10"/>
                      <w:szCs w:val="21"/>
                      <w:u w:val="none"/>
                    </w:rPr>
                    <w:t>，仅留设车辆进出口，同时在</w:t>
                  </w:r>
                  <w:r>
                    <w:rPr>
                      <w:rFonts w:hint="eastAsia"/>
                      <w:szCs w:val="21"/>
                      <w:u w:val="none"/>
                    </w:rPr>
                    <w:t>仓储大棚顶部</w:t>
                  </w:r>
                  <w:r>
                    <w:rPr>
                      <w:bCs/>
                      <w:spacing w:val="-10"/>
                      <w:szCs w:val="21"/>
                      <w:u w:val="none"/>
                    </w:rPr>
                    <w:t>安装</w:t>
                  </w:r>
                  <w:r>
                    <w:rPr>
                      <w:rFonts w:hint="eastAsia"/>
                      <w:bCs/>
                      <w:spacing w:val="-10"/>
                      <w:szCs w:val="21"/>
                      <w:u w:val="none"/>
                    </w:rPr>
                    <w:t>喷雾降尘装置</w:t>
                  </w:r>
                </w:p>
              </w:tc>
              <w:tc>
                <w:tcPr>
                  <w:tcW w:w="1094" w:type="pct"/>
                  <w:vAlign w:val="center"/>
                </w:tcPr>
                <w:p w14:paraId="6B066469">
                  <w:pPr>
                    <w:adjustRightInd w:val="0"/>
                    <w:snapToGrid w:val="0"/>
                    <w:jc w:val="center"/>
                    <w:rPr>
                      <w:bCs/>
                      <w:spacing w:val="-10"/>
                      <w:szCs w:val="21"/>
                      <w:u w:val="none"/>
                    </w:rPr>
                  </w:pPr>
                  <w:r>
                    <w:rPr>
                      <w:rFonts w:hint="eastAsia"/>
                      <w:bCs/>
                      <w:spacing w:val="-10"/>
                      <w:szCs w:val="21"/>
                      <w:u w:val="none"/>
                    </w:rPr>
                    <w:t>对厂区内地面进行定期洒水、清扫、运输车辆采取密闭运输</w:t>
                  </w:r>
                </w:p>
              </w:tc>
            </w:tr>
            <w:tr w14:paraId="265A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541" w:type="pct"/>
                  <w:vMerge w:val="continue"/>
                  <w:vAlign w:val="center"/>
                </w:tcPr>
                <w:p w14:paraId="11DD52AC">
                  <w:pPr>
                    <w:adjustRightInd w:val="0"/>
                    <w:snapToGrid w:val="0"/>
                    <w:jc w:val="center"/>
                    <w:rPr>
                      <w:b/>
                      <w:spacing w:val="-10"/>
                      <w:szCs w:val="21"/>
                      <w:u w:val="none"/>
                    </w:rPr>
                  </w:pPr>
                </w:p>
              </w:tc>
              <w:tc>
                <w:tcPr>
                  <w:tcW w:w="698" w:type="pct"/>
                  <w:vAlign w:val="center"/>
                </w:tcPr>
                <w:p w14:paraId="58E59154">
                  <w:pPr>
                    <w:adjustRightInd w:val="0"/>
                    <w:snapToGrid w:val="0"/>
                    <w:jc w:val="center"/>
                    <w:rPr>
                      <w:b/>
                      <w:spacing w:val="-10"/>
                      <w:szCs w:val="21"/>
                      <w:u w:val="none"/>
                    </w:rPr>
                  </w:pPr>
                  <w:r>
                    <w:rPr>
                      <w:b/>
                      <w:spacing w:val="-10"/>
                      <w:szCs w:val="21"/>
                      <w:u w:val="none"/>
                    </w:rPr>
                    <w:t>治理工艺去除率</w:t>
                  </w:r>
                </w:p>
              </w:tc>
              <w:tc>
                <w:tcPr>
                  <w:tcW w:w="1023" w:type="pct"/>
                  <w:vAlign w:val="center"/>
                </w:tcPr>
                <w:p w14:paraId="14B07181">
                  <w:pPr>
                    <w:adjustRightInd w:val="0"/>
                    <w:snapToGrid w:val="0"/>
                    <w:jc w:val="center"/>
                    <w:rPr>
                      <w:bCs/>
                      <w:spacing w:val="-10"/>
                      <w:szCs w:val="21"/>
                      <w:u w:val="none"/>
                    </w:rPr>
                  </w:pPr>
                  <w:r>
                    <w:rPr>
                      <w:rFonts w:hint="eastAsia"/>
                      <w:bCs/>
                      <w:spacing w:val="-10"/>
                      <w:szCs w:val="21"/>
                      <w:u w:val="none"/>
                    </w:rPr>
                    <w:t>/</w:t>
                  </w:r>
                </w:p>
              </w:tc>
              <w:tc>
                <w:tcPr>
                  <w:tcW w:w="1637" w:type="pct"/>
                  <w:vAlign w:val="center"/>
                </w:tcPr>
                <w:p w14:paraId="07F273D0">
                  <w:pPr>
                    <w:adjustRightInd w:val="0"/>
                    <w:snapToGrid w:val="0"/>
                    <w:jc w:val="center"/>
                    <w:rPr>
                      <w:bCs/>
                      <w:spacing w:val="-10"/>
                      <w:szCs w:val="21"/>
                      <w:u w:val="none"/>
                    </w:rPr>
                  </w:pPr>
                  <w:r>
                    <w:rPr>
                      <w:rFonts w:hint="eastAsia"/>
                      <w:bCs/>
                      <w:spacing w:val="-10"/>
                      <w:szCs w:val="21"/>
                      <w:u w:val="none"/>
                    </w:rPr>
                    <w:t>80%</w:t>
                  </w:r>
                </w:p>
              </w:tc>
              <w:tc>
                <w:tcPr>
                  <w:tcW w:w="1094" w:type="pct"/>
                  <w:vAlign w:val="center"/>
                </w:tcPr>
                <w:p w14:paraId="34C73D5D">
                  <w:pPr>
                    <w:adjustRightInd w:val="0"/>
                    <w:snapToGrid w:val="0"/>
                    <w:jc w:val="center"/>
                    <w:rPr>
                      <w:bCs/>
                      <w:spacing w:val="-10"/>
                      <w:szCs w:val="21"/>
                      <w:u w:val="none"/>
                    </w:rPr>
                  </w:pPr>
                  <w:r>
                    <w:rPr>
                      <w:rFonts w:hint="eastAsia"/>
                      <w:bCs/>
                      <w:spacing w:val="-10"/>
                      <w:szCs w:val="21"/>
                      <w:u w:val="none"/>
                    </w:rPr>
                    <w:t>85%</w:t>
                  </w:r>
                </w:p>
              </w:tc>
            </w:tr>
            <w:tr w14:paraId="612C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Pr>
              <w:tc>
                <w:tcPr>
                  <w:tcW w:w="541" w:type="pct"/>
                  <w:vMerge w:val="continue"/>
                  <w:vAlign w:val="center"/>
                </w:tcPr>
                <w:p w14:paraId="627E56E2">
                  <w:pPr>
                    <w:adjustRightInd w:val="0"/>
                    <w:snapToGrid w:val="0"/>
                    <w:jc w:val="center"/>
                    <w:rPr>
                      <w:b/>
                      <w:spacing w:val="-10"/>
                      <w:szCs w:val="21"/>
                      <w:u w:val="none"/>
                    </w:rPr>
                  </w:pPr>
                </w:p>
              </w:tc>
              <w:tc>
                <w:tcPr>
                  <w:tcW w:w="698" w:type="pct"/>
                  <w:vAlign w:val="center"/>
                </w:tcPr>
                <w:p w14:paraId="582C6F34">
                  <w:pPr>
                    <w:adjustRightInd w:val="0"/>
                    <w:snapToGrid w:val="0"/>
                    <w:jc w:val="center"/>
                    <w:rPr>
                      <w:b/>
                      <w:spacing w:val="-10"/>
                      <w:szCs w:val="21"/>
                      <w:u w:val="none"/>
                    </w:rPr>
                  </w:pPr>
                  <w:r>
                    <w:rPr>
                      <w:b/>
                      <w:spacing w:val="-10"/>
                      <w:szCs w:val="21"/>
                      <w:u w:val="none"/>
                    </w:rPr>
                    <w:t>是否为可行技术</w:t>
                  </w:r>
                </w:p>
              </w:tc>
              <w:tc>
                <w:tcPr>
                  <w:tcW w:w="1023" w:type="pct"/>
                  <w:vAlign w:val="center"/>
                </w:tcPr>
                <w:p w14:paraId="52EB2207">
                  <w:pPr>
                    <w:adjustRightInd w:val="0"/>
                    <w:snapToGrid w:val="0"/>
                    <w:jc w:val="center"/>
                    <w:rPr>
                      <w:bCs/>
                      <w:spacing w:val="-10"/>
                      <w:szCs w:val="21"/>
                      <w:u w:val="none"/>
                    </w:rPr>
                  </w:pPr>
                  <w:r>
                    <w:rPr>
                      <w:rFonts w:hint="eastAsia"/>
                      <w:bCs/>
                      <w:spacing w:val="-10"/>
                      <w:szCs w:val="21"/>
                      <w:u w:val="none"/>
                    </w:rPr>
                    <w:t>/</w:t>
                  </w:r>
                </w:p>
              </w:tc>
              <w:tc>
                <w:tcPr>
                  <w:tcW w:w="1637" w:type="pct"/>
                  <w:vAlign w:val="center"/>
                </w:tcPr>
                <w:p w14:paraId="3ED20F9D">
                  <w:pPr>
                    <w:adjustRightInd w:val="0"/>
                    <w:snapToGrid w:val="0"/>
                    <w:jc w:val="center"/>
                    <w:rPr>
                      <w:bCs/>
                      <w:spacing w:val="-10"/>
                      <w:szCs w:val="21"/>
                      <w:u w:val="none"/>
                    </w:rPr>
                  </w:pPr>
                  <w:r>
                    <w:rPr>
                      <w:rFonts w:hint="eastAsia"/>
                      <w:bCs/>
                      <w:spacing w:val="-10"/>
                      <w:szCs w:val="21"/>
                      <w:u w:val="none"/>
                    </w:rPr>
                    <w:t>/</w:t>
                  </w:r>
                </w:p>
              </w:tc>
              <w:tc>
                <w:tcPr>
                  <w:tcW w:w="1094" w:type="pct"/>
                  <w:vAlign w:val="center"/>
                </w:tcPr>
                <w:p w14:paraId="43D35684">
                  <w:pPr>
                    <w:adjustRightInd w:val="0"/>
                    <w:snapToGrid w:val="0"/>
                    <w:jc w:val="center"/>
                    <w:rPr>
                      <w:bCs/>
                      <w:spacing w:val="-10"/>
                      <w:szCs w:val="21"/>
                      <w:u w:val="none"/>
                    </w:rPr>
                  </w:pPr>
                  <w:r>
                    <w:rPr>
                      <w:rFonts w:hint="eastAsia"/>
                      <w:bCs/>
                      <w:spacing w:val="-10"/>
                      <w:szCs w:val="21"/>
                      <w:u w:val="none"/>
                    </w:rPr>
                    <w:t>/</w:t>
                  </w:r>
                </w:p>
              </w:tc>
            </w:tr>
            <w:tr w14:paraId="6816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89" w:hRule="atLeast"/>
              </w:trPr>
              <w:tc>
                <w:tcPr>
                  <w:tcW w:w="1240" w:type="pct"/>
                  <w:gridSpan w:val="2"/>
                  <w:vAlign w:val="center"/>
                </w:tcPr>
                <w:p w14:paraId="65F76372">
                  <w:pPr>
                    <w:adjustRightInd w:val="0"/>
                    <w:snapToGrid w:val="0"/>
                    <w:jc w:val="center"/>
                    <w:rPr>
                      <w:b/>
                      <w:spacing w:val="-10"/>
                      <w:szCs w:val="21"/>
                      <w:u w:val="none"/>
                    </w:rPr>
                  </w:pPr>
                  <w:r>
                    <w:rPr>
                      <w:b/>
                      <w:spacing w:val="-10"/>
                      <w:szCs w:val="21"/>
                      <w:u w:val="none"/>
                    </w:rPr>
                    <w:t>污染物排放速率</w:t>
                  </w:r>
                </w:p>
              </w:tc>
              <w:tc>
                <w:tcPr>
                  <w:tcW w:w="1023" w:type="pct"/>
                  <w:vAlign w:val="center"/>
                </w:tcPr>
                <w:p w14:paraId="4C714A2A">
                  <w:pPr>
                    <w:adjustRightInd w:val="0"/>
                    <w:snapToGrid w:val="0"/>
                    <w:jc w:val="center"/>
                    <w:rPr>
                      <w:bCs/>
                      <w:spacing w:val="-10"/>
                      <w:szCs w:val="21"/>
                      <w:u w:val="none"/>
                    </w:rPr>
                  </w:pPr>
                  <w:r>
                    <w:rPr>
                      <w:rFonts w:hint="eastAsia"/>
                      <w:bCs/>
                      <w:spacing w:val="-10"/>
                      <w:szCs w:val="21"/>
                      <w:u w:val="none"/>
                    </w:rPr>
                    <w:t>/</w:t>
                  </w:r>
                </w:p>
              </w:tc>
              <w:tc>
                <w:tcPr>
                  <w:tcW w:w="1637" w:type="pct"/>
                  <w:vAlign w:val="center"/>
                </w:tcPr>
                <w:p w14:paraId="60690544">
                  <w:pPr>
                    <w:adjustRightInd w:val="0"/>
                    <w:snapToGrid w:val="0"/>
                    <w:jc w:val="center"/>
                    <w:rPr>
                      <w:bCs/>
                      <w:spacing w:val="-10"/>
                      <w:szCs w:val="21"/>
                      <w:u w:val="none"/>
                    </w:rPr>
                  </w:pPr>
                  <w:r>
                    <w:rPr>
                      <w:rFonts w:hint="eastAsia"/>
                      <w:bCs/>
                      <w:spacing w:val="-10"/>
                      <w:szCs w:val="21"/>
                      <w:u w:val="none"/>
                    </w:rPr>
                    <w:t>/</w:t>
                  </w:r>
                </w:p>
              </w:tc>
              <w:tc>
                <w:tcPr>
                  <w:tcW w:w="1094" w:type="pct"/>
                  <w:vAlign w:val="center"/>
                </w:tcPr>
                <w:p w14:paraId="29377C4A">
                  <w:pPr>
                    <w:adjustRightInd w:val="0"/>
                    <w:snapToGrid w:val="0"/>
                    <w:jc w:val="center"/>
                    <w:rPr>
                      <w:bCs/>
                      <w:spacing w:val="-10"/>
                      <w:szCs w:val="21"/>
                      <w:u w:val="none"/>
                    </w:rPr>
                  </w:pPr>
                  <w:r>
                    <w:rPr>
                      <w:rFonts w:hint="eastAsia"/>
                      <w:bCs/>
                      <w:spacing w:val="-10"/>
                      <w:szCs w:val="21"/>
                      <w:u w:val="none"/>
                    </w:rPr>
                    <w:t>/</w:t>
                  </w:r>
                </w:p>
              </w:tc>
            </w:tr>
            <w:tr w14:paraId="7DB8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trPr>
              <w:tc>
                <w:tcPr>
                  <w:tcW w:w="1240" w:type="pct"/>
                  <w:gridSpan w:val="2"/>
                  <w:vAlign w:val="center"/>
                </w:tcPr>
                <w:p w14:paraId="49C06206">
                  <w:pPr>
                    <w:adjustRightInd w:val="0"/>
                    <w:snapToGrid w:val="0"/>
                    <w:jc w:val="center"/>
                    <w:rPr>
                      <w:b/>
                      <w:spacing w:val="-10"/>
                      <w:szCs w:val="21"/>
                      <w:u w:val="none"/>
                    </w:rPr>
                  </w:pPr>
                  <w:r>
                    <w:rPr>
                      <w:b/>
                      <w:spacing w:val="-10"/>
                      <w:szCs w:val="21"/>
                      <w:u w:val="none"/>
                    </w:rPr>
                    <w:t>污染物排放量</w:t>
                  </w:r>
                </w:p>
              </w:tc>
              <w:tc>
                <w:tcPr>
                  <w:tcW w:w="1023" w:type="pct"/>
                  <w:vAlign w:val="center"/>
                </w:tcPr>
                <w:p w14:paraId="2BFA820D">
                  <w:pPr>
                    <w:adjustRightInd w:val="0"/>
                    <w:snapToGrid w:val="0"/>
                    <w:jc w:val="center"/>
                    <w:rPr>
                      <w:szCs w:val="21"/>
                      <w:u w:val="none"/>
                    </w:rPr>
                  </w:pPr>
                  <w:r>
                    <w:rPr>
                      <w:bCs/>
                      <w:spacing w:val="-10"/>
                      <w:szCs w:val="21"/>
                      <w:u w:val="none"/>
                    </w:rPr>
                    <w:t>少量</w:t>
                  </w:r>
                </w:p>
              </w:tc>
              <w:tc>
                <w:tcPr>
                  <w:tcW w:w="1637" w:type="pct"/>
                  <w:vAlign w:val="center"/>
                </w:tcPr>
                <w:p w14:paraId="18F67357">
                  <w:pPr>
                    <w:adjustRightInd w:val="0"/>
                    <w:snapToGrid w:val="0"/>
                    <w:jc w:val="center"/>
                    <w:rPr>
                      <w:szCs w:val="21"/>
                      <w:u w:val="none"/>
                    </w:rPr>
                  </w:pPr>
                  <w:r>
                    <w:rPr>
                      <w:rFonts w:hint="eastAsia"/>
                      <w:szCs w:val="21"/>
                      <w:u w:val="none"/>
                    </w:rPr>
                    <w:t>0.069t/a</w:t>
                  </w:r>
                </w:p>
              </w:tc>
              <w:tc>
                <w:tcPr>
                  <w:tcW w:w="1094" w:type="pct"/>
                  <w:vAlign w:val="center"/>
                </w:tcPr>
                <w:p w14:paraId="5BC784AD">
                  <w:pPr>
                    <w:adjustRightInd w:val="0"/>
                    <w:snapToGrid w:val="0"/>
                    <w:jc w:val="center"/>
                    <w:rPr>
                      <w:szCs w:val="21"/>
                      <w:u w:val="none"/>
                    </w:rPr>
                  </w:pPr>
                  <w:r>
                    <w:rPr>
                      <w:bCs/>
                      <w:spacing w:val="-10"/>
                      <w:szCs w:val="21"/>
                      <w:u w:val="none"/>
                    </w:rPr>
                    <w:t>少量</w:t>
                  </w:r>
                </w:p>
              </w:tc>
            </w:tr>
            <w:tr w14:paraId="5E50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90" w:hRule="atLeast"/>
              </w:trPr>
              <w:tc>
                <w:tcPr>
                  <w:tcW w:w="1240" w:type="pct"/>
                  <w:gridSpan w:val="2"/>
                  <w:vAlign w:val="center"/>
                </w:tcPr>
                <w:p w14:paraId="111C6173">
                  <w:pPr>
                    <w:adjustRightInd w:val="0"/>
                    <w:snapToGrid w:val="0"/>
                    <w:jc w:val="center"/>
                    <w:rPr>
                      <w:b/>
                      <w:spacing w:val="-10"/>
                      <w:szCs w:val="21"/>
                      <w:u w:val="none"/>
                    </w:rPr>
                  </w:pPr>
                  <w:r>
                    <w:rPr>
                      <w:b/>
                      <w:spacing w:val="-10"/>
                      <w:szCs w:val="21"/>
                      <w:u w:val="none"/>
                    </w:rPr>
                    <w:t>排放标准</w:t>
                  </w:r>
                </w:p>
              </w:tc>
              <w:tc>
                <w:tcPr>
                  <w:tcW w:w="3755" w:type="pct"/>
                  <w:gridSpan w:val="3"/>
                  <w:vAlign w:val="center"/>
                </w:tcPr>
                <w:p w14:paraId="555A2E44">
                  <w:pPr>
                    <w:adjustRightInd w:val="0"/>
                    <w:snapToGrid w:val="0"/>
                    <w:jc w:val="center"/>
                    <w:rPr>
                      <w:szCs w:val="21"/>
                      <w:u w:val="none"/>
                    </w:rPr>
                  </w:pPr>
                  <w:r>
                    <w:rPr>
                      <w:rFonts w:hint="eastAsia"/>
                      <w:szCs w:val="21"/>
                      <w:u w:val="none"/>
                    </w:rPr>
                    <w:t>《大气污染物综合排放标准》（GB 16297-1996）</w:t>
                  </w:r>
                </w:p>
              </w:tc>
            </w:tr>
          </w:tbl>
          <w:p w14:paraId="65AD0CBF">
            <w:pPr>
              <w:pStyle w:val="15"/>
              <w:snapToGrid/>
              <w:spacing w:after="0" w:line="360" w:lineRule="auto"/>
              <w:ind w:firstLine="482" w:firstLineChars="200"/>
              <w:rPr>
                <w:b/>
                <w:bCs/>
                <w:kern w:val="2"/>
                <w:sz w:val="24"/>
                <w:szCs w:val="24"/>
                <w:u w:val="none"/>
              </w:rPr>
            </w:pPr>
            <w:r>
              <w:rPr>
                <w:rFonts w:hint="eastAsia"/>
                <w:b/>
                <w:bCs/>
                <w:kern w:val="2"/>
                <w:sz w:val="24"/>
                <w:szCs w:val="24"/>
                <w:u w:val="none"/>
              </w:rPr>
              <w:t>1.</w:t>
            </w:r>
            <w:r>
              <w:rPr>
                <w:b/>
                <w:bCs/>
                <w:kern w:val="2"/>
                <w:sz w:val="24"/>
                <w:szCs w:val="24"/>
                <w:u w:val="none"/>
              </w:rPr>
              <w:t>2、</w:t>
            </w:r>
            <w:r>
              <w:rPr>
                <w:rFonts w:hint="eastAsia"/>
                <w:b/>
                <w:bCs/>
                <w:kern w:val="2"/>
                <w:sz w:val="24"/>
                <w:szCs w:val="24"/>
                <w:u w:val="none"/>
              </w:rPr>
              <w:t>自行</w:t>
            </w:r>
            <w:r>
              <w:rPr>
                <w:b/>
                <w:bCs/>
                <w:kern w:val="2"/>
                <w:sz w:val="24"/>
                <w:szCs w:val="24"/>
                <w:u w:val="none"/>
              </w:rPr>
              <w:t>监测</w:t>
            </w:r>
            <w:r>
              <w:rPr>
                <w:rFonts w:hint="eastAsia"/>
                <w:b/>
                <w:bCs/>
                <w:kern w:val="2"/>
                <w:sz w:val="24"/>
                <w:szCs w:val="24"/>
                <w:u w:val="none"/>
              </w:rPr>
              <w:t>要求</w:t>
            </w:r>
          </w:p>
          <w:p w14:paraId="1A0D3532">
            <w:pPr>
              <w:pStyle w:val="15"/>
              <w:snapToGrid/>
              <w:spacing w:after="0" w:line="360" w:lineRule="auto"/>
              <w:ind w:firstLine="480" w:firstLineChars="200"/>
              <w:rPr>
                <w:kern w:val="2"/>
                <w:sz w:val="24"/>
                <w:szCs w:val="24"/>
                <w:u w:val="none"/>
              </w:rPr>
            </w:pPr>
            <w:r>
              <w:rPr>
                <w:sz w:val="24"/>
                <w:szCs w:val="24"/>
                <w:u w:val="none"/>
              </w:rPr>
              <w:t>根据《排污许可证申请与核发技术规范</w:t>
            </w:r>
            <w:r>
              <w:rPr>
                <w:rFonts w:hint="eastAsia"/>
                <w:sz w:val="24"/>
                <w:szCs w:val="24"/>
                <w:u w:val="none"/>
              </w:rPr>
              <w:t xml:space="preserve"> </w:t>
            </w:r>
            <w:r>
              <w:rPr>
                <w:sz w:val="24"/>
                <w:szCs w:val="24"/>
                <w:u w:val="none"/>
              </w:rPr>
              <w:t>总则》（HJ</w:t>
            </w:r>
            <w:r>
              <w:rPr>
                <w:rFonts w:hint="eastAsia"/>
                <w:sz w:val="24"/>
                <w:szCs w:val="24"/>
                <w:u w:val="none"/>
              </w:rPr>
              <w:t xml:space="preserve"> </w:t>
            </w:r>
            <w:r>
              <w:rPr>
                <w:sz w:val="24"/>
                <w:szCs w:val="24"/>
                <w:u w:val="none"/>
              </w:rPr>
              <w:t>942-2018）</w:t>
            </w:r>
            <w:r>
              <w:rPr>
                <w:rFonts w:hint="eastAsia"/>
                <w:sz w:val="24"/>
                <w:szCs w:val="24"/>
                <w:u w:val="none"/>
              </w:rPr>
              <w:t>、</w:t>
            </w:r>
            <w:r>
              <w:rPr>
                <w:sz w:val="24"/>
                <w:szCs w:val="24"/>
                <w:u w:val="none"/>
              </w:rPr>
              <w:t>《排污单位自行监测技术指南</w:t>
            </w:r>
            <w:r>
              <w:rPr>
                <w:rFonts w:hint="eastAsia"/>
                <w:sz w:val="24"/>
                <w:szCs w:val="24"/>
                <w:u w:val="none"/>
              </w:rPr>
              <w:t xml:space="preserve"> </w:t>
            </w:r>
            <w:r>
              <w:rPr>
                <w:sz w:val="24"/>
                <w:szCs w:val="24"/>
                <w:u w:val="none"/>
              </w:rPr>
              <w:t>总则》（HJ</w:t>
            </w:r>
            <w:r>
              <w:rPr>
                <w:rFonts w:hint="eastAsia"/>
                <w:sz w:val="24"/>
                <w:szCs w:val="24"/>
                <w:u w:val="none"/>
              </w:rPr>
              <w:t xml:space="preserve"> </w:t>
            </w:r>
            <w:r>
              <w:rPr>
                <w:sz w:val="24"/>
                <w:szCs w:val="24"/>
                <w:u w:val="none"/>
              </w:rPr>
              <w:t>819-2017）</w:t>
            </w:r>
            <w:r>
              <w:rPr>
                <w:rFonts w:hint="eastAsia"/>
                <w:sz w:val="24"/>
                <w:szCs w:val="24"/>
                <w:u w:val="none"/>
              </w:rPr>
              <w:t>，</w:t>
            </w:r>
            <w:r>
              <w:rPr>
                <w:sz w:val="24"/>
                <w:szCs w:val="24"/>
                <w:u w:val="none"/>
              </w:rPr>
              <w:t>无组织废气排放的污染源每年至少开展一次监测，本项目自行监测计划见下表</w:t>
            </w:r>
            <w:r>
              <w:rPr>
                <w:rFonts w:hint="eastAsia"/>
                <w:kern w:val="2"/>
                <w:sz w:val="24"/>
                <w:szCs w:val="24"/>
                <w:u w:val="none"/>
              </w:rPr>
              <w:t>。</w:t>
            </w:r>
          </w:p>
          <w:p w14:paraId="6B29320B">
            <w:pPr>
              <w:snapToGrid w:val="0"/>
              <w:jc w:val="center"/>
              <w:rPr>
                <w:b/>
                <w:szCs w:val="21"/>
                <w:u w:val="none"/>
              </w:rPr>
            </w:pPr>
            <w:r>
              <w:rPr>
                <w:b/>
                <w:szCs w:val="21"/>
                <w:u w:val="none"/>
                <w:lang w:bidi="ar"/>
              </w:rPr>
              <w:t>表</w:t>
            </w:r>
            <w:r>
              <w:rPr>
                <w:rFonts w:hint="eastAsia"/>
                <w:b/>
                <w:szCs w:val="21"/>
                <w:u w:val="none"/>
                <w:lang w:bidi="ar"/>
              </w:rPr>
              <w:t xml:space="preserve">4-2 </w:t>
            </w:r>
            <w:r>
              <w:rPr>
                <w:b/>
                <w:szCs w:val="21"/>
                <w:u w:val="none"/>
                <w:lang w:bidi="ar"/>
              </w:rPr>
              <w:t xml:space="preserve">  </w:t>
            </w:r>
            <w:r>
              <w:rPr>
                <w:b/>
                <w:szCs w:val="21"/>
                <w:u w:val="none"/>
              </w:rPr>
              <w:t>项目废气自行监测要求一览</w:t>
            </w:r>
            <w:r>
              <w:rPr>
                <w:rFonts w:hint="eastAsia"/>
                <w:b/>
                <w:szCs w:val="21"/>
                <w:u w:val="none"/>
              </w:rPr>
              <w:t>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1282"/>
              <w:gridCol w:w="1358"/>
              <w:gridCol w:w="2893"/>
            </w:tblGrid>
            <w:tr w14:paraId="1286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6" w:type="dxa"/>
                  <w:vAlign w:val="center"/>
                </w:tcPr>
                <w:p w14:paraId="2E1F1BF2">
                  <w:pPr>
                    <w:widowControl/>
                    <w:tabs>
                      <w:tab w:val="left" w:pos="540"/>
                      <w:tab w:val="left" w:pos="851"/>
                      <w:tab w:val="left" w:pos="994"/>
                      <w:tab w:val="left" w:pos="1260"/>
                      <w:tab w:val="left" w:pos="3108"/>
                      <w:tab w:val="left" w:pos="3150"/>
                    </w:tabs>
                    <w:adjustRightInd w:val="0"/>
                    <w:snapToGrid w:val="0"/>
                    <w:jc w:val="center"/>
                    <w:rPr>
                      <w:b/>
                      <w:bCs/>
                      <w:kern w:val="0"/>
                      <w:szCs w:val="21"/>
                      <w:u w:val="none"/>
                    </w:rPr>
                  </w:pPr>
                  <w:r>
                    <w:rPr>
                      <w:b/>
                      <w:bCs/>
                      <w:kern w:val="0"/>
                      <w:szCs w:val="21"/>
                      <w:u w:val="none"/>
                    </w:rPr>
                    <w:t>监测点位</w:t>
                  </w:r>
                </w:p>
              </w:tc>
              <w:tc>
                <w:tcPr>
                  <w:tcW w:w="1282" w:type="dxa"/>
                  <w:vAlign w:val="center"/>
                </w:tcPr>
                <w:p w14:paraId="7B2FF42D">
                  <w:pPr>
                    <w:widowControl/>
                    <w:tabs>
                      <w:tab w:val="left" w:pos="540"/>
                      <w:tab w:val="left" w:pos="851"/>
                      <w:tab w:val="left" w:pos="994"/>
                      <w:tab w:val="left" w:pos="1260"/>
                      <w:tab w:val="left" w:pos="3108"/>
                      <w:tab w:val="left" w:pos="3150"/>
                    </w:tabs>
                    <w:adjustRightInd w:val="0"/>
                    <w:snapToGrid w:val="0"/>
                    <w:jc w:val="center"/>
                    <w:rPr>
                      <w:b/>
                      <w:bCs/>
                      <w:kern w:val="0"/>
                      <w:szCs w:val="21"/>
                      <w:u w:val="none"/>
                    </w:rPr>
                  </w:pPr>
                  <w:r>
                    <w:rPr>
                      <w:b/>
                      <w:bCs/>
                      <w:kern w:val="0"/>
                      <w:szCs w:val="21"/>
                      <w:u w:val="none"/>
                    </w:rPr>
                    <w:t>监测指标</w:t>
                  </w:r>
                </w:p>
              </w:tc>
              <w:tc>
                <w:tcPr>
                  <w:tcW w:w="1358" w:type="dxa"/>
                  <w:vAlign w:val="center"/>
                </w:tcPr>
                <w:p w14:paraId="558FBE1B">
                  <w:pPr>
                    <w:widowControl/>
                    <w:tabs>
                      <w:tab w:val="left" w:pos="540"/>
                      <w:tab w:val="left" w:pos="851"/>
                      <w:tab w:val="left" w:pos="994"/>
                      <w:tab w:val="left" w:pos="1260"/>
                      <w:tab w:val="left" w:pos="3108"/>
                      <w:tab w:val="left" w:pos="3150"/>
                    </w:tabs>
                    <w:adjustRightInd w:val="0"/>
                    <w:snapToGrid w:val="0"/>
                    <w:jc w:val="center"/>
                    <w:rPr>
                      <w:b/>
                      <w:bCs/>
                      <w:kern w:val="0"/>
                      <w:szCs w:val="21"/>
                      <w:u w:val="none"/>
                    </w:rPr>
                  </w:pPr>
                  <w:r>
                    <w:rPr>
                      <w:b/>
                      <w:bCs/>
                      <w:kern w:val="0"/>
                      <w:szCs w:val="21"/>
                      <w:u w:val="none"/>
                    </w:rPr>
                    <w:t>监测频次</w:t>
                  </w:r>
                </w:p>
              </w:tc>
              <w:tc>
                <w:tcPr>
                  <w:tcW w:w="2893" w:type="dxa"/>
                  <w:vAlign w:val="center"/>
                </w:tcPr>
                <w:p w14:paraId="6B7892EE">
                  <w:pPr>
                    <w:widowControl/>
                    <w:tabs>
                      <w:tab w:val="left" w:pos="540"/>
                      <w:tab w:val="left" w:pos="851"/>
                      <w:tab w:val="left" w:pos="994"/>
                      <w:tab w:val="left" w:pos="1260"/>
                      <w:tab w:val="left" w:pos="3108"/>
                      <w:tab w:val="left" w:pos="3150"/>
                    </w:tabs>
                    <w:adjustRightInd w:val="0"/>
                    <w:snapToGrid w:val="0"/>
                    <w:jc w:val="center"/>
                    <w:rPr>
                      <w:b/>
                      <w:bCs/>
                      <w:kern w:val="0"/>
                      <w:szCs w:val="21"/>
                      <w:u w:val="none"/>
                    </w:rPr>
                  </w:pPr>
                  <w:r>
                    <w:rPr>
                      <w:b/>
                      <w:bCs/>
                      <w:kern w:val="0"/>
                      <w:szCs w:val="21"/>
                      <w:u w:val="none"/>
                    </w:rPr>
                    <w:t>执行排放标准</w:t>
                  </w:r>
                </w:p>
              </w:tc>
            </w:tr>
            <w:tr w14:paraId="04BA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6" w:type="dxa"/>
                  <w:vAlign w:val="center"/>
                </w:tcPr>
                <w:p w14:paraId="2835B84F">
                  <w:pPr>
                    <w:widowControl/>
                    <w:tabs>
                      <w:tab w:val="left" w:pos="540"/>
                      <w:tab w:val="left" w:pos="851"/>
                      <w:tab w:val="left" w:pos="994"/>
                      <w:tab w:val="left" w:pos="1260"/>
                      <w:tab w:val="left" w:pos="3108"/>
                      <w:tab w:val="left" w:pos="3150"/>
                    </w:tabs>
                    <w:adjustRightInd w:val="0"/>
                    <w:snapToGrid w:val="0"/>
                    <w:jc w:val="center"/>
                    <w:rPr>
                      <w:kern w:val="0"/>
                      <w:szCs w:val="21"/>
                      <w:u w:val="none"/>
                    </w:rPr>
                  </w:pPr>
                  <w:r>
                    <w:rPr>
                      <w:kern w:val="0"/>
                      <w:szCs w:val="21"/>
                      <w:u w:val="none"/>
                    </w:rPr>
                    <w:t>厂界外上风向设参照点，下风向设监控点</w:t>
                  </w:r>
                </w:p>
              </w:tc>
              <w:tc>
                <w:tcPr>
                  <w:tcW w:w="1282" w:type="dxa"/>
                  <w:vAlign w:val="center"/>
                </w:tcPr>
                <w:p w14:paraId="1521A77D">
                  <w:pPr>
                    <w:widowControl/>
                    <w:tabs>
                      <w:tab w:val="left" w:pos="540"/>
                      <w:tab w:val="left" w:pos="851"/>
                      <w:tab w:val="left" w:pos="994"/>
                      <w:tab w:val="left" w:pos="1260"/>
                      <w:tab w:val="left" w:pos="3108"/>
                      <w:tab w:val="left" w:pos="3150"/>
                    </w:tabs>
                    <w:adjustRightInd w:val="0"/>
                    <w:snapToGrid w:val="0"/>
                    <w:jc w:val="center"/>
                    <w:rPr>
                      <w:kern w:val="0"/>
                      <w:szCs w:val="21"/>
                      <w:u w:val="none"/>
                    </w:rPr>
                  </w:pPr>
                  <w:r>
                    <w:rPr>
                      <w:rFonts w:hint="eastAsia"/>
                      <w:kern w:val="0"/>
                      <w:szCs w:val="21"/>
                      <w:u w:val="none"/>
                    </w:rPr>
                    <w:t>颗粒物</w:t>
                  </w:r>
                </w:p>
              </w:tc>
              <w:tc>
                <w:tcPr>
                  <w:tcW w:w="1358" w:type="dxa"/>
                  <w:vAlign w:val="center"/>
                </w:tcPr>
                <w:p w14:paraId="74612EB5">
                  <w:pPr>
                    <w:widowControl/>
                    <w:tabs>
                      <w:tab w:val="left" w:pos="540"/>
                      <w:tab w:val="left" w:pos="851"/>
                      <w:tab w:val="left" w:pos="994"/>
                      <w:tab w:val="left" w:pos="1260"/>
                      <w:tab w:val="left" w:pos="3108"/>
                      <w:tab w:val="left" w:pos="3150"/>
                    </w:tabs>
                    <w:adjustRightInd w:val="0"/>
                    <w:snapToGrid w:val="0"/>
                    <w:jc w:val="center"/>
                    <w:rPr>
                      <w:kern w:val="0"/>
                      <w:szCs w:val="21"/>
                      <w:u w:val="none"/>
                    </w:rPr>
                  </w:pPr>
                  <w:r>
                    <w:rPr>
                      <w:kern w:val="0"/>
                      <w:szCs w:val="21"/>
                      <w:u w:val="none"/>
                    </w:rPr>
                    <w:t>1次/</w:t>
                  </w:r>
                  <w:r>
                    <w:rPr>
                      <w:rFonts w:hint="eastAsia"/>
                      <w:kern w:val="0"/>
                      <w:szCs w:val="21"/>
                      <w:u w:val="none"/>
                    </w:rPr>
                    <w:t>年</w:t>
                  </w:r>
                </w:p>
              </w:tc>
              <w:tc>
                <w:tcPr>
                  <w:tcW w:w="2893" w:type="dxa"/>
                  <w:vAlign w:val="center"/>
                </w:tcPr>
                <w:p w14:paraId="406E8922">
                  <w:pPr>
                    <w:widowControl/>
                    <w:tabs>
                      <w:tab w:val="left" w:pos="540"/>
                      <w:tab w:val="left" w:pos="851"/>
                      <w:tab w:val="left" w:pos="994"/>
                      <w:tab w:val="left" w:pos="1260"/>
                      <w:tab w:val="left" w:pos="3108"/>
                      <w:tab w:val="left" w:pos="3150"/>
                    </w:tabs>
                    <w:adjustRightInd w:val="0"/>
                    <w:snapToGrid w:val="0"/>
                    <w:jc w:val="center"/>
                    <w:rPr>
                      <w:kern w:val="0"/>
                      <w:szCs w:val="21"/>
                      <w:u w:val="none"/>
                    </w:rPr>
                  </w:pPr>
                  <w:r>
                    <w:rPr>
                      <w:kern w:val="0"/>
                      <w:szCs w:val="21"/>
                      <w:u w:val="none"/>
                    </w:rPr>
                    <w:t>《大气污染物</w:t>
                  </w:r>
                  <w:r>
                    <w:rPr>
                      <w:rFonts w:hint="eastAsia"/>
                      <w:kern w:val="0"/>
                      <w:szCs w:val="21"/>
                      <w:u w:val="none"/>
                    </w:rPr>
                    <w:t>综合</w:t>
                  </w:r>
                  <w:r>
                    <w:rPr>
                      <w:kern w:val="0"/>
                      <w:szCs w:val="21"/>
                      <w:u w:val="none"/>
                    </w:rPr>
                    <w:t>排放标准》（GB</w:t>
                  </w:r>
                  <w:r>
                    <w:rPr>
                      <w:rFonts w:hint="eastAsia"/>
                      <w:kern w:val="0"/>
                      <w:szCs w:val="21"/>
                      <w:u w:val="none"/>
                    </w:rPr>
                    <w:t xml:space="preserve"> 16297-1996</w:t>
                  </w:r>
                  <w:r>
                    <w:rPr>
                      <w:kern w:val="0"/>
                      <w:szCs w:val="21"/>
                      <w:u w:val="none"/>
                    </w:rPr>
                    <w:t>）表</w:t>
                  </w:r>
                  <w:r>
                    <w:rPr>
                      <w:rFonts w:hint="eastAsia"/>
                      <w:kern w:val="0"/>
                      <w:szCs w:val="21"/>
                      <w:u w:val="none"/>
                    </w:rPr>
                    <w:t>2</w:t>
                  </w:r>
                  <w:r>
                    <w:rPr>
                      <w:kern w:val="0"/>
                      <w:szCs w:val="21"/>
                      <w:u w:val="none"/>
                    </w:rPr>
                    <w:t>无组织排放监控浓度限值</w:t>
                  </w:r>
                </w:p>
              </w:tc>
            </w:tr>
          </w:tbl>
          <w:p w14:paraId="7A9DBC57">
            <w:pPr>
              <w:pStyle w:val="15"/>
              <w:snapToGrid/>
              <w:spacing w:after="0" w:line="360" w:lineRule="auto"/>
              <w:ind w:firstLine="482" w:firstLineChars="200"/>
              <w:rPr>
                <w:b/>
                <w:bCs/>
                <w:kern w:val="2"/>
                <w:sz w:val="24"/>
                <w:szCs w:val="24"/>
                <w:u w:val="none"/>
              </w:rPr>
            </w:pPr>
            <w:r>
              <w:rPr>
                <w:rFonts w:hint="eastAsia"/>
                <w:b/>
                <w:bCs/>
                <w:kern w:val="2"/>
                <w:sz w:val="24"/>
                <w:szCs w:val="24"/>
                <w:u w:val="none"/>
              </w:rPr>
              <w:t>2</w:t>
            </w:r>
            <w:r>
              <w:rPr>
                <w:b/>
                <w:bCs/>
                <w:kern w:val="2"/>
                <w:sz w:val="24"/>
                <w:szCs w:val="24"/>
                <w:u w:val="none"/>
              </w:rPr>
              <w:t>、废水</w:t>
            </w:r>
          </w:p>
          <w:p w14:paraId="5C42FE35">
            <w:pPr>
              <w:spacing w:line="360" w:lineRule="auto"/>
              <w:ind w:firstLine="482" w:firstLineChars="200"/>
              <w:rPr>
                <w:b/>
                <w:bCs/>
                <w:sz w:val="24"/>
                <w:u w:val="none"/>
              </w:rPr>
            </w:pPr>
            <w:r>
              <w:rPr>
                <w:rFonts w:hint="eastAsia"/>
                <w:b/>
                <w:bCs/>
                <w:sz w:val="24"/>
                <w:u w:val="none"/>
              </w:rPr>
              <w:t>2.1、废水产排情况及保护措施</w:t>
            </w:r>
          </w:p>
          <w:p w14:paraId="7BFA0F27">
            <w:pPr>
              <w:spacing w:line="360" w:lineRule="auto"/>
              <w:ind w:firstLine="480" w:firstLineChars="200"/>
              <w:rPr>
                <w:b/>
                <w:bCs/>
                <w:sz w:val="24"/>
                <w:u w:val="none"/>
              </w:rPr>
            </w:pPr>
            <w:r>
              <w:rPr>
                <w:sz w:val="24"/>
                <w:u w:val="none"/>
              </w:rPr>
              <w:t>项目运营期间</w:t>
            </w:r>
            <w:r>
              <w:rPr>
                <w:rFonts w:hint="eastAsia"/>
                <w:sz w:val="24"/>
                <w:u w:val="none"/>
              </w:rPr>
              <w:t>废水</w:t>
            </w:r>
            <w:r>
              <w:rPr>
                <w:sz w:val="24"/>
                <w:u w:val="none"/>
              </w:rPr>
              <w:t>包括</w:t>
            </w:r>
            <w:r>
              <w:rPr>
                <w:rFonts w:hint="eastAsia"/>
                <w:sz w:val="24"/>
                <w:u w:val="none"/>
              </w:rPr>
              <w:t>职工办公生活污水、车辆清洗废水和场地雨污水</w:t>
            </w:r>
            <w:r>
              <w:rPr>
                <w:sz w:val="24"/>
                <w:u w:val="none"/>
              </w:rPr>
              <w:t>。</w:t>
            </w:r>
          </w:p>
          <w:p w14:paraId="0EC7EF90">
            <w:pPr>
              <w:snapToGrid w:val="0"/>
              <w:spacing w:line="360" w:lineRule="auto"/>
              <w:ind w:firstLine="482" w:firstLineChars="200"/>
              <w:rPr>
                <w:b/>
                <w:bCs/>
                <w:sz w:val="24"/>
                <w:u w:val="none"/>
              </w:rPr>
            </w:pPr>
            <w:r>
              <w:rPr>
                <w:rFonts w:hint="eastAsia"/>
                <w:b/>
                <w:bCs/>
                <w:sz w:val="24"/>
                <w:u w:val="none"/>
              </w:rPr>
              <w:t>（1）车辆清洗废水</w:t>
            </w:r>
          </w:p>
          <w:p w14:paraId="599A5611">
            <w:pPr>
              <w:snapToGrid w:val="0"/>
              <w:spacing w:line="360" w:lineRule="auto"/>
              <w:ind w:firstLine="480" w:firstLineChars="200"/>
              <w:rPr>
                <w:sz w:val="24"/>
                <w:u w:val="none"/>
              </w:rPr>
            </w:pPr>
            <w:r>
              <w:rPr>
                <w:rFonts w:hint="eastAsia" w:hAnsi="Calibri"/>
                <w:bCs/>
                <w:sz w:val="24"/>
                <w:u w:val="none"/>
              </w:rPr>
              <w:t>根据水平衡分析，</w:t>
            </w:r>
            <w:r>
              <w:rPr>
                <w:rFonts w:hint="eastAsia"/>
                <w:bCs/>
                <w:sz w:val="24"/>
                <w:u w:val="none"/>
              </w:rPr>
              <w:t>项目车辆清洗废水</w:t>
            </w:r>
            <w:r>
              <w:rPr>
                <w:rFonts w:hint="eastAsia"/>
                <w:sz w:val="24"/>
                <w:u w:val="none"/>
              </w:rPr>
              <w:t>量为10.98m</w:t>
            </w:r>
            <w:r>
              <w:rPr>
                <w:rFonts w:hint="eastAsia"/>
                <w:sz w:val="24"/>
                <w:u w:val="none"/>
                <w:vertAlign w:val="superscript"/>
              </w:rPr>
              <w:t>3</w:t>
            </w:r>
            <w:r>
              <w:rPr>
                <w:rFonts w:hint="eastAsia"/>
                <w:sz w:val="24"/>
                <w:u w:val="none"/>
              </w:rPr>
              <w:t>/d（3294m</w:t>
            </w:r>
            <w:r>
              <w:rPr>
                <w:rFonts w:hint="eastAsia"/>
                <w:sz w:val="24"/>
                <w:u w:val="none"/>
                <w:vertAlign w:val="superscript"/>
              </w:rPr>
              <w:t>3</w:t>
            </w:r>
            <w:r>
              <w:rPr>
                <w:rFonts w:hint="eastAsia"/>
                <w:sz w:val="24"/>
                <w:u w:val="none"/>
              </w:rPr>
              <w:t>/a），</w:t>
            </w:r>
            <w:r>
              <w:rPr>
                <w:sz w:val="24"/>
                <w:u w:val="none"/>
              </w:rPr>
              <w:t>主要污染因子为SS，浓度约为3000mg/</w:t>
            </w:r>
            <w:r>
              <w:rPr>
                <w:rFonts w:hint="eastAsia"/>
                <w:sz w:val="24"/>
                <w:u w:val="none"/>
              </w:rPr>
              <w:t>m</w:t>
            </w:r>
            <w:r>
              <w:rPr>
                <w:rFonts w:hint="eastAsia"/>
                <w:sz w:val="24"/>
                <w:u w:val="none"/>
                <w:vertAlign w:val="superscript"/>
              </w:rPr>
              <w:t>3</w:t>
            </w:r>
            <w:r>
              <w:rPr>
                <w:rFonts w:hint="eastAsia"/>
                <w:bCs/>
                <w:sz w:val="24"/>
                <w:u w:val="none"/>
              </w:rPr>
              <w:t>。建设单位拟在项目区设置1个容积为54m</w:t>
            </w:r>
            <w:r>
              <w:rPr>
                <w:rFonts w:hint="eastAsia"/>
                <w:bCs/>
                <w:sz w:val="24"/>
                <w:u w:val="none"/>
                <w:vertAlign w:val="superscript"/>
              </w:rPr>
              <w:t>3</w:t>
            </w:r>
            <w:r>
              <w:rPr>
                <w:rFonts w:hint="eastAsia"/>
                <w:bCs/>
                <w:sz w:val="24"/>
                <w:u w:val="none"/>
              </w:rPr>
              <w:t>的车辆清洗废水沉淀池，车辆清洗废水经车辆清洗废水沉淀池沉淀处理后全部回用于运输车辆清洗。</w:t>
            </w:r>
          </w:p>
          <w:p w14:paraId="395A0026">
            <w:pPr>
              <w:snapToGrid w:val="0"/>
              <w:spacing w:line="360" w:lineRule="auto"/>
              <w:ind w:firstLine="482" w:firstLineChars="200"/>
              <w:rPr>
                <w:b/>
                <w:sz w:val="24"/>
                <w:u w:val="none"/>
              </w:rPr>
            </w:pPr>
            <w:r>
              <w:rPr>
                <w:rFonts w:hint="eastAsia"/>
                <w:b/>
                <w:sz w:val="24"/>
                <w:u w:val="none"/>
              </w:rPr>
              <w:t>（2）场地雨污水</w:t>
            </w:r>
          </w:p>
          <w:p w14:paraId="02BC0EEB">
            <w:pPr>
              <w:wordWrap w:val="0"/>
              <w:snapToGrid w:val="0"/>
              <w:spacing w:line="360" w:lineRule="auto"/>
              <w:ind w:firstLine="480" w:firstLineChars="200"/>
              <w:rPr>
                <w:bCs/>
                <w:sz w:val="24"/>
                <w:u w:val="none"/>
              </w:rPr>
            </w:pPr>
            <w:r>
              <w:rPr>
                <w:rFonts w:hint="eastAsia"/>
                <w:sz w:val="24"/>
                <w:u w:val="none"/>
              </w:rPr>
              <w:t>根据水平衡分析，</w:t>
            </w:r>
            <w:r>
              <w:rPr>
                <w:bCs/>
                <w:sz w:val="24"/>
                <w:u w:val="none"/>
              </w:rPr>
              <w:t>项目场地雨污水产生量为</w:t>
            </w:r>
            <w:r>
              <w:rPr>
                <w:rFonts w:hint="eastAsia"/>
                <w:bCs/>
                <w:sz w:val="24"/>
                <w:u w:val="none"/>
              </w:rPr>
              <w:t>5.6</w:t>
            </w:r>
            <w:r>
              <w:rPr>
                <w:bCs/>
                <w:sz w:val="24"/>
                <w:u w:val="none"/>
              </w:rPr>
              <w:t>m</w:t>
            </w:r>
            <w:r>
              <w:rPr>
                <w:bCs/>
                <w:sz w:val="24"/>
                <w:u w:val="none"/>
                <w:vertAlign w:val="superscript"/>
              </w:rPr>
              <w:t>3</w:t>
            </w:r>
            <w:r>
              <w:rPr>
                <w:bCs/>
                <w:sz w:val="24"/>
                <w:u w:val="none"/>
              </w:rPr>
              <w:t>/</w:t>
            </w:r>
            <w:r>
              <w:rPr>
                <w:rFonts w:hint="eastAsia"/>
                <w:bCs/>
                <w:sz w:val="24"/>
                <w:u w:val="none"/>
              </w:rPr>
              <w:t>次，雨天按140天计，</w:t>
            </w:r>
            <w:r>
              <w:rPr>
                <w:bCs/>
                <w:sz w:val="24"/>
                <w:u w:val="none"/>
              </w:rPr>
              <w:t>场地雨污水产生量为</w:t>
            </w:r>
            <w:r>
              <w:rPr>
                <w:rFonts w:hint="eastAsia"/>
                <w:bCs/>
                <w:sz w:val="24"/>
                <w:u w:val="none"/>
              </w:rPr>
              <w:t>784</w:t>
            </w:r>
            <w:r>
              <w:rPr>
                <w:bCs/>
                <w:sz w:val="24"/>
                <w:u w:val="none"/>
              </w:rPr>
              <w:t>m</w:t>
            </w:r>
            <w:r>
              <w:rPr>
                <w:bCs/>
                <w:sz w:val="24"/>
                <w:u w:val="none"/>
                <w:vertAlign w:val="superscript"/>
              </w:rPr>
              <w:t>3</w:t>
            </w:r>
            <w:r>
              <w:rPr>
                <w:bCs/>
                <w:sz w:val="24"/>
                <w:u w:val="none"/>
              </w:rPr>
              <w:t>/</w:t>
            </w:r>
            <w:r>
              <w:rPr>
                <w:rFonts w:hint="eastAsia"/>
                <w:bCs/>
                <w:sz w:val="24"/>
                <w:u w:val="none"/>
              </w:rPr>
              <w:t>a，</w:t>
            </w:r>
            <w:r>
              <w:rPr>
                <w:sz w:val="24"/>
                <w:u w:val="none"/>
              </w:rPr>
              <w:t>主要污染因子为SS，浓度约为2000mg/</w:t>
            </w:r>
            <w:r>
              <w:rPr>
                <w:rFonts w:hint="eastAsia"/>
                <w:sz w:val="24"/>
                <w:u w:val="none"/>
              </w:rPr>
              <w:t>m</w:t>
            </w:r>
            <w:r>
              <w:rPr>
                <w:rFonts w:hint="eastAsia"/>
                <w:sz w:val="24"/>
                <w:u w:val="none"/>
                <w:vertAlign w:val="superscript"/>
              </w:rPr>
              <w:t>3</w:t>
            </w:r>
            <w:r>
              <w:rPr>
                <w:bCs/>
                <w:sz w:val="24"/>
                <w:u w:val="none"/>
              </w:rPr>
              <w:t>。</w:t>
            </w:r>
            <w:r>
              <w:rPr>
                <w:rFonts w:hint="eastAsia"/>
                <w:bCs/>
                <w:sz w:val="24"/>
                <w:u w:val="none"/>
              </w:rPr>
              <w:t>建设单位拟在项目区设置1个容积为144m</w:t>
            </w:r>
            <w:r>
              <w:rPr>
                <w:rFonts w:hint="eastAsia"/>
                <w:bCs/>
                <w:sz w:val="24"/>
                <w:u w:val="none"/>
                <w:vertAlign w:val="superscript"/>
              </w:rPr>
              <w:t>3</w:t>
            </w:r>
            <w:r>
              <w:rPr>
                <w:rFonts w:hint="eastAsia"/>
                <w:bCs/>
                <w:sz w:val="24"/>
                <w:u w:val="none"/>
              </w:rPr>
              <w:t>的场地雨污水收集池，场地雨污水经场地雨污水收集池沉淀处理后回用于大棚喷雾</w:t>
            </w:r>
            <w:r>
              <w:rPr>
                <w:rFonts w:hint="eastAsia"/>
                <w:sz w:val="24"/>
                <w:u w:val="none"/>
              </w:rPr>
              <w:t>降尘、车辆清洗</w:t>
            </w:r>
            <w:r>
              <w:rPr>
                <w:rFonts w:hint="eastAsia"/>
                <w:bCs/>
                <w:sz w:val="24"/>
                <w:u w:val="none"/>
              </w:rPr>
              <w:t>。</w:t>
            </w:r>
          </w:p>
          <w:p w14:paraId="09745A64">
            <w:pPr>
              <w:snapToGrid w:val="0"/>
              <w:spacing w:line="360" w:lineRule="auto"/>
              <w:ind w:firstLine="482" w:firstLineChars="200"/>
              <w:rPr>
                <w:b/>
                <w:bCs/>
                <w:sz w:val="24"/>
                <w:u w:val="none"/>
              </w:rPr>
            </w:pPr>
            <w:r>
              <w:rPr>
                <w:rFonts w:hint="eastAsia"/>
                <w:b/>
                <w:bCs/>
                <w:sz w:val="24"/>
                <w:u w:val="none"/>
              </w:rPr>
              <w:t>（3）职工办公生活污水</w:t>
            </w:r>
          </w:p>
          <w:p w14:paraId="52CECA9C">
            <w:pPr>
              <w:pStyle w:val="49"/>
              <w:adjustRightInd/>
              <w:snapToGrid/>
              <w:spacing w:line="360" w:lineRule="auto"/>
              <w:ind w:firstLine="480" w:firstLineChars="200"/>
              <w:jc w:val="both"/>
              <w:rPr>
                <w:u w:val="none"/>
              </w:rPr>
            </w:pPr>
            <w:r>
              <w:rPr>
                <w:rFonts w:hint="eastAsia"/>
                <w:bCs/>
                <w:u w:val="none"/>
              </w:rPr>
              <w:t>根据水平衡分析，</w:t>
            </w:r>
            <w:r>
              <w:rPr>
                <w:bCs/>
                <w:u w:val="none"/>
              </w:rPr>
              <w:t>项目</w:t>
            </w:r>
            <w:r>
              <w:rPr>
                <w:rFonts w:hint="eastAsia"/>
                <w:bCs/>
                <w:u w:val="none"/>
              </w:rPr>
              <w:t>职工办公生活污水产生量为0.2</w:t>
            </w:r>
            <w:r>
              <w:rPr>
                <w:bCs/>
                <w:u w:val="none"/>
              </w:rPr>
              <w:t>m</w:t>
            </w:r>
            <w:r>
              <w:rPr>
                <w:bCs/>
                <w:u w:val="none"/>
                <w:vertAlign w:val="superscript"/>
              </w:rPr>
              <w:t>3</w:t>
            </w:r>
            <w:r>
              <w:rPr>
                <w:bCs/>
                <w:u w:val="none"/>
              </w:rPr>
              <w:t>/</w:t>
            </w:r>
            <w:r>
              <w:rPr>
                <w:rFonts w:hint="eastAsia"/>
                <w:bCs/>
                <w:u w:val="none"/>
              </w:rPr>
              <w:t>d，60</w:t>
            </w:r>
            <w:r>
              <w:rPr>
                <w:bCs/>
                <w:u w:val="none"/>
              </w:rPr>
              <w:t>m</w:t>
            </w:r>
            <w:r>
              <w:rPr>
                <w:bCs/>
                <w:u w:val="none"/>
                <w:vertAlign w:val="superscript"/>
              </w:rPr>
              <w:t>3</w:t>
            </w:r>
            <w:r>
              <w:rPr>
                <w:bCs/>
                <w:u w:val="none"/>
              </w:rPr>
              <w:t>/a</w:t>
            </w:r>
            <w:r>
              <w:rPr>
                <w:rFonts w:hint="eastAsia"/>
                <w:bCs/>
                <w:u w:val="none"/>
              </w:rPr>
              <w:t>。建设单位拟在项目区设置1个容积为5m</w:t>
            </w:r>
            <w:r>
              <w:rPr>
                <w:rFonts w:hint="eastAsia"/>
                <w:bCs/>
                <w:u w:val="none"/>
                <w:vertAlign w:val="superscript"/>
              </w:rPr>
              <w:t>3</w:t>
            </w:r>
            <w:r>
              <w:rPr>
                <w:rFonts w:hint="eastAsia"/>
                <w:bCs/>
                <w:u w:val="none"/>
              </w:rPr>
              <w:t>的化粪池、1个容积为1.5m</w:t>
            </w:r>
            <w:r>
              <w:rPr>
                <w:rFonts w:hint="eastAsia"/>
                <w:bCs/>
                <w:u w:val="none"/>
                <w:vertAlign w:val="superscript"/>
              </w:rPr>
              <w:t>3</w:t>
            </w:r>
            <w:r>
              <w:rPr>
                <w:rFonts w:hint="eastAsia"/>
                <w:bCs/>
                <w:u w:val="none"/>
              </w:rPr>
              <w:t>的清水池和1套处理能力为1m</w:t>
            </w:r>
            <w:r>
              <w:rPr>
                <w:rFonts w:hint="eastAsia"/>
                <w:bCs/>
                <w:u w:val="none"/>
                <w:vertAlign w:val="superscript"/>
              </w:rPr>
              <w:t>3</w:t>
            </w:r>
            <w:r>
              <w:rPr>
                <w:rFonts w:hint="eastAsia"/>
                <w:bCs/>
                <w:u w:val="none"/>
              </w:rPr>
              <w:t>/d的一体化污水处理站，</w:t>
            </w:r>
            <w:r>
              <w:rPr>
                <w:bCs/>
                <w:u w:val="none"/>
              </w:rPr>
              <w:t>职工办公生活污水经化粪池处理后排入1套处理能力为1m</w:t>
            </w:r>
            <w:r>
              <w:rPr>
                <w:bCs/>
                <w:u w:val="none"/>
                <w:vertAlign w:val="superscript"/>
              </w:rPr>
              <w:t>3</w:t>
            </w:r>
            <w:r>
              <w:rPr>
                <w:bCs/>
                <w:u w:val="none"/>
              </w:rPr>
              <w:t>/d的一体化污水处理站处理</w:t>
            </w:r>
            <w:r>
              <w:rPr>
                <w:bCs/>
                <w:u w:val="none"/>
                <w:lang w:val="zh-TW"/>
              </w:rPr>
              <w:t>，</w:t>
            </w:r>
            <w:r>
              <w:rPr>
                <w:rFonts w:hint="eastAsia"/>
                <w:u w:val="none"/>
                <w:lang w:val="zh-TW"/>
              </w:rPr>
              <w:t>处理达</w:t>
            </w:r>
            <w:r>
              <w:rPr>
                <w:rFonts w:hint="eastAsia"/>
                <w:u w:val="none"/>
              </w:rPr>
              <w:t>到</w:t>
            </w:r>
            <w:r>
              <w:rPr>
                <w:rFonts w:hint="eastAsia"/>
                <w:u w:val="none"/>
                <w:lang w:val="zh-TW"/>
              </w:rPr>
              <w:t>《农田灌溉水质标准》（GB5084-2021）中蔬菜标准限值后，采用密闭运输工具清运用于周边旱地、种植基地及菜地灌溉</w:t>
            </w:r>
            <w:r>
              <w:rPr>
                <w:rFonts w:hint="eastAsia"/>
                <w:u w:val="none"/>
              </w:rPr>
              <w:t>。参照《生活污染源产排污系数手册》，结合同类项目实际情况，此部分污水水质情况约为COD</w:t>
            </w:r>
            <w:r>
              <w:rPr>
                <w:rFonts w:hint="eastAsia"/>
                <w:u w:val="none"/>
                <w:vertAlign w:val="subscript"/>
              </w:rPr>
              <w:t>cr</w:t>
            </w:r>
            <w:r>
              <w:rPr>
                <w:rFonts w:hint="eastAsia"/>
                <w:u w:val="none"/>
              </w:rPr>
              <w:t>：325mg/L、BOD</w:t>
            </w:r>
            <w:r>
              <w:rPr>
                <w:rFonts w:hint="eastAsia"/>
                <w:u w:val="none"/>
                <w:vertAlign w:val="subscript"/>
              </w:rPr>
              <w:t>5</w:t>
            </w:r>
            <w:r>
              <w:rPr>
                <w:rFonts w:hint="eastAsia"/>
                <w:u w:val="none"/>
              </w:rPr>
              <w:t>：200mg/L、SS：220mg/L、</w:t>
            </w:r>
            <w:r>
              <w:rPr>
                <w:u w:val="none"/>
              </w:rPr>
              <w:t>NH</w:t>
            </w:r>
            <w:r>
              <w:rPr>
                <w:u w:val="none"/>
                <w:vertAlign w:val="subscript"/>
              </w:rPr>
              <w:t>3</w:t>
            </w:r>
            <w:r>
              <w:rPr>
                <w:u w:val="none"/>
              </w:rPr>
              <w:t>-N</w:t>
            </w:r>
            <w:r>
              <w:rPr>
                <w:rFonts w:hint="eastAsia"/>
                <w:u w:val="none"/>
              </w:rPr>
              <w:t>：37.7mg/L</w:t>
            </w:r>
            <w:r>
              <w:rPr>
                <w:u w:val="none"/>
              </w:rPr>
              <w:t>。</w:t>
            </w:r>
          </w:p>
          <w:p w14:paraId="0F7F8C63">
            <w:pPr>
              <w:pStyle w:val="23"/>
              <w:adjustRightInd w:val="0"/>
              <w:spacing w:line="360" w:lineRule="auto"/>
              <w:ind w:firstLine="480" w:firstLineChars="200"/>
              <w:rPr>
                <w:bCs/>
                <w:sz w:val="24"/>
                <w:szCs w:val="24"/>
                <w:u w:val="none"/>
              </w:rPr>
            </w:pPr>
            <w:r>
              <w:rPr>
                <w:bCs/>
                <w:sz w:val="24"/>
                <w:szCs w:val="24"/>
                <w:u w:val="none"/>
              </w:rPr>
              <w:t>本项目废水产排情况统计详见下表。</w:t>
            </w:r>
          </w:p>
          <w:p w14:paraId="7AFA6612">
            <w:pPr>
              <w:pStyle w:val="48"/>
              <w:adjustRightInd/>
              <w:snapToGrid/>
              <w:spacing w:line="360" w:lineRule="auto"/>
              <w:rPr>
                <w:sz w:val="21"/>
                <w:szCs w:val="21"/>
                <w:u w:val="none"/>
              </w:rPr>
            </w:pPr>
            <w:r>
              <w:rPr>
                <w:sz w:val="21"/>
                <w:szCs w:val="21"/>
                <w:u w:val="none"/>
              </w:rPr>
              <w:t>表4-</w:t>
            </w:r>
            <w:r>
              <w:rPr>
                <w:rFonts w:hint="eastAsia"/>
                <w:sz w:val="21"/>
                <w:szCs w:val="21"/>
                <w:u w:val="none"/>
              </w:rPr>
              <w:t>3</w:t>
            </w:r>
            <w:r>
              <w:rPr>
                <w:sz w:val="21"/>
                <w:szCs w:val="21"/>
                <w:u w:val="none"/>
              </w:rPr>
              <w:t xml:space="preserve">   废水产排情况统计表</w:t>
            </w:r>
          </w:p>
          <w:tbl>
            <w:tblPr>
              <w:tblStyle w:val="37"/>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7"/>
              <w:gridCol w:w="600"/>
              <w:gridCol w:w="993"/>
              <w:gridCol w:w="825"/>
              <w:gridCol w:w="735"/>
              <w:gridCol w:w="480"/>
              <w:gridCol w:w="673"/>
              <w:gridCol w:w="569"/>
              <w:gridCol w:w="824"/>
              <w:gridCol w:w="756"/>
              <w:gridCol w:w="448"/>
              <w:gridCol w:w="1061"/>
            </w:tblGrid>
            <w:tr w14:paraId="4E91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restart"/>
                  <w:noWrap/>
                  <w:vAlign w:val="center"/>
                </w:tcPr>
                <w:p w14:paraId="3883659D">
                  <w:pPr>
                    <w:pStyle w:val="129"/>
                    <w:rPr>
                      <w:b/>
                      <w:bCs/>
                      <w:sz w:val="18"/>
                      <w:szCs w:val="18"/>
                      <w:u w:val="none"/>
                    </w:rPr>
                  </w:pPr>
                  <w:r>
                    <w:rPr>
                      <w:b/>
                      <w:bCs/>
                      <w:sz w:val="18"/>
                      <w:szCs w:val="18"/>
                      <w:u w:val="none"/>
                    </w:rPr>
                    <w:t>序号</w:t>
                  </w:r>
                </w:p>
              </w:tc>
              <w:tc>
                <w:tcPr>
                  <w:tcW w:w="600" w:type="dxa"/>
                  <w:vMerge w:val="restart"/>
                  <w:noWrap/>
                  <w:vAlign w:val="center"/>
                </w:tcPr>
                <w:p w14:paraId="0D61947E">
                  <w:pPr>
                    <w:pStyle w:val="129"/>
                    <w:rPr>
                      <w:b/>
                      <w:bCs/>
                      <w:sz w:val="18"/>
                      <w:szCs w:val="18"/>
                      <w:u w:val="none"/>
                    </w:rPr>
                  </w:pPr>
                  <w:r>
                    <w:rPr>
                      <w:b/>
                      <w:bCs/>
                      <w:sz w:val="18"/>
                      <w:szCs w:val="18"/>
                      <w:u w:val="none"/>
                    </w:rPr>
                    <w:t>产排污环节</w:t>
                  </w:r>
                </w:p>
              </w:tc>
              <w:tc>
                <w:tcPr>
                  <w:tcW w:w="993" w:type="dxa"/>
                  <w:vMerge w:val="restart"/>
                  <w:noWrap/>
                  <w:vAlign w:val="center"/>
                </w:tcPr>
                <w:p w14:paraId="507AB0F7">
                  <w:pPr>
                    <w:pStyle w:val="129"/>
                    <w:rPr>
                      <w:b/>
                      <w:bCs/>
                      <w:sz w:val="18"/>
                      <w:szCs w:val="18"/>
                      <w:u w:val="none"/>
                    </w:rPr>
                  </w:pPr>
                  <w:r>
                    <w:rPr>
                      <w:b/>
                      <w:bCs/>
                      <w:sz w:val="18"/>
                      <w:szCs w:val="18"/>
                      <w:u w:val="none"/>
                    </w:rPr>
                    <w:t>污染物种类</w:t>
                  </w:r>
                </w:p>
              </w:tc>
              <w:tc>
                <w:tcPr>
                  <w:tcW w:w="1560" w:type="dxa"/>
                  <w:gridSpan w:val="2"/>
                  <w:noWrap/>
                  <w:vAlign w:val="center"/>
                </w:tcPr>
                <w:p w14:paraId="784824CB">
                  <w:pPr>
                    <w:pStyle w:val="129"/>
                    <w:rPr>
                      <w:b/>
                      <w:bCs/>
                      <w:sz w:val="18"/>
                      <w:szCs w:val="18"/>
                      <w:u w:val="none"/>
                    </w:rPr>
                  </w:pPr>
                  <w:r>
                    <w:rPr>
                      <w:b/>
                      <w:bCs/>
                      <w:sz w:val="18"/>
                      <w:szCs w:val="18"/>
                      <w:u w:val="none"/>
                    </w:rPr>
                    <w:t>污染物产生情况</w:t>
                  </w:r>
                </w:p>
              </w:tc>
              <w:tc>
                <w:tcPr>
                  <w:tcW w:w="480" w:type="dxa"/>
                  <w:vMerge w:val="restart"/>
                  <w:noWrap/>
                  <w:vAlign w:val="center"/>
                </w:tcPr>
                <w:p w14:paraId="4318FABA">
                  <w:pPr>
                    <w:pStyle w:val="129"/>
                    <w:rPr>
                      <w:b/>
                      <w:bCs/>
                      <w:sz w:val="18"/>
                      <w:szCs w:val="18"/>
                      <w:u w:val="none"/>
                    </w:rPr>
                  </w:pPr>
                  <w:r>
                    <w:rPr>
                      <w:b/>
                      <w:bCs/>
                      <w:sz w:val="18"/>
                      <w:szCs w:val="18"/>
                      <w:u w:val="none"/>
                    </w:rPr>
                    <w:t>排放形式</w:t>
                  </w:r>
                </w:p>
                <w:p w14:paraId="4AAED65A">
                  <w:pPr>
                    <w:pStyle w:val="129"/>
                    <w:rPr>
                      <w:b/>
                      <w:bCs/>
                      <w:sz w:val="18"/>
                      <w:szCs w:val="18"/>
                      <w:u w:val="none"/>
                    </w:rPr>
                  </w:pPr>
                </w:p>
              </w:tc>
              <w:tc>
                <w:tcPr>
                  <w:tcW w:w="2822" w:type="dxa"/>
                  <w:gridSpan w:val="4"/>
                  <w:noWrap/>
                  <w:vAlign w:val="center"/>
                </w:tcPr>
                <w:p w14:paraId="0EF2EF39">
                  <w:pPr>
                    <w:pStyle w:val="129"/>
                    <w:rPr>
                      <w:b/>
                      <w:bCs/>
                      <w:sz w:val="18"/>
                      <w:szCs w:val="18"/>
                      <w:u w:val="none"/>
                    </w:rPr>
                  </w:pPr>
                  <w:r>
                    <w:rPr>
                      <w:b/>
                      <w:bCs/>
                      <w:sz w:val="18"/>
                      <w:szCs w:val="18"/>
                      <w:u w:val="none"/>
                    </w:rPr>
                    <w:t>治理设施情况</w:t>
                  </w:r>
                </w:p>
              </w:tc>
              <w:tc>
                <w:tcPr>
                  <w:tcW w:w="448" w:type="dxa"/>
                  <w:vMerge w:val="restart"/>
                  <w:noWrap/>
                  <w:vAlign w:val="center"/>
                </w:tcPr>
                <w:p w14:paraId="47BC0056">
                  <w:pPr>
                    <w:pStyle w:val="129"/>
                    <w:rPr>
                      <w:b/>
                      <w:bCs/>
                      <w:sz w:val="18"/>
                      <w:szCs w:val="18"/>
                      <w:u w:val="none"/>
                    </w:rPr>
                  </w:pPr>
                  <w:r>
                    <w:rPr>
                      <w:b/>
                      <w:bCs/>
                      <w:sz w:val="18"/>
                      <w:szCs w:val="18"/>
                      <w:u w:val="none"/>
                    </w:rPr>
                    <w:t>污染物排放情况</w:t>
                  </w:r>
                </w:p>
              </w:tc>
              <w:tc>
                <w:tcPr>
                  <w:tcW w:w="1061" w:type="dxa"/>
                  <w:vMerge w:val="restart"/>
                  <w:noWrap/>
                  <w:vAlign w:val="center"/>
                </w:tcPr>
                <w:p w14:paraId="2A97EE06">
                  <w:pPr>
                    <w:pStyle w:val="129"/>
                    <w:rPr>
                      <w:b/>
                      <w:bCs/>
                      <w:sz w:val="18"/>
                      <w:szCs w:val="18"/>
                      <w:u w:val="none"/>
                    </w:rPr>
                  </w:pPr>
                  <w:r>
                    <w:rPr>
                      <w:b/>
                      <w:bCs/>
                      <w:sz w:val="18"/>
                      <w:szCs w:val="18"/>
                      <w:u w:val="none"/>
                    </w:rPr>
                    <w:t>备注</w:t>
                  </w:r>
                </w:p>
              </w:tc>
            </w:tr>
            <w:tr w14:paraId="123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063E53A0">
                  <w:pPr>
                    <w:pStyle w:val="129"/>
                    <w:rPr>
                      <w:b/>
                      <w:bCs/>
                      <w:sz w:val="18"/>
                      <w:szCs w:val="18"/>
                      <w:u w:val="none"/>
                    </w:rPr>
                  </w:pPr>
                </w:p>
              </w:tc>
              <w:tc>
                <w:tcPr>
                  <w:tcW w:w="600" w:type="dxa"/>
                  <w:vMerge w:val="continue"/>
                  <w:noWrap/>
                  <w:vAlign w:val="center"/>
                </w:tcPr>
                <w:p w14:paraId="18A6E89E">
                  <w:pPr>
                    <w:pStyle w:val="129"/>
                    <w:rPr>
                      <w:b/>
                      <w:bCs/>
                      <w:sz w:val="18"/>
                      <w:szCs w:val="18"/>
                      <w:u w:val="none"/>
                    </w:rPr>
                  </w:pPr>
                </w:p>
              </w:tc>
              <w:tc>
                <w:tcPr>
                  <w:tcW w:w="993" w:type="dxa"/>
                  <w:vMerge w:val="continue"/>
                  <w:noWrap/>
                  <w:vAlign w:val="center"/>
                </w:tcPr>
                <w:p w14:paraId="1DFD0F9D">
                  <w:pPr>
                    <w:pStyle w:val="129"/>
                    <w:rPr>
                      <w:b/>
                      <w:bCs/>
                      <w:sz w:val="18"/>
                      <w:szCs w:val="18"/>
                      <w:u w:val="none"/>
                    </w:rPr>
                  </w:pPr>
                </w:p>
              </w:tc>
              <w:tc>
                <w:tcPr>
                  <w:tcW w:w="825" w:type="dxa"/>
                  <w:noWrap/>
                  <w:vAlign w:val="center"/>
                </w:tcPr>
                <w:p w14:paraId="693A5E71">
                  <w:pPr>
                    <w:pStyle w:val="129"/>
                    <w:rPr>
                      <w:b/>
                      <w:bCs/>
                      <w:sz w:val="18"/>
                      <w:szCs w:val="18"/>
                      <w:u w:val="none"/>
                    </w:rPr>
                  </w:pPr>
                  <w:r>
                    <w:rPr>
                      <w:b/>
                      <w:bCs/>
                      <w:sz w:val="18"/>
                      <w:szCs w:val="18"/>
                      <w:u w:val="none"/>
                    </w:rPr>
                    <w:t>产生量t/a</w:t>
                  </w:r>
                </w:p>
              </w:tc>
              <w:tc>
                <w:tcPr>
                  <w:tcW w:w="735" w:type="dxa"/>
                  <w:noWrap/>
                  <w:vAlign w:val="center"/>
                </w:tcPr>
                <w:p w14:paraId="4CB3B816">
                  <w:pPr>
                    <w:pStyle w:val="129"/>
                    <w:rPr>
                      <w:b/>
                      <w:bCs/>
                      <w:sz w:val="18"/>
                      <w:szCs w:val="18"/>
                      <w:u w:val="none"/>
                    </w:rPr>
                  </w:pPr>
                  <w:r>
                    <w:rPr>
                      <w:b/>
                      <w:bCs/>
                      <w:sz w:val="18"/>
                      <w:szCs w:val="18"/>
                      <w:u w:val="none"/>
                    </w:rPr>
                    <w:t>产生浓度mg/</w:t>
                  </w:r>
                  <w:r>
                    <w:rPr>
                      <w:rFonts w:hint="eastAsia"/>
                      <w:b/>
                      <w:bCs/>
                      <w:sz w:val="18"/>
                      <w:szCs w:val="18"/>
                      <w:u w:val="none"/>
                    </w:rPr>
                    <w:t>m</w:t>
                  </w:r>
                  <w:r>
                    <w:rPr>
                      <w:rFonts w:hint="eastAsia"/>
                      <w:b/>
                      <w:bCs/>
                      <w:sz w:val="18"/>
                      <w:szCs w:val="18"/>
                      <w:u w:val="none"/>
                      <w:vertAlign w:val="superscript"/>
                    </w:rPr>
                    <w:t>3</w:t>
                  </w:r>
                </w:p>
              </w:tc>
              <w:tc>
                <w:tcPr>
                  <w:tcW w:w="480" w:type="dxa"/>
                  <w:vMerge w:val="continue"/>
                  <w:vAlign w:val="center"/>
                </w:tcPr>
                <w:p w14:paraId="37590F29">
                  <w:pPr>
                    <w:pStyle w:val="129"/>
                    <w:rPr>
                      <w:b/>
                      <w:bCs/>
                      <w:sz w:val="18"/>
                      <w:szCs w:val="18"/>
                      <w:u w:val="none"/>
                    </w:rPr>
                  </w:pPr>
                </w:p>
              </w:tc>
              <w:tc>
                <w:tcPr>
                  <w:tcW w:w="673" w:type="dxa"/>
                  <w:noWrap/>
                  <w:vAlign w:val="center"/>
                </w:tcPr>
                <w:p w14:paraId="59CD1CCA">
                  <w:pPr>
                    <w:pStyle w:val="129"/>
                    <w:rPr>
                      <w:b/>
                      <w:bCs/>
                      <w:sz w:val="18"/>
                      <w:szCs w:val="18"/>
                      <w:u w:val="none"/>
                    </w:rPr>
                  </w:pPr>
                  <w:r>
                    <w:rPr>
                      <w:b/>
                      <w:bCs/>
                      <w:sz w:val="18"/>
                      <w:szCs w:val="18"/>
                      <w:u w:val="none"/>
                    </w:rPr>
                    <w:t>治理设施</w:t>
                  </w:r>
                </w:p>
              </w:tc>
              <w:tc>
                <w:tcPr>
                  <w:tcW w:w="569" w:type="dxa"/>
                  <w:noWrap/>
                  <w:vAlign w:val="center"/>
                </w:tcPr>
                <w:p w14:paraId="42626496">
                  <w:pPr>
                    <w:pStyle w:val="129"/>
                    <w:rPr>
                      <w:b/>
                      <w:bCs/>
                      <w:sz w:val="18"/>
                      <w:szCs w:val="18"/>
                      <w:u w:val="none"/>
                    </w:rPr>
                  </w:pPr>
                  <w:r>
                    <w:rPr>
                      <w:b/>
                      <w:bCs/>
                      <w:sz w:val="18"/>
                      <w:szCs w:val="18"/>
                      <w:u w:val="none"/>
                    </w:rPr>
                    <w:t>收集效率</w:t>
                  </w:r>
                </w:p>
              </w:tc>
              <w:tc>
                <w:tcPr>
                  <w:tcW w:w="824" w:type="dxa"/>
                  <w:noWrap/>
                  <w:vAlign w:val="center"/>
                </w:tcPr>
                <w:p w14:paraId="3A9E7D74">
                  <w:pPr>
                    <w:pStyle w:val="129"/>
                    <w:rPr>
                      <w:b/>
                      <w:bCs/>
                      <w:sz w:val="18"/>
                      <w:szCs w:val="18"/>
                      <w:u w:val="none"/>
                    </w:rPr>
                  </w:pPr>
                  <w:r>
                    <w:rPr>
                      <w:b/>
                      <w:bCs/>
                      <w:sz w:val="18"/>
                      <w:szCs w:val="18"/>
                      <w:u w:val="none"/>
                    </w:rPr>
                    <w:t>治理工艺去除率</w:t>
                  </w:r>
                </w:p>
              </w:tc>
              <w:tc>
                <w:tcPr>
                  <w:tcW w:w="756" w:type="dxa"/>
                  <w:noWrap/>
                  <w:vAlign w:val="center"/>
                </w:tcPr>
                <w:p w14:paraId="2F993A29">
                  <w:pPr>
                    <w:pStyle w:val="129"/>
                    <w:rPr>
                      <w:b/>
                      <w:bCs/>
                      <w:sz w:val="18"/>
                      <w:szCs w:val="18"/>
                      <w:u w:val="none"/>
                    </w:rPr>
                  </w:pPr>
                  <w:r>
                    <w:rPr>
                      <w:b/>
                      <w:bCs/>
                      <w:sz w:val="18"/>
                      <w:szCs w:val="18"/>
                      <w:u w:val="none"/>
                    </w:rPr>
                    <w:t>是否为可行技术</w:t>
                  </w:r>
                </w:p>
              </w:tc>
              <w:tc>
                <w:tcPr>
                  <w:tcW w:w="448" w:type="dxa"/>
                  <w:vMerge w:val="continue"/>
                  <w:noWrap/>
                  <w:vAlign w:val="center"/>
                </w:tcPr>
                <w:p w14:paraId="6B714240">
                  <w:pPr>
                    <w:pStyle w:val="129"/>
                    <w:rPr>
                      <w:sz w:val="18"/>
                      <w:szCs w:val="18"/>
                      <w:u w:val="none"/>
                    </w:rPr>
                  </w:pPr>
                </w:p>
              </w:tc>
              <w:tc>
                <w:tcPr>
                  <w:tcW w:w="1061" w:type="dxa"/>
                  <w:vMerge w:val="continue"/>
                  <w:noWrap/>
                  <w:vAlign w:val="center"/>
                </w:tcPr>
                <w:p w14:paraId="4514729A">
                  <w:pPr>
                    <w:pStyle w:val="129"/>
                    <w:rPr>
                      <w:sz w:val="18"/>
                      <w:szCs w:val="18"/>
                      <w:u w:val="none"/>
                    </w:rPr>
                  </w:pPr>
                </w:p>
              </w:tc>
            </w:tr>
            <w:tr w14:paraId="442B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7" w:type="dxa"/>
                  <w:vMerge w:val="restart"/>
                  <w:noWrap/>
                  <w:vAlign w:val="center"/>
                </w:tcPr>
                <w:p w14:paraId="100FB85F">
                  <w:pPr>
                    <w:pStyle w:val="129"/>
                    <w:rPr>
                      <w:sz w:val="18"/>
                      <w:szCs w:val="18"/>
                      <w:u w:val="none"/>
                    </w:rPr>
                  </w:pPr>
                  <w:r>
                    <w:rPr>
                      <w:sz w:val="18"/>
                      <w:szCs w:val="18"/>
                      <w:u w:val="none"/>
                    </w:rPr>
                    <w:t>1</w:t>
                  </w:r>
                </w:p>
              </w:tc>
              <w:tc>
                <w:tcPr>
                  <w:tcW w:w="600" w:type="dxa"/>
                  <w:vMerge w:val="restart"/>
                  <w:noWrap/>
                  <w:vAlign w:val="center"/>
                </w:tcPr>
                <w:p w14:paraId="198AC784">
                  <w:pPr>
                    <w:pStyle w:val="129"/>
                    <w:rPr>
                      <w:sz w:val="18"/>
                      <w:szCs w:val="18"/>
                      <w:u w:val="none"/>
                    </w:rPr>
                  </w:pPr>
                  <w:r>
                    <w:rPr>
                      <w:sz w:val="18"/>
                      <w:szCs w:val="18"/>
                      <w:u w:val="none"/>
                    </w:rPr>
                    <w:t>生活污水</w:t>
                  </w:r>
                </w:p>
              </w:tc>
              <w:tc>
                <w:tcPr>
                  <w:tcW w:w="993" w:type="dxa"/>
                  <w:noWrap/>
                  <w:vAlign w:val="center"/>
                </w:tcPr>
                <w:p w14:paraId="422DC6A6">
                  <w:pPr>
                    <w:pStyle w:val="129"/>
                    <w:rPr>
                      <w:sz w:val="18"/>
                      <w:szCs w:val="18"/>
                      <w:u w:val="none"/>
                    </w:rPr>
                  </w:pPr>
                  <w:r>
                    <w:rPr>
                      <w:sz w:val="18"/>
                      <w:szCs w:val="18"/>
                      <w:u w:val="none"/>
                    </w:rPr>
                    <w:t>废水量</w:t>
                  </w:r>
                </w:p>
              </w:tc>
              <w:tc>
                <w:tcPr>
                  <w:tcW w:w="825" w:type="dxa"/>
                  <w:noWrap/>
                  <w:vAlign w:val="center"/>
                </w:tcPr>
                <w:p w14:paraId="4276FEFA">
                  <w:pPr>
                    <w:pStyle w:val="129"/>
                    <w:rPr>
                      <w:sz w:val="18"/>
                      <w:szCs w:val="18"/>
                      <w:u w:val="none"/>
                    </w:rPr>
                  </w:pPr>
                  <w:r>
                    <w:rPr>
                      <w:rFonts w:hint="eastAsia"/>
                      <w:sz w:val="18"/>
                      <w:szCs w:val="18"/>
                      <w:u w:val="none"/>
                    </w:rPr>
                    <w:t>60m</w:t>
                  </w:r>
                  <w:r>
                    <w:rPr>
                      <w:rFonts w:hint="eastAsia"/>
                      <w:sz w:val="18"/>
                      <w:szCs w:val="18"/>
                      <w:u w:val="none"/>
                      <w:vertAlign w:val="superscript"/>
                    </w:rPr>
                    <w:t>3</w:t>
                  </w:r>
                  <w:r>
                    <w:rPr>
                      <w:sz w:val="18"/>
                      <w:szCs w:val="18"/>
                      <w:u w:val="none"/>
                    </w:rPr>
                    <w:t>/a</w:t>
                  </w:r>
                </w:p>
              </w:tc>
              <w:tc>
                <w:tcPr>
                  <w:tcW w:w="735" w:type="dxa"/>
                  <w:noWrap/>
                  <w:vAlign w:val="center"/>
                </w:tcPr>
                <w:p w14:paraId="696DDEA0">
                  <w:pPr>
                    <w:pStyle w:val="129"/>
                    <w:rPr>
                      <w:sz w:val="18"/>
                      <w:szCs w:val="18"/>
                      <w:u w:val="none"/>
                    </w:rPr>
                  </w:pPr>
                  <w:r>
                    <w:rPr>
                      <w:sz w:val="18"/>
                      <w:szCs w:val="18"/>
                      <w:u w:val="none"/>
                    </w:rPr>
                    <w:t>/</w:t>
                  </w:r>
                </w:p>
              </w:tc>
              <w:tc>
                <w:tcPr>
                  <w:tcW w:w="480" w:type="dxa"/>
                  <w:vMerge w:val="restart"/>
                  <w:vAlign w:val="center"/>
                </w:tcPr>
                <w:p w14:paraId="231974D6">
                  <w:pPr>
                    <w:pStyle w:val="129"/>
                    <w:rPr>
                      <w:sz w:val="18"/>
                      <w:szCs w:val="18"/>
                      <w:u w:val="none"/>
                    </w:rPr>
                  </w:pPr>
                  <w:r>
                    <w:rPr>
                      <w:sz w:val="18"/>
                      <w:szCs w:val="18"/>
                      <w:u w:val="none"/>
                    </w:rPr>
                    <w:t>不排放</w:t>
                  </w:r>
                </w:p>
              </w:tc>
              <w:tc>
                <w:tcPr>
                  <w:tcW w:w="673" w:type="dxa"/>
                  <w:vMerge w:val="restart"/>
                  <w:noWrap/>
                  <w:vAlign w:val="center"/>
                </w:tcPr>
                <w:p w14:paraId="704443F8">
                  <w:pPr>
                    <w:pStyle w:val="129"/>
                    <w:rPr>
                      <w:sz w:val="18"/>
                      <w:szCs w:val="18"/>
                      <w:u w:val="none"/>
                    </w:rPr>
                  </w:pPr>
                  <w:r>
                    <w:rPr>
                      <w:rFonts w:hint="eastAsia"/>
                      <w:sz w:val="18"/>
                      <w:szCs w:val="18"/>
                      <w:u w:val="none"/>
                    </w:rPr>
                    <w:t>一体化污水处理站</w:t>
                  </w:r>
                </w:p>
              </w:tc>
              <w:tc>
                <w:tcPr>
                  <w:tcW w:w="569" w:type="dxa"/>
                  <w:vMerge w:val="restart"/>
                  <w:noWrap/>
                  <w:vAlign w:val="center"/>
                </w:tcPr>
                <w:p w14:paraId="33831E58">
                  <w:pPr>
                    <w:pStyle w:val="129"/>
                    <w:rPr>
                      <w:sz w:val="18"/>
                      <w:szCs w:val="18"/>
                      <w:u w:val="none"/>
                    </w:rPr>
                  </w:pPr>
                  <w:r>
                    <w:rPr>
                      <w:sz w:val="18"/>
                      <w:szCs w:val="18"/>
                      <w:u w:val="none"/>
                    </w:rPr>
                    <w:t>100%</w:t>
                  </w:r>
                </w:p>
              </w:tc>
              <w:tc>
                <w:tcPr>
                  <w:tcW w:w="824" w:type="dxa"/>
                  <w:noWrap/>
                  <w:vAlign w:val="center"/>
                </w:tcPr>
                <w:p w14:paraId="58FAF42E">
                  <w:pPr>
                    <w:pStyle w:val="129"/>
                    <w:rPr>
                      <w:sz w:val="18"/>
                      <w:szCs w:val="18"/>
                      <w:u w:val="none"/>
                    </w:rPr>
                  </w:pPr>
                  <w:r>
                    <w:rPr>
                      <w:sz w:val="18"/>
                      <w:szCs w:val="18"/>
                      <w:u w:val="none"/>
                    </w:rPr>
                    <w:t>/</w:t>
                  </w:r>
                </w:p>
              </w:tc>
              <w:tc>
                <w:tcPr>
                  <w:tcW w:w="756" w:type="dxa"/>
                  <w:vMerge w:val="restart"/>
                  <w:noWrap/>
                  <w:vAlign w:val="center"/>
                </w:tcPr>
                <w:p w14:paraId="7FB14715">
                  <w:pPr>
                    <w:pStyle w:val="129"/>
                    <w:rPr>
                      <w:sz w:val="18"/>
                      <w:szCs w:val="18"/>
                      <w:u w:val="none"/>
                    </w:rPr>
                  </w:pPr>
                  <w:r>
                    <w:rPr>
                      <w:sz w:val="18"/>
                      <w:szCs w:val="18"/>
                      <w:u w:val="none"/>
                    </w:rPr>
                    <w:t>是</w:t>
                  </w:r>
                </w:p>
              </w:tc>
              <w:tc>
                <w:tcPr>
                  <w:tcW w:w="448" w:type="dxa"/>
                  <w:vMerge w:val="restart"/>
                  <w:noWrap/>
                  <w:vAlign w:val="center"/>
                </w:tcPr>
                <w:p w14:paraId="56BB7EA4">
                  <w:pPr>
                    <w:pStyle w:val="129"/>
                    <w:rPr>
                      <w:sz w:val="18"/>
                      <w:szCs w:val="18"/>
                      <w:u w:val="none"/>
                    </w:rPr>
                  </w:pPr>
                  <w:r>
                    <w:rPr>
                      <w:sz w:val="18"/>
                      <w:szCs w:val="18"/>
                      <w:u w:val="none"/>
                    </w:rPr>
                    <w:t>/</w:t>
                  </w:r>
                </w:p>
              </w:tc>
              <w:tc>
                <w:tcPr>
                  <w:tcW w:w="1061" w:type="dxa"/>
                  <w:vMerge w:val="restart"/>
                  <w:noWrap/>
                  <w:vAlign w:val="center"/>
                </w:tcPr>
                <w:p w14:paraId="7CBB2EC1">
                  <w:pPr>
                    <w:pStyle w:val="129"/>
                    <w:rPr>
                      <w:sz w:val="18"/>
                      <w:szCs w:val="18"/>
                      <w:u w:val="none"/>
                    </w:rPr>
                  </w:pPr>
                  <w:r>
                    <w:rPr>
                      <w:rFonts w:hint="eastAsia"/>
                      <w:sz w:val="18"/>
                      <w:szCs w:val="18"/>
                      <w:u w:val="none"/>
                    </w:rPr>
                    <w:t>回用于</w:t>
                  </w:r>
                  <w:r>
                    <w:rPr>
                      <w:rFonts w:hint="eastAsia"/>
                      <w:sz w:val="18"/>
                      <w:szCs w:val="18"/>
                      <w:u w:val="none"/>
                      <w:lang w:val="zh-TW"/>
                    </w:rPr>
                    <w:t>周边旱地、种植基地及菜地灌溉</w:t>
                  </w:r>
                </w:p>
              </w:tc>
            </w:tr>
            <w:tr w14:paraId="54EE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6E2882A5">
                  <w:pPr>
                    <w:pStyle w:val="129"/>
                    <w:rPr>
                      <w:sz w:val="18"/>
                      <w:szCs w:val="18"/>
                      <w:u w:val="none"/>
                    </w:rPr>
                  </w:pPr>
                </w:p>
              </w:tc>
              <w:tc>
                <w:tcPr>
                  <w:tcW w:w="600" w:type="dxa"/>
                  <w:vMerge w:val="continue"/>
                  <w:noWrap/>
                  <w:vAlign w:val="center"/>
                </w:tcPr>
                <w:p w14:paraId="5D523CFE">
                  <w:pPr>
                    <w:pStyle w:val="129"/>
                    <w:rPr>
                      <w:sz w:val="18"/>
                      <w:szCs w:val="18"/>
                      <w:u w:val="none"/>
                    </w:rPr>
                  </w:pPr>
                </w:p>
              </w:tc>
              <w:tc>
                <w:tcPr>
                  <w:tcW w:w="993" w:type="dxa"/>
                  <w:noWrap/>
                  <w:vAlign w:val="center"/>
                </w:tcPr>
                <w:p w14:paraId="6F84694D">
                  <w:pPr>
                    <w:adjustRightInd w:val="0"/>
                    <w:snapToGrid w:val="0"/>
                    <w:spacing w:line="320" w:lineRule="exact"/>
                    <w:jc w:val="center"/>
                    <w:rPr>
                      <w:sz w:val="18"/>
                      <w:szCs w:val="18"/>
                      <w:u w:val="none"/>
                    </w:rPr>
                  </w:pPr>
                  <w:r>
                    <w:rPr>
                      <w:sz w:val="18"/>
                      <w:szCs w:val="18"/>
                      <w:u w:val="none"/>
                    </w:rPr>
                    <w:t>COD</w:t>
                  </w:r>
                  <w:r>
                    <w:rPr>
                      <w:rFonts w:hint="eastAsia"/>
                      <w:sz w:val="18"/>
                      <w:szCs w:val="18"/>
                      <w:u w:val="none"/>
                    </w:rPr>
                    <w:t>cr</w:t>
                  </w:r>
                </w:p>
              </w:tc>
              <w:tc>
                <w:tcPr>
                  <w:tcW w:w="825" w:type="dxa"/>
                  <w:vAlign w:val="center"/>
                </w:tcPr>
                <w:p w14:paraId="240F8D24">
                  <w:pPr>
                    <w:widowControl/>
                    <w:jc w:val="center"/>
                    <w:textAlignment w:val="center"/>
                    <w:rPr>
                      <w:sz w:val="18"/>
                      <w:szCs w:val="18"/>
                      <w:u w:val="none"/>
                    </w:rPr>
                  </w:pPr>
                  <w:r>
                    <w:rPr>
                      <w:rFonts w:hint="eastAsia"/>
                      <w:sz w:val="18"/>
                      <w:szCs w:val="18"/>
                      <w:u w:val="none"/>
                    </w:rPr>
                    <w:t>0.0195</w:t>
                  </w:r>
                </w:p>
              </w:tc>
              <w:tc>
                <w:tcPr>
                  <w:tcW w:w="735" w:type="dxa"/>
                  <w:vAlign w:val="center"/>
                </w:tcPr>
                <w:p w14:paraId="335B916C">
                  <w:pPr>
                    <w:adjustRightInd w:val="0"/>
                    <w:snapToGrid w:val="0"/>
                    <w:spacing w:line="320" w:lineRule="exact"/>
                    <w:jc w:val="center"/>
                    <w:rPr>
                      <w:sz w:val="18"/>
                      <w:szCs w:val="18"/>
                      <w:u w:val="none"/>
                    </w:rPr>
                  </w:pPr>
                  <w:r>
                    <w:rPr>
                      <w:rFonts w:hint="eastAsia"/>
                      <w:sz w:val="18"/>
                      <w:szCs w:val="18"/>
                      <w:u w:val="none"/>
                    </w:rPr>
                    <w:t>325</w:t>
                  </w:r>
                </w:p>
              </w:tc>
              <w:tc>
                <w:tcPr>
                  <w:tcW w:w="480" w:type="dxa"/>
                  <w:vMerge w:val="continue"/>
                  <w:noWrap/>
                  <w:vAlign w:val="center"/>
                </w:tcPr>
                <w:p w14:paraId="4CD94351">
                  <w:pPr>
                    <w:pStyle w:val="129"/>
                    <w:rPr>
                      <w:sz w:val="18"/>
                      <w:szCs w:val="18"/>
                      <w:u w:val="none"/>
                    </w:rPr>
                  </w:pPr>
                </w:p>
              </w:tc>
              <w:tc>
                <w:tcPr>
                  <w:tcW w:w="673" w:type="dxa"/>
                  <w:vMerge w:val="continue"/>
                  <w:noWrap/>
                  <w:vAlign w:val="center"/>
                </w:tcPr>
                <w:p w14:paraId="3CD08AD3">
                  <w:pPr>
                    <w:pStyle w:val="129"/>
                    <w:rPr>
                      <w:sz w:val="18"/>
                      <w:szCs w:val="18"/>
                      <w:u w:val="none"/>
                    </w:rPr>
                  </w:pPr>
                </w:p>
              </w:tc>
              <w:tc>
                <w:tcPr>
                  <w:tcW w:w="569" w:type="dxa"/>
                  <w:vMerge w:val="continue"/>
                  <w:noWrap/>
                  <w:vAlign w:val="center"/>
                </w:tcPr>
                <w:p w14:paraId="5282458B">
                  <w:pPr>
                    <w:pStyle w:val="129"/>
                    <w:rPr>
                      <w:sz w:val="18"/>
                      <w:szCs w:val="18"/>
                      <w:u w:val="none"/>
                    </w:rPr>
                  </w:pPr>
                </w:p>
              </w:tc>
              <w:tc>
                <w:tcPr>
                  <w:tcW w:w="824" w:type="dxa"/>
                  <w:noWrap/>
                  <w:vAlign w:val="center"/>
                </w:tcPr>
                <w:p w14:paraId="42C36C2C">
                  <w:pPr>
                    <w:pStyle w:val="129"/>
                    <w:rPr>
                      <w:sz w:val="18"/>
                      <w:szCs w:val="18"/>
                      <w:u w:val="none"/>
                    </w:rPr>
                  </w:pPr>
                  <w:r>
                    <w:rPr>
                      <w:rFonts w:hint="eastAsia"/>
                      <w:sz w:val="18"/>
                      <w:szCs w:val="18"/>
                      <w:u w:val="none"/>
                    </w:rPr>
                    <w:t>85</w:t>
                  </w:r>
                  <w:r>
                    <w:rPr>
                      <w:sz w:val="18"/>
                      <w:szCs w:val="18"/>
                      <w:u w:val="none"/>
                    </w:rPr>
                    <w:t>%</w:t>
                  </w:r>
                </w:p>
              </w:tc>
              <w:tc>
                <w:tcPr>
                  <w:tcW w:w="756" w:type="dxa"/>
                  <w:vMerge w:val="continue"/>
                  <w:noWrap/>
                  <w:vAlign w:val="center"/>
                </w:tcPr>
                <w:p w14:paraId="19DF6AB0">
                  <w:pPr>
                    <w:pStyle w:val="129"/>
                    <w:rPr>
                      <w:sz w:val="18"/>
                      <w:szCs w:val="18"/>
                      <w:u w:val="none"/>
                    </w:rPr>
                  </w:pPr>
                </w:p>
              </w:tc>
              <w:tc>
                <w:tcPr>
                  <w:tcW w:w="448" w:type="dxa"/>
                  <w:vMerge w:val="continue"/>
                  <w:noWrap/>
                  <w:vAlign w:val="center"/>
                </w:tcPr>
                <w:p w14:paraId="59BB53C0">
                  <w:pPr>
                    <w:pStyle w:val="129"/>
                    <w:rPr>
                      <w:sz w:val="18"/>
                      <w:szCs w:val="18"/>
                      <w:u w:val="none"/>
                    </w:rPr>
                  </w:pPr>
                </w:p>
              </w:tc>
              <w:tc>
                <w:tcPr>
                  <w:tcW w:w="1061" w:type="dxa"/>
                  <w:vMerge w:val="continue"/>
                  <w:noWrap/>
                  <w:vAlign w:val="center"/>
                </w:tcPr>
                <w:p w14:paraId="6BDA00A5">
                  <w:pPr>
                    <w:pStyle w:val="129"/>
                    <w:rPr>
                      <w:sz w:val="18"/>
                      <w:szCs w:val="18"/>
                      <w:u w:val="none"/>
                    </w:rPr>
                  </w:pPr>
                </w:p>
              </w:tc>
            </w:tr>
            <w:tr w14:paraId="5B68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22508A38">
                  <w:pPr>
                    <w:pStyle w:val="129"/>
                    <w:rPr>
                      <w:sz w:val="18"/>
                      <w:szCs w:val="18"/>
                      <w:u w:val="none"/>
                    </w:rPr>
                  </w:pPr>
                </w:p>
              </w:tc>
              <w:tc>
                <w:tcPr>
                  <w:tcW w:w="600" w:type="dxa"/>
                  <w:vMerge w:val="continue"/>
                  <w:noWrap/>
                  <w:vAlign w:val="center"/>
                </w:tcPr>
                <w:p w14:paraId="40C43F18">
                  <w:pPr>
                    <w:pStyle w:val="129"/>
                    <w:rPr>
                      <w:sz w:val="18"/>
                      <w:szCs w:val="18"/>
                      <w:u w:val="none"/>
                    </w:rPr>
                  </w:pPr>
                </w:p>
              </w:tc>
              <w:tc>
                <w:tcPr>
                  <w:tcW w:w="993" w:type="dxa"/>
                  <w:noWrap/>
                  <w:vAlign w:val="center"/>
                </w:tcPr>
                <w:p w14:paraId="58447683">
                  <w:pPr>
                    <w:adjustRightInd w:val="0"/>
                    <w:snapToGrid w:val="0"/>
                    <w:spacing w:line="320" w:lineRule="exact"/>
                    <w:jc w:val="center"/>
                    <w:rPr>
                      <w:sz w:val="18"/>
                      <w:szCs w:val="18"/>
                      <w:u w:val="none"/>
                    </w:rPr>
                  </w:pPr>
                  <w:r>
                    <w:rPr>
                      <w:sz w:val="18"/>
                      <w:szCs w:val="18"/>
                      <w:u w:val="none"/>
                    </w:rPr>
                    <w:t>BOD</w:t>
                  </w:r>
                  <w:r>
                    <w:rPr>
                      <w:sz w:val="18"/>
                      <w:szCs w:val="18"/>
                      <w:u w:val="none"/>
                      <w:vertAlign w:val="subscript"/>
                    </w:rPr>
                    <w:t>5</w:t>
                  </w:r>
                </w:p>
              </w:tc>
              <w:tc>
                <w:tcPr>
                  <w:tcW w:w="825" w:type="dxa"/>
                  <w:noWrap/>
                  <w:vAlign w:val="center"/>
                </w:tcPr>
                <w:p w14:paraId="19A467BA">
                  <w:pPr>
                    <w:widowControl/>
                    <w:jc w:val="center"/>
                    <w:textAlignment w:val="center"/>
                    <w:rPr>
                      <w:sz w:val="18"/>
                      <w:szCs w:val="18"/>
                      <w:u w:val="none"/>
                    </w:rPr>
                  </w:pPr>
                  <w:r>
                    <w:rPr>
                      <w:rFonts w:hint="eastAsia"/>
                      <w:sz w:val="18"/>
                      <w:szCs w:val="18"/>
                      <w:u w:val="none"/>
                    </w:rPr>
                    <w:t>0.012</w:t>
                  </w:r>
                </w:p>
              </w:tc>
              <w:tc>
                <w:tcPr>
                  <w:tcW w:w="735" w:type="dxa"/>
                  <w:noWrap/>
                  <w:vAlign w:val="center"/>
                </w:tcPr>
                <w:p w14:paraId="67EE7C81">
                  <w:pPr>
                    <w:adjustRightInd w:val="0"/>
                    <w:snapToGrid w:val="0"/>
                    <w:spacing w:line="320" w:lineRule="exact"/>
                    <w:jc w:val="center"/>
                    <w:rPr>
                      <w:sz w:val="18"/>
                      <w:szCs w:val="18"/>
                      <w:u w:val="none"/>
                    </w:rPr>
                  </w:pPr>
                  <w:r>
                    <w:rPr>
                      <w:rFonts w:hint="eastAsia"/>
                      <w:sz w:val="18"/>
                      <w:szCs w:val="18"/>
                      <w:u w:val="none"/>
                    </w:rPr>
                    <w:t>200</w:t>
                  </w:r>
                </w:p>
              </w:tc>
              <w:tc>
                <w:tcPr>
                  <w:tcW w:w="480" w:type="dxa"/>
                  <w:vMerge w:val="continue"/>
                  <w:noWrap/>
                  <w:vAlign w:val="center"/>
                </w:tcPr>
                <w:p w14:paraId="3B05EB24">
                  <w:pPr>
                    <w:pStyle w:val="129"/>
                    <w:rPr>
                      <w:sz w:val="18"/>
                      <w:szCs w:val="18"/>
                      <w:u w:val="none"/>
                    </w:rPr>
                  </w:pPr>
                </w:p>
              </w:tc>
              <w:tc>
                <w:tcPr>
                  <w:tcW w:w="673" w:type="dxa"/>
                  <w:vMerge w:val="continue"/>
                  <w:noWrap/>
                  <w:vAlign w:val="center"/>
                </w:tcPr>
                <w:p w14:paraId="51FBBB38">
                  <w:pPr>
                    <w:pStyle w:val="129"/>
                    <w:rPr>
                      <w:sz w:val="18"/>
                      <w:szCs w:val="18"/>
                      <w:u w:val="none"/>
                    </w:rPr>
                  </w:pPr>
                </w:p>
              </w:tc>
              <w:tc>
                <w:tcPr>
                  <w:tcW w:w="569" w:type="dxa"/>
                  <w:vMerge w:val="continue"/>
                  <w:noWrap/>
                  <w:vAlign w:val="center"/>
                </w:tcPr>
                <w:p w14:paraId="2F9FCF25">
                  <w:pPr>
                    <w:pStyle w:val="129"/>
                    <w:rPr>
                      <w:sz w:val="18"/>
                      <w:szCs w:val="18"/>
                      <w:u w:val="none"/>
                    </w:rPr>
                  </w:pPr>
                </w:p>
              </w:tc>
              <w:tc>
                <w:tcPr>
                  <w:tcW w:w="824" w:type="dxa"/>
                  <w:noWrap/>
                  <w:vAlign w:val="center"/>
                </w:tcPr>
                <w:p w14:paraId="56816DE8">
                  <w:pPr>
                    <w:pStyle w:val="129"/>
                    <w:rPr>
                      <w:sz w:val="18"/>
                      <w:szCs w:val="18"/>
                      <w:u w:val="none"/>
                    </w:rPr>
                  </w:pPr>
                  <w:r>
                    <w:rPr>
                      <w:rFonts w:hint="eastAsia"/>
                      <w:sz w:val="18"/>
                      <w:szCs w:val="18"/>
                      <w:u w:val="none"/>
                    </w:rPr>
                    <w:t>90</w:t>
                  </w:r>
                  <w:r>
                    <w:rPr>
                      <w:sz w:val="18"/>
                      <w:szCs w:val="18"/>
                      <w:u w:val="none"/>
                    </w:rPr>
                    <w:t>%</w:t>
                  </w:r>
                </w:p>
              </w:tc>
              <w:tc>
                <w:tcPr>
                  <w:tcW w:w="756" w:type="dxa"/>
                  <w:vMerge w:val="continue"/>
                  <w:noWrap/>
                  <w:vAlign w:val="center"/>
                </w:tcPr>
                <w:p w14:paraId="52755597">
                  <w:pPr>
                    <w:pStyle w:val="129"/>
                    <w:rPr>
                      <w:sz w:val="18"/>
                      <w:szCs w:val="18"/>
                      <w:u w:val="none"/>
                    </w:rPr>
                  </w:pPr>
                </w:p>
              </w:tc>
              <w:tc>
                <w:tcPr>
                  <w:tcW w:w="448" w:type="dxa"/>
                  <w:vMerge w:val="continue"/>
                  <w:noWrap/>
                  <w:vAlign w:val="center"/>
                </w:tcPr>
                <w:p w14:paraId="33D7399D">
                  <w:pPr>
                    <w:pStyle w:val="129"/>
                    <w:rPr>
                      <w:sz w:val="18"/>
                      <w:szCs w:val="18"/>
                      <w:u w:val="none"/>
                    </w:rPr>
                  </w:pPr>
                </w:p>
              </w:tc>
              <w:tc>
                <w:tcPr>
                  <w:tcW w:w="1061" w:type="dxa"/>
                  <w:vMerge w:val="continue"/>
                  <w:noWrap/>
                  <w:vAlign w:val="center"/>
                </w:tcPr>
                <w:p w14:paraId="54535650">
                  <w:pPr>
                    <w:pStyle w:val="129"/>
                    <w:rPr>
                      <w:sz w:val="18"/>
                      <w:szCs w:val="18"/>
                      <w:u w:val="none"/>
                    </w:rPr>
                  </w:pPr>
                </w:p>
              </w:tc>
            </w:tr>
            <w:tr w14:paraId="3260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105893D7">
                  <w:pPr>
                    <w:pStyle w:val="129"/>
                    <w:rPr>
                      <w:sz w:val="18"/>
                      <w:szCs w:val="18"/>
                      <w:u w:val="none"/>
                    </w:rPr>
                  </w:pPr>
                </w:p>
              </w:tc>
              <w:tc>
                <w:tcPr>
                  <w:tcW w:w="600" w:type="dxa"/>
                  <w:vMerge w:val="continue"/>
                  <w:noWrap/>
                  <w:vAlign w:val="center"/>
                </w:tcPr>
                <w:p w14:paraId="47773782">
                  <w:pPr>
                    <w:pStyle w:val="129"/>
                    <w:rPr>
                      <w:sz w:val="18"/>
                      <w:szCs w:val="18"/>
                      <w:u w:val="none"/>
                    </w:rPr>
                  </w:pPr>
                </w:p>
              </w:tc>
              <w:tc>
                <w:tcPr>
                  <w:tcW w:w="993" w:type="dxa"/>
                  <w:noWrap/>
                  <w:vAlign w:val="center"/>
                </w:tcPr>
                <w:p w14:paraId="78AE4C78">
                  <w:pPr>
                    <w:adjustRightInd w:val="0"/>
                    <w:snapToGrid w:val="0"/>
                    <w:spacing w:line="320" w:lineRule="exact"/>
                    <w:jc w:val="center"/>
                    <w:rPr>
                      <w:sz w:val="18"/>
                      <w:szCs w:val="18"/>
                      <w:u w:val="none"/>
                    </w:rPr>
                  </w:pPr>
                  <w:r>
                    <w:rPr>
                      <w:sz w:val="18"/>
                      <w:szCs w:val="18"/>
                      <w:u w:val="none"/>
                    </w:rPr>
                    <w:t>SS</w:t>
                  </w:r>
                </w:p>
              </w:tc>
              <w:tc>
                <w:tcPr>
                  <w:tcW w:w="825" w:type="dxa"/>
                  <w:noWrap/>
                  <w:vAlign w:val="center"/>
                </w:tcPr>
                <w:p w14:paraId="678360F4">
                  <w:pPr>
                    <w:widowControl/>
                    <w:jc w:val="center"/>
                    <w:textAlignment w:val="center"/>
                    <w:rPr>
                      <w:sz w:val="18"/>
                      <w:szCs w:val="18"/>
                      <w:u w:val="none"/>
                    </w:rPr>
                  </w:pPr>
                  <w:r>
                    <w:rPr>
                      <w:rFonts w:hint="eastAsia"/>
                      <w:sz w:val="18"/>
                      <w:szCs w:val="18"/>
                      <w:u w:val="none"/>
                    </w:rPr>
                    <w:t>0.0132</w:t>
                  </w:r>
                </w:p>
              </w:tc>
              <w:tc>
                <w:tcPr>
                  <w:tcW w:w="735" w:type="dxa"/>
                  <w:noWrap/>
                  <w:vAlign w:val="center"/>
                </w:tcPr>
                <w:p w14:paraId="5937E9D2">
                  <w:pPr>
                    <w:adjustRightInd w:val="0"/>
                    <w:snapToGrid w:val="0"/>
                    <w:spacing w:line="320" w:lineRule="exact"/>
                    <w:jc w:val="center"/>
                    <w:rPr>
                      <w:sz w:val="18"/>
                      <w:szCs w:val="18"/>
                      <w:u w:val="none"/>
                    </w:rPr>
                  </w:pPr>
                  <w:r>
                    <w:rPr>
                      <w:rFonts w:hint="eastAsia"/>
                      <w:sz w:val="18"/>
                      <w:szCs w:val="18"/>
                      <w:u w:val="none"/>
                    </w:rPr>
                    <w:t>220</w:t>
                  </w:r>
                </w:p>
              </w:tc>
              <w:tc>
                <w:tcPr>
                  <w:tcW w:w="480" w:type="dxa"/>
                  <w:vMerge w:val="continue"/>
                  <w:noWrap/>
                  <w:vAlign w:val="center"/>
                </w:tcPr>
                <w:p w14:paraId="4FAB277C">
                  <w:pPr>
                    <w:pStyle w:val="129"/>
                    <w:rPr>
                      <w:sz w:val="18"/>
                      <w:szCs w:val="18"/>
                      <w:u w:val="none"/>
                    </w:rPr>
                  </w:pPr>
                </w:p>
              </w:tc>
              <w:tc>
                <w:tcPr>
                  <w:tcW w:w="673" w:type="dxa"/>
                  <w:vMerge w:val="continue"/>
                  <w:noWrap/>
                  <w:vAlign w:val="center"/>
                </w:tcPr>
                <w:p w14:paraId="2B4000CC">
                  <w:pPr>
                    <w:pStyle w:val="129"/>
                    <w:rPr>
                      <w:sz w:val="18"/>
                      <w:szCs w:val="18"/>
                      <w:u w:val="none"/>
                    </w:rPr>
                  </w:pPr>
                </w:p>
              </w:tc>
              <w:tc>
                <w:tcPr>
                  <w:tcW w:w="569" w:type="dxa"/>
                  <w:vMerge w:val="continue"/>
                  <w:noWrap/>
                  <w:vAlign w:val="center"/>
                </w:tcPr>
                <w:p w14:paraId="5C5F9570">
                  <w:pPr>
                    <w:pStyle w:val="129"/>
                    <w:rPr>
                      <w:sz w:val="18"/>
                      <w:szCs w:val="18"/>
                      <w:u w:val="none"/>
                    </w:rPr>
                  </w:pPr>
                </w:p>
              </w:tc>
              <w:tc>
                <w:tcPr>
                  <w:tcW w:w="824" w:type="dxa"/>
                  <w:noWrap/>
                  <w:vAlign w:val="center"/>
                </w:tcPr>
                <w:p w14:paraId="1D2F641F">
                  <w:pPr>
                    <w:pStyle w:val="129"/>
                    <w:rPr>
                      <w:sz w:val="18"/>
                      <w:szCs w:val="18"/>
                      <w:u w:val="none"/>
                    </w:rPr>
                  </w:pPr>
                  <w:r>
                    <w:rPr>
                      <w:rFonts w:hint="eastAsia"/>
                      <w:sz w:val="18"/>
                      <w:szCs w:val="18"/>
                      <w:u w:val="none"/>
                    </w:rPr>
                    <w:t>80</w:t>
                  </w:r>
                  <w:r>
                    <w:rPr>
                      <w:sz w:val="18"/>
                      <w:szCs w:val="18"/>
                      <w:u w:val="none"/>
                    </w:rPr>
                    <w:t>%</w:t>
                  </w:r>
                </w:p>
              </w:tc>
              <w:tc>
                <w:tcPr>
                  <w:tcW w:w="756" w:type="dxa"/>
                  <w:vMerge w:val="continue"/>
                  <w:noWrap/>
                  <w:vAlign w:val="center"/>
                </w:tcPr>
                <w:p w14:paraId="209BA1F5">
                  <w:pPr>
                    <w:pStyle w:val="129"/>
                    <w:rPr>
                      <w:sz w:val="18"/>
                      <w:szCs w:val="18"/>
                      <w:u w:val="none"/>
                    </w:rPr>
                  </w:pPr>
                </w:p>
              </w:tc>
              <w:tc>
                <w:tcPr>
                  <w:tcW w:w="448" w:type="dxa"/>
                  <w:vMerge w:val="continue"/>
                  <w:noWrap/>
                  <w:vAlign w:val="center"/>
                </w:tcPr>
                <w:p w14:paraId="5FEF718B">
                  <w:pPr>
                    <w:pStyle w:val="129"/>
                    <w:rPr>
                      <w:sz w:val="18"/>
                      <w:szCs w:val="18"/>
                      <w:u w:val="none"/>
                    </w:rPr>
                  </w:pPr>
                </w:p>
              </w:tc>
              <w:tc>
                <w:tcPr>
                  <w:tcW w:w="1061" w:type="dxa"/>
                  <w:vMerge w:val="continue"/>
                  <w:vAlign w:val="center"/>
                </w:tcPr>
                <w:p w14:paraId="5C906BB2">
                  <w:pPr>
                    <w:pStyle w:val="129"/>
                    <w:rPr>
                      <w:sz w:val="18"/>
                      <w:szCs w:val="18"/>
                      <w:u w:val="none"/>
                    </w:rPr>
                  </w:pPr>
                </w:p>
              </w:tc>
            </w:tr>
            <w:tr w14:paraId="3279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5EC5BAE1">
                  <w:pPr>
                    <w:pStyle w:val="129"/>
                    <w:rPr>
                      <w:sz w:val="18"/>
                      <w:szCs w:val="18"/>
                      <w:u w:val="none"/>
                    </w:rPr>
                  </w:pPr>
                </w:p>
              </w:tc>
              <w:tc>
                <w:tcPr>
                  <w:tcW w:w="600" w:type="dxa"/>
                  <w:vMerge w:val="continue"/>
                  <w:noWrap/>
                  <w:vAlign w:val="center"/>
                </w:tcPr>
                <w:p w14:paraId="66EFB80A">
                  <w:pPr>
                    <w:pStyle w:val="129"/>
                    <w:rPr>
                      <w:sz w:val="18"/>
                      <w:szCs w:val="18"/>
                      <w:u w:val="none"/>
                    </w:rPr>
                  </w:pPr>
                </w:p>
              </w:tc>
              <w:tc>
                <w:tcPr>
                  <w:tcW w:w="993" w:type="dxa"/>
                  <w:noWrap/>
                  <w:vAlign w:val="center"/>
                </w:tcPr>
                <w:p w14:paraId="4AC997D4">
                  <w:pPr>
                    <w:adjustRightInd w:val="0"/>
                    <w:snapToGrid w:val="0"/>
                    <w:spacing w:line="320" w:lineRule="exact"/>
                    <w:jc w:val="center"/>
                    <w:rPr>
                      <w:sz w:val="18"/>
                      <w:szCs w:val="18"/>
                      <w:u w:val="none"/>
                    </w:rPr>
                  </w:pPr>
                  <w:r>
                    <w:rPr>
                      <w:sz w:val="18"/>
                      <w:szCs w:val="18"/>
                      <w:u w:val="none"/>
                    </w:rPr>
                    <w:t>NH</w:t>
                  </w:r>
                  <w:r>
                    <w:rPr>
                      <w:sz w:val="18"/>
                      <w:szCs w:val="18"/>
                      <w:u w:val="none"/>
                      <w:vertAlign w:val="subscript"/>
                    </w:rPr>
                    <w:t>3</w:t>
                  </w:r>
                  <w:r>
                    <w:rPr>
                      <w:sz w:val="18"/>
                      <w:szCs w:val="18"/>
                      <w:u w:val="none"/>
                    </w:rPr>
                    <w:t>-N</w:t>
                  </w:r>
                </w:p>
              </w:tc>
              <w:tc>
                <w:tcPr>
                  <w:tcW w:w="825" w:type="dxa"/>
                  <w:vAlign w:val="center"/>
                </w:tcPr>
                <w:p w14:paraId="2E0C6F2D">
                  <w:pPr>
                    <w:widowControl/>
                    <w:jc w:val="center"/>
                    <w:textAlignment w:val="center"/>
                    <w:rPr>
                      <w:sz w:val="18"/>
                      <w:szCs w:val="18"/>
                      <w:u w:val="none"/>
                    </w:rPr>
                  </w:pPr>
                  <w:r>
                    <w:rPr>
                      <w:rFonts w:hint="eastAsia"/>
                      <w:sz w:val="18"/>
                      <w:szCs w:val="18"/>
                      <w:u w:val="none"/>
                    </w:rPr>
                    <w:t>0.0023</w:t>
                  </w:r>
                </w:p>
              </w:tc>
              <w:tc>
                <w:tcPr>
                  <w:tcW w:w="735" w:type="dxa"/>
                  <w:noWrap/>
                  <w:vAlign w:val="center"/>
                </w:tcPr>
                <w:p w14:paraId="26DBCF0A">
                  <w:pPr>
                    <w:adjustRightInd w:val="0"/>
                    <w:snapToGrid w:val="0"/>
                    <w:spacing w:line="320" w:lineRule="exact"/>
                    <w:jc w:val="center"/>
                    <w:rPr>
                      <w:sz w:val="18"/>
                      <w:szCs w:val="18"/>
                      <w:u w:val="none"/>
                    </w:rPr>
                  </w:pPr>
                  <w:r>
                    <w:rPr>
                      <w:rFonts w:hint="eastAsia"/>
                      <w:sz w:val="18"/>
                      <w:szCs w:val="18"/>
                      <w:u w:val="none"/>
                    </w:rPr>
                    <w:t>37.7</w:t>
                  </w:r>
                </w:p>
              </w:tc>
              <w:tc>
                <w:tcPr>
                  <w:tcW w:w="480" w:type="dxa"/>
                  <w:vMerge w:val="continue"/>
                  <w:noWrap/>
                  <w:vAlign w:val="center"/>
                </w:tcPr>
                <w:p w14:paraId="2D0EA231">
                  <w:pPr>
                    <w:pStyle w:val="129"/>
                    <w:rPr>
                      <w:sz w:val="18"/>
                      <w:szCs w:val="18"/>
                      <w:u w:val="none"/>
                    </w:rPr>
                  </w:pPr>
                </w:p>
              </w:tc>
              <w:tc>
                <w:tcPr>
                  <w:tcW w:w="673" w:type="dxa"/>
                  <w:vMerge w:val="continue"/>
                  <w:noWrap/>
                  <w:vAlign w:val="center"/>
                </w:tcPr>
                <w:p w14:paraId="5DC07A0E">
                  <w:pPr>
                    <w:pStyle w:val="129"/>
                    <w:rPr>
                      <w:sz w:val="18"/>
                      <w:szCs w:val="18"/>
                      <w:u w:val="none"/>
                    </w:rPr>
                  </w:pPr>
                </w:p>
              </w:tc>
              <w:tc>
                <w:tcPr>
                  <w:tcW w:w="569" w:type="dxa"/>
                  <w:vMerge w:val="continue"/>
                  <w:noWrap/>
                  <w:vAlign w:val="center"/>
                </w:tcPr>
                <w:p w14:paraId="2EC85D45">
                  <w:pPr>
                    <w:pStyle w:val="129"/>
                    <w:rPr>
                      <w:sz w:val="18"/>
                      <w:szCs w:val="18"/>
                      <w:u w:val="none"/>
                    </w:rPr>
                  </w:pPr>
                </w:p>
              </w:tc>
              <w:tc>
                <w:tcPr>
                  <w:tcW w:w="824" w:type="dxa"/>
                  <w:noWrap/>
                  <w:vAlign w:val="center"/>
                </w:tcPr>
                <w:p w14:paraId="6270F65B">
                  <w:pPr>
                    <w:pStyle w:val="129"/>
                    <w:rPr>
                      <w:sz w:val="18"/>
                      <w:szCs w:val="18"/>
                      <w:u w:val="none"/>
                    </w:rPr>
                  </w:pPr>
                  <w:r>
                    <w:rPr>
                      <w:rFonts w:hint="eastAsia"/>
                      <w:sz w:val="18"/>
                      <w:szCs w:val="18"/>
                      <w:u w:val="none"/>
                    </w:rPr>
                    <w:t>70</w:t>
                  </w:r>
                  <w:r>
                    <w:rPr>
                      <w:sz w:val="18"/>
                      <w:szCs w:val="18"/>
                      <w:u w:val="none"/>
                    </w:rPr>
                    <w:t>%</w:t>
                  </w:r>
                </w:p>
              </w:tc>
              <w:tc>
                <w:tcPr>
                  <w:tcW w:w="756" w:type="dxa"/>
                  <w:vMerge w:val="continue"/>
                  <w:noWrap/>
                  <w:vAlign w:val="center"/>
                </w:tcPr>
                <w:p w14:paraId="18D78889">
                  <w:pPr>
                    <w:pStyle w:val="129"/>
                    <w:rPr>
                      <w:sz w:val="18"/>
                      <w:szCs w:val="18"/>
                      <w:u w:val="none"/>
                    </w:rPr>
                  </w:pPr>
                </w:p>
              </w:tc>
              <w:tc>
                <w:tcPr>
                  <w:tcW w:w="448" w:type="dxa"/>
                  <w:vMerge w:val="continue"/>
                  <w:noWrap/>
                  <w:vAlign w:val="center"/>
                </w:tcPr>
                <w:p w14:paraId="1E1C4A5F">
                  <w:pPr>
                    <w:pStyle w:val="129"/>
                    <w:rPr>
                      <w:sz w:val="18"/>
                      <w:szCs w:val="18"/>
                      <w:u w:val="none"/>
                    </w:rPr>
                  </w:pPr>
                </w:p>
              </w:tc>
              <w:tc>
                <w:tcPr>
                  <w:tcW w:w="1061" w:type="dxa"/>
                  <w:vMerge w:val="continue"/>
                  <w:noWrap/>
                  <w:vAlign w:val="center"/>
                </w:tcPr>
                <w:p w14:paraId="1D010662">
                  <w:pPr>
                    <w:pStyle w:val="129"/>
                    <w:rPr>
                      <w:sz w:val="18"/>
                      <w:szCs w:val="18"/>
                      <w:u w:val="none"/>
                    </w:rPr>
                  </w:pPr>
                </w:p>
              </w:tc>
            </w:tr>
            <w:tr w14:paraId="3FBA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restart"/>
                  <w:noWrap/>
                  <w:vAlign w:val="center"/>
                </w:tcPr>
                <w:p w14:paraId="70FAE234">
                  <w:pPr>
                    <w:pStyle w:val="129"/>
                    <w:rPr>
                      <w:sz w:val="18"/>
                      <w:szCs w:val="18"/>
                      <w:u w:val="none"/>
                    </w:rPr>
                  </w:pPr>
                  <w:r>
                    <w:rPr>
                      <w:sz w:val="18"/>
                      <w:szCs w:val="18"/>
                      <w:u w:val="none"/>
                    </w:rPr>
                    <w:t>2</w:t>
                  </w:r>
                </w:p>
              </w:tc>
              <w:tc>
                <w:tcPr>
                  <w:tcW w:w="600" w:type="dxa"/>
                  <w:vMerge w:val="restart"/>
                  <w:noWrap/>
                  <w:vAlign w:val="center"/>
                </w:tcPr>
                <w:p w14:paraId="6F586F7C">
                  <w:pPr>
                    <w:pStyle w:val="129"/>
                    <w:rPr>
                      <w:sz w:val="18"/>
                      <w:szCs w:val="18"/>
                      <w:u w:val="none"/>
                    </w:rPr>
                  </w:pPr>
                  <w:r>
                    <w:rPr>
                      <w:rFonts w:hint="eastAsia"/>
                      <w:sz w:val="18"/>
                      <w:szCs w:val="18"/>
                      <w:u w:val="none"/>
                    </w:rPr>
                    <w:t>车辆清洗</w:t>
                  </w:r>
                  <w:r>
                    <w:rPr>
                      <w:sz w:val="18"/>
                      <w:szCs w:val="18"/>
                      <w:u w:val="none"/>
                    </w:rPr>
                    <w:t>废水</w:t>
                  </w:r>
                </w:p>
              </w:tc>
              <w:tc>
                <w:tcPr>
                  <w:tcW w:w="993" w:type="dxa"/>
                  <w:noWrap/>
                  <w:vAlign w:val="center"/>
                </w:tcPr>
                <w:p w14:paraId="213B1837">
                  <w:pPr>
                    <w:adjustRightInd w:val="0"/>
                    <w:snapToGrid w:val="0"/>
                    <w:spacing w:line="320" w:lineRule="exact"/>
                    <w:jc w:val="center"/>
                    <w:rPr>
                      <w:sz w:val="18"/>
                      <w:szCs w:val="18"/>
                      <w:u w:val="none"/>
                    </w:rPr>
                  </w:pPr>
                  <w:r>
                    <w:rPr>
                      <w:sz w:val="18"/>
                      <w:szCs w:val="18"/>
                      <w:u w:val="none"/>
                    </w:rPr>
                    <w:t>废水量</w:t>
                  </w:r>
                </w:p>
              </w:tc>
              <w:tc>
                <w:tcPr>
                  <w:tcW w:w="825" w:type="dxa"/>
                  <w:vAlign w:val="center"/>
                </w:tcPr>
                <w:p w14:paraId="5A30FBAF">
                  <w:pPr>
                    <w:pStyle w:val="129"/>
                    <w:rPr>
                      <w:sz w:val="18"/>
                      <w:szCs w:val="18"/>
                      <w:u w:val="none"/>
                    </w:rPr>
                  </w:pPr>
                  <w:r>
                    <w:rPr>
                      <w:rFonts w:hint="eastAsia"/>
                      <w:sz w:val="18"/>
                      <w:szCs w:val="18"/>
                      <w:u w:val="none"/>
                    </w:rPr>
                    <w:t>3294m</w:t>
                  </w:r>
                  <w:r>
                    <w:rPr>
                      <w:rFonts w:hint="eastAsia"/>
                      <w:sz w:val="18"/>
                      <w:szCs w:val="18"/>
                      <w:u w:val="none"/>
                      <w:vertAlign w:val="superscript"/>
                    </w:rPr>
                    <w:t>3</w:t>
                  </w:r>
                  <w:r>
                    <w:rPr>
                      <w:sz w:val="18"/>
                      <w:szCs w:val="18"/>
                      <w:u w:val="none"/>
                    </w:rPr>
                    <w:t>/a</w:t>
                  </w:r>
                </w:p>
              </w:tc>
              <w:tc>
                <w:tcPr>
                  <w:tcW w:w="735" w:type="dxa"/>
                  <w:noWrap/>
                  <w:vAlign w:val="center"/>
                </w:tcPr>
                <w:p w14:paraId="20C31658">
                  <w:pPr>
                    <w:adjustRightInd w:val="0"/>
                    <w:snapToGrid w:val="0"/>
                    <w:spacing w:line="320" w:lineRule="exact"/>
                    <w:jc w:val="center"/>
                    <w:rPr>
                      <w:sz w:val="18"/>
                      <w:szCs w:val="18"/>
                      <w:u w:val="none"/>
                    </w:rPr>
                  </w:pPr>
                  <w:r>
                    <w:rPr>
                      <w:sz w:val="18"/>
                      <w:szCs w:val="18"/>
                      <w:u w:val="none"/>
                    </w:rPr>
                    <w:t>/</w:t>
                  </w:r>
                </w:p>
              </w:tc>
              <w:tc>
                <w:tcPr>
                  <w:tcW w:w="480" w:type="dxa"/>
                  <w:vMerge w:val="restart"/>
                  <w:noWrap/>
                  <w:vAlign w:val="center"/>
                </w:tcPr>
                <w:p w14:paraId="6F5A6D35">
                  <w:pPr>
                    <w:pStyle w:val="129"/>
                    <w:rPr>
                      <w:sz w:val="18"/>
                      <w:szCs w:val="18"/>
                      <w:u w:val="none"/>
                    </w:rPr>
                  </w:pPr>
                  <w:r>
                    <w:rPr>
                      <w:sz w:val="18"/>
                      <w:szCs w:val="18"/>
                      <w:u w:val="none"/>
                    </w:rPr>
                    <w:t>不排放</w:t>
                  </w:r>
                </w:p>
              </w:tc>
              <w:tc>
                <w:tcPr>
                  <w:tcW w:w="673" w:type="dxa"/>
                  <w:vMerge w:val="restart"/>
                  <w:noWrap/>
                  <w:vAlign w:val="center"/>
                </w:tcPr>
                <w:p w14:paraId="55035E26">
                  <w:pPr>
                    <w:pStyle w:val="129"/>
                    <w:rPr>
                      <w:sz w:val="18"/>
                      <w:szCs w:val="18"/>
                      <w:u w:val="none"/>
                    </w:rPr>
                  </w:pPr>
                  <w:r>
                    <w:rPr>
                      <w:rFonts w:hint="eastAsia"/>
                      <w:sz w:val="18"/>
                      <w:szCs w:val="18"/>
                      <w:u w:val="none"/>
                    </w:rPr>
                    <w:t>车辆清洗废水沉淀池</w:t>
                  </w:r>
                </w:p>
              </w:tc>
              <w:tc>
                <w:tcPr>
                  <w:tcW w:w="569" w:type="dxa"/>
                  <w:vMerge w:val="restart"/>
                  <w:noWrap/>
                  <w:vAlign w:val="center"/>
                </w:tcPr>
                <w:p w14:paraId="01AF2D49">
                  <w:pPr>
                    <w:pStyle w:val="129"/>
                    <w:rPr>
                      <w:sz w:val="18"/>
                      <w:szCs w:val="18"/>
                      <w:u w:val="none"/>
                    </w:rPr>
                  </w:pPr>
                  <w:r>
                    <w:rPr>
                      <w:sz w:val="18"/>
                      <w:szCs w:val="18"/>
                      <w:u w:val="none"/>
                    </w:rPr>
                    <w:t>100%</w:t>
                  </w:r>
                </w:p>
              </w:tc>
              <w:tc>
                <w:tcPr>
                  <w:tcW w:w="824" w:type="dxa"/>
                  <w:noWrap/>
                  <w:vAlign w:val="center"/>
                </w:tcPr>
                <w:p w14:paraId="74BFCB0E">
                  <w:pPr>
                    <w:pStyle w:val="129"/>
                    <w:rPr>
                      <w:sz w:val="18"/>
                      <w:szCs w:val="18"/>
                      <w:u w:val="none"/>
                    </w:rPr>
                  </w:pPr>
                  <w:r>
                    <w:rPr>
                      <w:sz w:val="18"/>
                      <w:szCs w:val="18"/>
                      <w:u w:val="none"/>
                    </w:rPr>
                    <w:t>/</w:t>
                  </w:r>
                </w:p>
              </w:tc>
              <w:tc>
                <w:tcPr>
                  <w:tcW w:w="756" w:type="dxa"/>
                  <w:vMerge w:val="restart"/>
                  <w:noWrap/>
                  <w:vAlign w:val="center"/>
                </w:tcPr>
                <w:p w14:paraId="5E375758">
                  <w:pPr>
                    <w:pStyle w:val="129"/>
                    <w:rPr>
                      <w:sz w:val="18"/>
                      <w:szCs w:val="18"/>
                      <w:u w:val="none"/>
                    </w:rPr>
                  </w:pPr>
                  <w:r>
                    <w:rPr>
                      <w:sz w:val="18"/>
                      <w:szCs w:val="18"/>
                      <w:u w:val="none"/>
                    </w:rPr>
                    <w:t>是</w:t>
                  </w:r>
                </w:p>
              </w:tc>
              <w:tc>
                <w:tcPr>
                  <w:tcW w:w="448" w:type="dxa"/>
                  <w:vMerge w:val="restart"/>
                  <w:vAlign w:val="center"/>
                </w:tcPr>
                <w:p w14:paraId="55ADF18D">
                  <w:pPr>
                    <w:pStyle w:val="129"/>
                    <w:rPr>
                      <w:sz w:val="18"/>
                      <w:szCs w:val="18"/>
                      <w:u w:val="none"/>
                    </w:rPr>
                  </w:pPr>
                  <w:r>
                    <w:rPr>
                      <w:sz w:val="18"/>
                      <w:szCs w:val="18"/>
                      <w:u w:val="none"/>
                    </w:rPr>
                    <w:t>/</w:t>
                  </w:r>
                </w:p>
              </w:tc>
              <w:tc>
                <w:tcPr>
                  <w:tcW w:w="1061" w:type="dxa"/>
                  <w:vMerge w:val="restart"/>
                  <w:vAlign w:val="center"/>
                </w:tcPr>
                <w:p w14:paraId="7D1CAAB2">
                  <w:pPr>
                    <w:pStyle w:val="129"/>
                    <w:rPr>
                      <w:sz w:val="18"/>
                      <w:szCs w:val="18"/>
                      <w:u w:val="none"/>
                    </w:rPr>
                  </w:pPr>
                  <w:r>
                    <w:rPr>
                      <w:sz w:val="18"/>
                      <w:szCs w:val="18"/>
                      <w:u w:val="none"/>
                    </w:rPr>
                    <w:t>回用于</w:t>
                  </w:r>
                  <w:r>
                    <w:rPr>
                      <w:rFonts w:hint="eastAsia"/>
                      <w:sz w:val="18"/>
                      <w:szCs w:val="18"/>
                      <w:u w:val="none"/>
                    </w:rPr>
                    <w:t>车辆清洗</w:t>
                  </w:r>
                </w:p>
              </w:tc>
            </w:tr>
            <w:tr w14:paraId="175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390469E6">
                  <w:pPr>
                    <w:pStyle w:val="129"/>
                    <w:rPr>
                      <w:sz w:val="18"/>
                      <w:szCs w:val="18"/>
                      <w:u w:val="none"/>
                    </w:rPr>
                  </w:pPr>
                </w:p>
              </w:tc>
              <w:tc>
                <w:tcPr>
                  <w:tcW w:w="600" w:type="dxa"/>
                  <w:vMerge w:val="continue"/>
                  <w:noWrap/>
                  <w:vAlign w:val="center"/>
                </w:tcPr>
                <w:p w14:paraId="590BAAC8">
                  <w:pPr>
                    <w:pStyle w:val="129"/>
                    <w:rPr>
                      <w:sz w:val="18"/>
                      <w:szCs w:val="18"/>
                      <w:u w:val="none"/>
                    </w:rPr>
                  </w:pPr>
                </w:p>
              </w:tc>
              <w:tc>
                <w:tcPr>
                  <w:tcW w:w="993" w:type="dxa"/>
                  <w:noWrap/>
                  <w:vAlign w:val="center"/>
                </w:tcPr>
                <w:p w14:paraId="32EE010C">
                  <w:pPr>
                    <w:adjustRightInd w:val="0"/>
                    <w:snapToGrid w:val="0"/>
                    <w:spacing w:line="320" w:lineRule="exact"/>
                    <w:jc w:val="center"/>
                    <w:rPr>
                      <w:sz w:val="18"/>
                      <w:szCs w:val="18"/>
                      <w:u w:val="none"/>
                    </w:rPr>
                  </w:pPr>
                  <w:r>
                    <w:rPr>
                      <w:sz w:val="18"/>
                      <w:szCs w:val="18"/>
                      <w:u w:val="none"/>
                    </w:rPr>
                    <w:t>SS</w:t>
                  </w:r>
                </w:p>
              </w:tc>
              <w:tc>
                <w:tcPr>
                  <w:tcW w:w="825" w:type="dxa"/>
                  <w:vAlign w:val="center"/>
                </w:tcPr>
                <w:p w14:paraId="57636810">
                  <w:pPr>
                    <w:widowControl/>
                    <w:jc w:val="center"/>
                    <w:textAlignment w:val="center"/>
                    <w:rPr>
                      <w:sz w:val="18"/>
                      <w:szCs w:val="18"/>
                      <w:u w:val="none"/>
                    </w:rPr>
                  </w:pPr>
                  <w:r>
                    <w:rPr>
                      <w:rFonts w:hint="eastAsia"/>
                      <w:sz w:val="18"/>
                      <w:szCs w:val="18"/>
                      <w:u w:val="none"/>
                    </w:rPr>
                    <w:t>9.882</w:t>
                  </w:r>
                </w:p>
              </w:tc>
              <w:tc>
                <w:tcPr>
                  <w:tcW w:w="735" w:type="dxa"/>
                  <w:noWrap/>
                  <w:vAlign w:val="center"/>
                </w:tcPr>
                <w:p w14:paraId="72720972">
                  <w:pPr>
                    <w:adjustRightInd w:val="0"/>
                    <w:snapToGrid w:val="0"/>
                    <w:spacing w:line="320" w:lineRule="exact"/>
                    <w:jc w:val="center"/>
                    <w:rPr>
                      <w:sz w:val="18"/>
                      <w:szCs w:val="18"/>
                      <w:u w:val="none"/>
                    </w:rPr>
                  </w:pPr>
                  <w:r>
                    <w:rPr>
                      <w:sz w:val="18"/>
                      <w:szCs w:val="18"/>
                      <w:u w:val="none"/>
                    </w:rPr>
                    <w:t>3000</w:t>
                  </w:r>
                </w:p>
              </w:tc>
              <w:tc>
                <w:tcPr>
                  <w:tcW w:w="480" w:type="dxa"/>
                  <w:vMerge w:val="continue"/>
                  <w:noWrap/>
                  <w:vAlign w:val="center"/>
                </w:tcPr>
                <w:p w14:paraId="249BAFE5">
                  <w:pPr>
                    <w:pStyle w:val="129"/>
                    <w:rPr>
                      <w:sz w:val="18"/>
                      <w:szCs w:val="18"/>
                      <w:u w:val="none"/>
                    </w:rPr>
                  </w:pPr>
                </w:p>
              </w:tc>
              <w:tc>
                <w:tcPr>
                  <w:tcW w:w="673" w:type="dxa"/>
                  <w:vMerge w:val="continue"/>
                  <w:noWrap/>
                  <w:vAlign w:val="center"/>
                </w:tcPr>
                <w:p w14:paraId="723B3AAE">
                  <w:pPr>
                    <w:pStyle w:val="129"/>
                    <w:rPr>
                      <w:sz w:val="18"/>
                      <w:szCs w:val="18"/>
                      <w:u w:val="none"/>
                    </w:rPr>
                  </w:pPr>
                </w:p>
              </w:tc>
              <w:tc>
                <w:tcPr>
                  <w:tcW w:w="569" w:type="dxa"/>
                  <w:vMerge w:val="continue"/>
                  <w:noWrap/>
                  <w:vAlign w:val="center"/>
                </w:tcPr>
                <w:p w14:paraId="44412791">
                  <w:pPr>
                    <w:pStyle w:val="129"/>
                    <w:rPr>
                      <w:sz w:val="18"/>
                      <w:szCs w:val="18"/>
                      <w:u w:val="none"/>
                    </w:rPr>
                  </w:pPr>
                </w:p>
              </w:tc>
              <w:tc>
                <w:tcPr>
                  <w:tcW w:w="824" w:type="dxa"/>
                  <w:noWrap/>
                  <w:vAlign w:val="center"/>
                </w:tcPr>
                <w:p w14:paraId="41F9FB1F">
                  <w:pPr>
                    <w:pStyle w:val="129"/>
                    <w:rPr>
                      <w:sz w:val="18"/>
                      <w:szCs w:val="18"/>
                      <w:u w:val="none"/>
                    </w:rPr>
                  </w:pPr>
                  <w:r>
                    <w:rPr>
                      <w:sz w:val="18"/>
                      <w:szCs w:val="18"/>
                      <w:u w:val="none"/>
                    </w:rPr>
                    <w:t>80%</w:t>
                  </w:r>
                </w:p>
              </w:tc>
              <w:tc>
                <w:tcPr>
                  <w:tcW w:w="756" w:type="dxa"/>
                  <w:vMerge w:val="continue"/>
                  <w:noWrap/>
                  <w:vAlign w:val="center"/>
                </w:tcPr>
                <w:p w14:paraId="6AE78C34">
                  <w:pPr>
                    <w:pStyle w:val="129"/>
                    <w:rPr>
                      <w:sz w:val="18"/>
                      <w:szCs w:val="18"/>
                      <w:u w:val="none"/>
                    </w:rPr>
                  </w:pPr>
                </w:p>
              </w:tc>
              <w:tc>
                <w:tcPr>
                  <w:tcW w:w="448" w:type="dxa"/>
                  <w:vMerge w:val="continue"/>
                  <w:vAlign w:val="center"/>
                </w:tcPr>
                <w:p w14:paraId="78EAD692">
                  <w:pPr>
                    <w:pStyle w:val="129"/>
                    <w:rPr>
                      <w:sz w:val="18"/>
                      <w:szCs w:val="18"/>
                      <w:u w:val="none"/>
                    </w:rPr>
                  </w:pPr>
                </w:p>
              </w:tc>
              <w:tc>
                <w:tcPr>
                  <w:tcW w:w="1061" w:type="dxa"/>
                  <w:vMerge w:val="continue"/>
                  <w:vAlign w:val="center"/>
                </w:tcPr>
                <w:p w14:paraId="51295856">
                  <w:pPr>
                    <w:pStyle w:val="129"/>
                    <w:rPr>
                      <w:sz w:val="18"/>
                      <w:szCs w:val="18"/>
                      <w:u w:val="none"/>
                    </w:rPr>
                  </w:pPr>
                </w:p>
              </w:tc>
            </w:tr>
            <w:tr w14:paraId="2CAE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97" w:type="dxa"/>
                  <w:vMerge w:val="restart"/>
                  <w:noWrap/>
                  <w:vAlign w:val="center"/>
                </w:tcPr>
                <w:p w14:paraId="4561DC84">
                  <w:pPr>
                    <w:pStyle w:val="129"/>
                    <w:rPr>
                      <w:sz w:val="18"/>
                      <w:szCs w:val="18"/>
                      <w:u w:val="none"/>
                    </w:rPr>
                  </w:pPr>
                  <w:r>
                    <w:rPr>
                      <w:sz w:val="18"/>
                      <w:szCs w:val="18"/>
                      <w:u w:val="none"/>
                    </w:rPr>
                    <w:t>3</w:t>
                  </w:r>
                </w:p>
              </w:tc>
              <w:tc>
                <w:tcPr>
                  <w:tcW w:w="600" w:type="dxa"/>
                  <w:vMerge w:val="restart"/>
                  <w:noWrap/>
                  <w:vAlign w:val="center"/>
                </w:tcPr>
                <w:p w14:paraId="4029D065">
                  <w:pPr>
                    <w:pStyle w:val="129"/>
                    <w:rPr>
                      <w:sz w:val="18"/>
                      <w:szCs w:val="18"/>
                      <w:u w:val="none"/>
                    </w:rPr>
                  </w:pPr>
                  <w:r>
                    <w:rPr>
                      <w:sz w:val="18"/>
                      <w:szCs w:val="18"/>
                      <w:u w:val="none"/>
                    </w:rPr>
                    <w:t>场地雨污水</w:t>
                  </w:r>
                </w:p>
              </w:tc>
              <w:tc>
                <w:tcPr>
                  <w:tcW w:w="993" w:type="dxa"/>
                  <w:noWrap/>
                  <w:vAlign w:val="center"/>
                </w:tcPr>
                <w:p w14:paraId="09975A6D">
                  <w:pPr>
                    <w:adjustRightInd w:val="0"/>
                    <w:snapToGrid w:val="0"/>
                    <w:spacing w:line="320" w:lineRule="exact"/>
                    <w:jc w:val="center"/>
                    <w:rPr>
                      <w:sz w:val="18"/>
                      <w:szCs w:val="18"/>
                      <w:u w:val="none"/>
                    </w:rPr>
                  </w:pPr>
                  <w:r>
                    <w:rPr>
                      <w:sz w:val="18"/>
                      <w:szCs w:val="18"/>
                      <w:u w:val="none"/>
                    </w:rPr>
                    <w:t>废水量</w:t>
                  </w:r>
                </w:p>
              </w:tc>
              <w:tc>
                <w:tcPr>
                  <w:tcW w:w="825" w:type="dxa"/>
                  <w:vAlign w:val="center"/>
                </w:tcPr>
                <w:p w14:paraId="183E86BE">
                  <w:pPr>
                    <w:pStyle w:val="129"/>
                    <w:rPr>
                      <w:sz w:val="18"/>
                      <w:szCs w:val="18"/>
                      <w:u w:val="none"/>
                    </w:rPr>
                  </w:pPr>
                  <w:r>
                    <w:rPr>
                      <w:rFonts w:hint="eastAsia"/>
                      <w:sz w:val="18"/>
                      <w:szCs w:val="18"/>
                      <w:u w:val="none"/>
                    </w:rPr>
                    <w:t>784m</w:t>
                  </w:r>
                  <w:r>
                    <w:rPr>
                      <w:rFonts w:hint="eastAsia"/>
                      <w:sz w:val="18"/>
                      <w:szCs w:val="18"/>
                      <w:u w:val="none"/>
                      <w:vertAlign w:val="superscript"/>
                    </w:rPr>
                    <w:t>3</w:t>
                  </w:r>
                  <w:r>
                    <w:rPr>
                      <w:sz w:val="18"/>
                      <w:szCs w:val="18"/>
                      <w:u w:val="none"/>
                    </w:rPr>
                    <w:t>/a</w:t>
                  </w:r>
                </w:p>
              </w:tc>
              <w:tc>
                <w:tcPr>
                  <w:tcW w:w="735" w:type="dxa"/>
                  <w:noWrap/>
                  <w:vAlign w:val="center"/>
                </w:tcPr>
                <w:p w14:paraId="676CFA82">
                  <w:pPr>
                    <w:adjustRightInd w:val="0"/>
                    <w:snapToGrid w:val="0"/>
                    <w:spacing w:line="320" w:lineRule="exact"/>
                    <w:jc w:val="center"/>
                    <w:rPr>
                      <w:sz w:val="18"/>
                      <w:szCs w:val="18"/>
                      <w:u w:val="none"/>
                    </w:rPr>
                  </w:pPr>
                  <w:r>
                    <w:rPr>
                      <w:sz w:val="18"/>
                      <w:szCs w:val="18"/>
                      <w:u w:val="none"/>
                    </w:rPr>
                    <w:t>/</w:t>
                  </w:r>
                </w:p>
              </w:tc>
              <w:tc>
                <w:tcPr>
                  <w:tcW w:w="480" w:type="dxa"/>
                  <w:vMerge w:val="restart"/>
                  <w:noWrap/>
                  <w:vAlign w:val="center"/>
                </w:tcPr>
                <w:p w14:paraId="60C02571">
                  <w:pPr>
                    <w:pStyle w:val="129"/>
                    <w:rPr>
                      <w:sz w:val="18"/>
                      <w:szCs w:val="18"/>
                      <w:u w:val="none"/>
                    </w:rPr>
                  </w:pPr>
                  <w:r>
                    <w:rPr>
                      <w:sz w:val="18"/>
                      <w:szCs w:val="18"/>
                      <w:u w:val="none"/>
                    </w:rPr>
                    <w:t>不排放</w:t>
                  </w:r>
                </w:p>
              </w:tc>
              <w:tc>
                <w:tcPr>
                  <w:tcW w:w="673" w:type="dxa"/>
                  <w:vMerge w:val="restart"/>
                  <w:noWrap/>
                  <w:vAlign w:val="center"/>
                </w:tcPr>
                <w:p w14:paraId="315EF9D6">
                  <w:pPr>
                    <w:pStyle w:val="129"/>
                    <w:rPr>
                      <w:sz w:val="18"/>
                      <w:szCs w:val="18"/>
                      <w:u w:val="none"/>
                    </w:rPr>
                  </w:pPr>
                  <w:r>
                    <w:rPr>
                      <w:rFonts w:hint="eastAsia"/>
                      <w:sz w:val="18"/>
                      <w:szCs w:val="18"/>
                      <w:u w:val="none"/>
                    </w:rPr>
                    <w:t>雨污水收集池</w:t>
                  </w:r>
                </w:p>
              </w:tc>
              <w:tc>
                <w:tcPr>
                  <w:tcW w:w="569" w:type="dxa"/>
                  <w:vMerge w:val="restart"/>
                  <w:noWrap/>
                  <w:vAlign w:val="center"/>
                </w:tcPr>
                <w:p w14:paraId="2FDA329C">
                  <w:pPr>
                    <w:pStyle w:val="129"/>
                    <w:rPr>
                      <w:sz w:val="18"/>
                      <w:szCs w:val="18"/>
                      <w:u w:val="none"/>
                    </w:rPr>
                  </w:pPr>
                  <w:r>
                    <w:rPr>
                      <w:sz w:val="18"/>
                      <w:szCs w:val="18"/>
                      <w:u w:val="none"/>
                    </w:rPr>
                    <w:t>100%</w:t>
                  </w:r>
                </w:p>
              </w:tc>
              <w:tc>
                <w:tcPr>
                  <w:tcW w:w="824" w:type="dxa"/>
                  <w:noWrap/>
                  <w:vAlign w:val="center"/>
                </w:tcPr>
                <w:p w14:paraId="0927AB1B">
                  <w:pPr>
                    <w:pStyle w:val="129"/>
                    <w:rPr>
                      <w:sz w:val="18"/>
                      <w:szCs w:val="18"/>
                      <w:u w:val="none"/>
                    </w:rPr>
                  </w:pPr>
                  <w:r>
                    <w:rPr>
                      <w:sz w:val="18"/>
                      <w:szCs w:val="18"/>
                      <w:u w:val="none"/>
                    </w:rPr>
                    <w:t>/</w:t>
                  </w:r>
                </w:p>
              </w:tc>
              <w:tc>
                <w:tcPr>
                  <w:tcW w:w="756" w:type="dxa"/>
                  <w:vMerge w:val="restart"/>
                  <w:noWrap/>
                  <w:vAlign w:val="center"/>
                </w:tcPr>
                <w:p w14:paraId="26A55197">
                  <w:pPr>
                    <w:pStyle w:val="129"/>
                    <w:rPr>
                      <w:sz w:val="18"/>
                      <w:szCs w:val="18"/>
                      <w:u w:val="none"/>
                    </w:rPr>
                  </w:pPr>
                  <w:r>
                    <w:rPr>
                      <w:sz w:val="18"/>
                      <w:szCs w:val="18"/>
                      <w:u w:val="none"/>
                    </w:rPr>
                    <w:t>是</w:t>
                  </w:r>
                </w:p>
              </w:tc>
              <w:tc>
                <w:tcPr>
                  <w:tcW w:w="448" w:type="dxa"/>
                  <w:vMerge w:val="restart"/>
                  <w:vAlign w:val="center"/>
                </w:tcPr>
                <w:p w14:paraId="6AF101BB">
                  <w:pPr>
                    <w:pStyle w:val="129"/>
                    <w:rPr>
                      <w:sz w:val="18"/>
                      <w:szCs w:val="18"/>
                      <w:u w:val="none"/>
                    </w:rPr>
                  </w:pPr>
                  <w:r>
                    <w:rPr>
                      <w:sz w:val="18"/>
                      <w:szCs w:val="18"/>
                      <w:u w:val="none"/>
                    </w:rPr>
                    <w:t>/</w:t>
                  </w:r>
                </w:p>
              </w:tc>
              <w:tc>
                <w:tcPr>
                  <w:tcW w:w="1061" w:type="dxa"/>
                  <w:vMerge w:val="restart"/>
                  <w:vAlign w:val="center"/>
                </w:tcPr>
                <w:p w14:paraId="08724F40">
                  <w:pPr>
                    <w:pStyle w:val="129"/>
                    <w:rPr>
                      <w:sz w:val="18"/>
                      <w:szCs w:val="18"/>
                      <w:u w:val="none"/>
                    </w:rPr>
                  </w:pPr>
                  <w:r>
                    <w:rPr>
                      <w:sz w:val="18"/>
                      <w:szCs w:val="18"/>
                      <w:u w:val="none"/>
                    </w:rPr>
                    <w:t>回用于</w:t>
                  </w:r>
                  <w:r>
                    <w:rPr>
                      <w:rFonts w:hint="eastAsia"/>
                      <w:sz w:val="18"/>
                      <w:szCs w:val="18"/>
                      <w:u w:val="none"/>
                    </w:rPr>
                    <w:t>大棚喷雾降尘</w:t>
                  </w:r>
                </w:p>
              </w:tc>
            </w:tr>
            <w:tr w14:paraId="128F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97" w:type="dxa"/>
                  <w:vMerge w:val="continue"/>
                  <w:noWrap/>
                  <w:vAlign w:val="center"/>
                </w:tcPr>
                <w:p w14:paraId="04DCFDDD">
                  <w:pPr>
                    <w:pStyle w:val="129"/>
                    <w:rPr>
                      <w:sz w:val="18"/>
                      <w:szCs w:val="18"/>
                      <w:u w:val="none"/>
                    </w:rPr>
                  </w:pPr>
                </w:p>
              </w:tc>
              <w:tc>
                <w:tcPr>
                  <w:tcW w:w="600" w:type="dxa"/>
                  <w:vMerge w:val="continue"/>
                  <w:noWrap/>
                  <w:vAlign w:val="center"/>
                </w:tcPr>
                <w:p w14:paraId="43F74E9B">
                  <w:pPr>
                    <w:pStyle w:val="129"/>
                    <w:rPr>
                      <w:sz w:val="18"/>
                      <w:szCs w:val="18"/>
                      <w:u w:val="none"/>
                    </w:rPr>
                  </w:pPr>
                </w:p>
              </w:tc>
              <w:tc>
                <w:tcPr>
                  <w:tcW w:w="993" w:type="dxa"/>
                  <w:noWrap/>
                  <w:vAlign w:val="center"/>
                </w:tcPr>
                <w:p w14:paraId="3A8870F5">
                  <w:pPr>
                    <w:adjustRightInd w:val="0"/>
                    <w:snapToGrid w:val="0"/>
                    <w:spacing w:line="320" w:lineRule="exact"/>
                    <w:jc w:val="center"/>
                    <w:rPr>
                      <w:sz w:val="18"/>
                      <w:szCs w:val="18"/>
                      <w:u w:val="none"/>
                    </w:rPr>
                  </w:pPr>
                  <w:r>
                    <w:rPr>
                      <w:sz w:val="18"/>
                      <w:szCs w:val="18"/>
                      <w:u w:val="none"/>
                    </w:rPr>
                    <w:t>SS</w:t>
                  </w:r>
                </w:p>
              </w:tc>
              <w:tc>
                <w:tcPr>
                  <w:tcW w:w="825" w:type="dxa"/>
                  <w:vAlign w:val="center"/>
                </w:tcPr>
                <w:p w14:paraId="5C56A81F">
                  <w:pPr>
                    <w:widowControl/>
                    <w:jc w:val="center"/>
                    <w:textAlignment w:val="center"/>
                    <w:rPr>
                      <w:sz w:val="18"/>
                      <w:szCs w:val="18"/>
                      <w:u w:val="none"/>
                    </w:rPr>
                  </w:pPr>
                  <w:r>
                    <w:rPr>
                      <w:rFonts w:hint="eastAsia"/>
                      <w:sz w:val="18"/>
                      <w:szCs w:val="18"/>
                      <w:u w:val="none"/>
                    </w:rPr>
                    <w:t>1.568</w:t>
                  </w:r>
                </w:p>
              </w:tc>
              <w:tc>
                <w:tcPr>
                  <w:tcW w:w="735" w:type="dxa"/>
                  <w:noWrap/>
                  <w:vAlign w:val="center"/>
                </w:tcPr>
                <w:p w14:paraId="049B7CE4">
                  <w:pPr>
                    <w:adjustRightInd w:val="0"/>
                    <w:snapToGrid w:val="0"/>
                    <w:spacing w:line="320" w:lineRule="exact"/>
                    <w:jc w:val="center"/>
                    <w:rPr>
                      <w:sz w:val="18"/>
                      <w:szCs w:val="18"/>
                      <w:u w:val="none"/>
                    </w:rPr>
                  </w:pPr>
                  <w:r>
                    <w:rPr>
                      <w:sz w:val="18"/>
                      <w:szCs w:val="18"/>
                      <w:u w:val="none"/>
                    </w:rPr>
                    <w:t>2000</w:t>
                  </w:r>
                </w:p>
              </w:tc>
              <w:tc>
                <w:tcPr>
                  <w:tcW w:w="480" w:type="dxa"/>
                  <w:vMerge w:val="continue"/>
                  <w:noWrap/>
                  <w:vAlign w:val="center"/>
                </w:tcPr>
                <w:p w14:paraId="2B05F123">
                  <w:pPr>
                    <w:pStyle w:val="129"/>
                    <w:rPr>
                      <w:sz w:val="18"/>
                      <w:szCs w:val="18"/>
                      <w:u w:val="none"/>
                    </w:rPr>
                  </w:pPr>
                </w:p>
              </w:tc>
              <w:tc>
                <w:tcPr>
                  <w:tcW w:w="673" w:type="dxa"/>
                  <w:vMerge w:val="continue"/>
                  <w:noWrap/>
                  <w:vAlign w:val="center"/>
                </w:tcPr>
                <w:p w14:paraId="7D4258FC">
                  <w:pPr>
                    <w:pStyle w:val="129"/>
                    <w:rPr>
                      <w:sz w:val="18"/>
                      <w:szCs w:val="18"/>
                      <w:u w:val="none"/>
                    </w:rPr>
                  </w:pPr>
                </w:p>
              </w:tc>
              <w:tc>
                <w:tcPr>
                  <w:tcW w:w="569" w:type="dxa"/>
                  <w:vMerge w:val="continue"/>
                  <w:noWrap/>
                  <w:vAlign w:val="center"/>
                </w:tcPr>
                <w:p w14:paraId="551AE451">
                  <w:pPr>
                    <w:pStyle w:val="129"/>
                    <w:rPr>
                      <w:sz w:val="18"/>
                      <w:szCs w:val="18"/>
                      <w:u w:val="none"/>
                    </w:rPr>
                  </w:pPr>
                </w:p>
              </w:tc>
              <w:tc>
                <w:tcPr>
                  <w:tcW w:w="824" w:type="dxa"/>
                  <w:noWrap/>
                  <w:vAlign w:val="center"/>
                </w:tcPr>
                <w:p w14:paraId="67622ACF">
                  <w:pPr>
                    <w:pStyle w:val="129"/>
                    <w:rPr>
                      <w:sz w:val="18"/>
                      <w:szCs w:val="18"/>
                      <w:u w:val="none"/>
                    </w:rPr>
                  </w:pPr>
                  <w:r>
                    <w:rPr>
                      <w:sz w:val="18"/>
                      <w:szCs w:val="18"/>
                      <w:u w:val="none"/>
                    </w:rPr>
                    <w:t>80%</w:t>
                  </w:r>
                </w:p>
              </w:tc>
              <w:tc>
                <w:tcPr>
                  <w:tcW w:w="756" w:type="dxa"/>
                  <w:vMerge w:val="continue"/>
                  <w:noWrap/>
                  <w:vAlign w:val="center"/>
                </w:tcPr>
                <w:p w14:paraId="33936535">
                  <w:pPr>
                    <w:pStyle w:val="129"/>
                    <w:rPr>
                      <w:sz w:val="18"/>
                      <w:szCs w:val="18"/>
                      <w:u w:val="none"/>
                    </w:rPr>
                  </w:pPr>
                </w:p>
              </w:tc>
              <w:tc>
                <w:tcPr>
                  <w:tcW w:w="448" w:type="dxa"/>
                  <w:vMerge w:val="continue"/>
                  <w:vAlign w:val="center"/>
                </w:tcPr>
                <w:p w14:paraId="67A796AA">
                  <w:pPr>
                    <w:pStyle w:val="129"/>
                    <w:rPr>
                      <w:sz w:val="18"/>
                      <w:szCs w:val="18"/>
                      <w:u w:val="none"/>
                    </w:rPr>
                  </w:pPr>
                </w:p>
              </w:tc>
              <w:tc>
                <w:tcPr>
                  <w:tcW w:w="1061" w:type="dxa"/>
                  <w:vMerge w:val="continue"/>
                  <w:vAlign w:val="center"/>
                </w:tcPr>
                <w:p w14:paraId="501BA057">
                  <w:pPr>
                    <w:pStyle w:val="129"/>
                    <w:rPr>
                      <w:sz w:val="18"/>
                      <w:szCs w:val="18"/>
                      <w:u w:val="none"/>
                    </w:rPr>
                  </w:pPr>
                </w:p>
              </w:tc>
            </w:tr>
          </w:tbl>
          <w:p w14:paraId="30E48640">
            <w:pPr>
              <w:snapToGrid w:val="0"/>
              <w:spacing w:line="360" w:lineRule="auto"/>
              <w:ind w:left="420" w:leftChars="200"/>
              <w:rPr>
                <w:b/>
                <w:sz w:val="24"/>
                <w:u w:val="none"/>
              </w:rPr>
            </w:pPr>
            <w:r>
              <w:rPr>
                <w:rFonts w:hint="eastAsia"/>
                <w:b/>
                <w:sz w:val="24"/>
                <w:u w:val="none"/>
              </w:rPr>
              <w:t>2.2、废水处理设施</w:t>
            </w:r>
            <w:r>
              <w:rPr>
                <w:b/>
                <w:sz w:val="24"/>
                <w:u w:val="none"/>
              </w:rPr>
              <w:t>可行性</w:t>
            </w:r>
          </w:p>
          <w:p w14:paraId="00126A6B">
            <w:pPr>
              <w:snapToGrid w:val="0"/>
              <w:spacing w:line="360" w:lineRule="auto"/>
              <w:ind w:left="420" w:leftChars="200"/>
              <w:rPr>
                <w:b/>
                <w:sz w:val="24"/>
                <w:u w:val="none"/>
              </w:rPr>
            </w:pPr>
            <w:r>
              <w:rPr>
                <w:rFonts w:hint="eastAsia"/>
                <w:b/>
                <w:sz w:val="24"/>
                <w:u w:val="none"/>
              </w:rPr>
              <w:t>（1）车辆清洗废水</w:t>
            </w:r>
          </w:p>
          <w:p w14:paraId="4ADEDEF5">
            <w:pPr>
              <w:spacing w:line="360" w:lineRule="auto"/>
              <w:ind w:firstLine="480" w:firstLineChars="200"/>
              <w:rPr>
                <w:sz w:val="24"/>
                <w:u w:val="none"/>
              </w:rPr>
            </w:pPr>
            <w:r>
              <w:rPr>
                <w:rFonts w:hint="eastAsia"/>
                <w:sz w:val="24"/>
                <w:u w:val="none"/>
              </w:rPr>
              <w:t>本项目车辆清洗废水产生量为10.98m</w:t>
            </w:r>
            <w:r>
              <w:rPr>
                <w:rFonts w:hint="eastAsia"/>
                <w:sz w:val="24"/>
                <w:u w:val="none"/>
                <w:vertAlign w:val="superscript"/>
              </w:rPr>
              <w:t>3</w:t>
            </w:r>
            <w:r>
              <w:rPr>
                <w:rFonts w:hint="eastAsia"/>
                <w:sz w:val="24"/>
                <w:u w:val="none"/>
              </w:rPr>
              <w:t>/d（3294m</w:t>
            </w:r>
            <w:r>
              <w:rPr>
                <w:rFonts w:hint="eastAsia"/>
                <w:sz w:val="24"/>
                <w:u w:val="none"/>
                <w:vertAlign w:val="superscript"/>
              </w:rPr>
              <w:t>3</w:t>
            </w:r>
            <w:r>
              <w:rPr>
                <w:rFonts w:hint="eastAsia"/>
                <w:sz w:val="24"/>
                <w:u w:val="none"/>
              </w:rPr>
              <w:t>/a），建设方在场区建设1个容积为54m</w:t>
            </w:r>
            <w:r>
              <w:rPr>
                <w:rFonts w:hint="eastAsia"/>
                <w:sz w:val="24"/>
                <w:u w:val="none"/>
                <w:vertAlign w:val="superscript"/>
              </w:rPr>
              <w:t>3</w:t>
            </w:r>
            <w:r>
              <w:rPr>
                <w:rFonts w:hint="eastAsia"/>
                <w:sz w:val="24"/>
                <w:u w:val="none"/>
              </w:rPr>
              <w:t>的车辆清洗废水沉淀池，车辆清洗废水经沉淀后回用于车辆清洗，</w:t>
            </w:r>
            <w:r>
              <w:rPr>
                <w:sz w:val="24"/>
                <w:u w:val="none"/>
              </w:rPr>
              <w:t>容积能满足</w:t>
            </w:r>
            <w:r>
              <w:rPr>
                <w:rFonts w:hint="eastAsia"/>
                <w:sz w:val="24"/>
                <w:u w:val="none"/>
              </w:rPr>
              <w:t>要求</w:t>
            </w:r>
            <w:r>
              <w:rPr>
                <w:sz w:val="24"/>
                <w:u w:val="none"/>
              </w:rPr>
              <w:t>，对周围地表水环境影响较小，措施可行</w:t>
            </w:r>
            <w:r>
              <w:rPr>
                <w:rFonts w:hint="eastAsia"/>
                <w:sz w:val="24"/>
                <w:u w:val="none"/>
              </w:rPr>
              <w:t>。</w:t>
            </w:r>
          </w:p>
          <w:p w14:paraId="6322EFAF">
            <w:pPr>
              <w:snapToGrid w:val="0"/>
              <w:spacing w:line="360" w:lineRule="auto"/>
              <w:ind w:left="420" w:leftChars="200"/>
              <w:rPr>
                <w:b/>
                <w:sz w:val="24"/>
                <w:u w:val="none"/>
              </w:rPr>
            </w:pPr>
            <w:r>
              <w:rPr>
                <w:rFonts w:hint="eastAsia"/>
                <w:b/>
                <w:sz w:val="24"/>
                <w:u w:val="none"/>
              </w:rPr>
              <w:t>（2）场地雨污水</w:t>
            </w:r>
          </w:p>
          <w:p w14:paraId="194C7266">
            <w:pPr>
              <w:spacing w:line="360" w:lineRule="auto"/>
              <w:ind w:firstLine="480" w:firstLineChars="200"/>
              <w:rPr>
                <w:sz w:val="24"/>
                <w:u w:val="none"/>
              </w:rPr>
            </w:pPr>
            <w:r>
              <w:rPr>
                <w:rFonts w:hint="eastAsia"/>
                <w:sz w:val="24"/>
                <w:u w:val="none"/>
              </w:rPr>
              <w:t>本项目场地雨污水量为5.6</w:t>
            </w:r>
            <w:r>
              <w:rPr>
                <w:sz w:val="24"/>
                <w:u w:val="none"/>
              </w:rPr>
              <w:t>m</w:t>
            </w:r>
            <w:r>
              <w:rPr>
                <w:sz w:val="24"/>
                <w:u w:val="none"/>
                <w:vertAlign w:val="superscript"/>
              </w:rPr>
              <w:t>3</w:t>
            </w:r>
            <w:r>
              <w:rPr>
                <w:sz w:val="24"/>
                <w:u w:val="none"/>
              </w:rPr>
              <w:t>/</w:t>
            </w:r>
            <w:r>
              <w:rPr>
                <w:rFonts w:hint="eastAsia"/>
                <w:sz w:val="24"/>
                <w:u w:val="none"/>
              </w:rPr>
              <w:t>次（784m</w:t>
            </w:r>
            <w:r>
              <w:rPr>
                <w:rFonts w:hint="eastAsia"/>
                <w:sz w:val="24"/>
                <w:u w:val="none"/>
                <w:vertAlign w:val="superscript"/>
              </w:rPr>
              <w:t>3</w:t>
            </w:r>
            <w:r>
              <w:rPr>
                <w:rFonts w:hint="eastAsia"/>
                <w:sz w:val="24"/>
                <w:u w:val="none"/>
              </w:rPr>
              <w:t>/a），建设方在场区建设1个容积为144m</w:t>
            </w:r>
            <w:r>
              <w:rPr>
                <w:rFonts w:hint="eastAsia"/>
                <w:sz w:val="24"/>
                <w:u w:val="none"/>
                <w:vertAlign w:val="superscript"/>
              </w:rPr>
              <w:t>3</w:t>
            </w:r>
            <w:r>
              <w:rPr>
                <w:rFonts w:hint="eastAsia"/>
                <w:sz w:val="24"/>
                <w:u w:val="none"/>
              </w:rPr>
              <w:t>的场地雨污水收集池，场地雨污水经沉淀后回用于大棚喷雾降尘。项目仓储大棚降尘用水量为3600</w:t>
            </w:r>
            <w:r>
              <w:rPr>
                <w:rFonts w:hint="eastAsia"/>
                <w:bCs/>
                <w:sz w:val="24"/>
                <w:u w:val="none"/>
              </w:rPr>
              <w:t>m</w:t>
            </w:r>
            <w:r>
              <w:rPr>
                <w:rFonts w:hint="eastAsia"/>
                <w:bCs/>
                <w:sz w:val="24"/>
                <w:u w:val="none"/>
                <w:vertAlign w:val="superscript"/>
              </w:rPr>
              <w:t>3</w:t>
            </w:r>
            <w:r>
              <w:rPr>
                <w:rFonts w:hint="eastAsia"/>
                <w:bCs/>
                <w:sz w:val="24"/>
                <w:u w:val="none"/>
              </w:rPr>
              <w:t>/a</w:t>
            </w:r>
            <w:r>
              <w:rPr>
                <w:rFonts w:hint="eastAsia"/>
                <w:sz w:val="24"/>
                <w:u w:val="none"/>
              </w:rPr>
              <w:t>，大于项目场地雨污水量784m</w:t>
            </w:r>
            <w:r>
              <w:rPr>
                <w:rFonts w:hint="eastAsia"/>
                <w:sz w:val="24"/>
                <w:u w:val="none"/>
                <w:vertAlign w:val="superscript"/>
              </w:rPr>
              <w:t>3</w:t>
            </w:r>
            <w:r>
              <w:rPr>
                <w:rFonts w:hint="eastAsia"/>
                <w:sz w:val="24"/>
                <w:u w:val="none"/>
              </w:rPr>
              <w:t>/a，场地雨污水经过沉淀后可全部回用，不外排，</w:t>
            </w:r>
            <w:r>
              <w:rPr>
                <w:sz w:val="24"/>
                <w:u w:val="none"/>
              </w:rPr>
              <w:t>容积能满足</w:t>
            </w:r>
            <w:r>
              <w:rPr>
                <w:rFonts w:hint="eastAsia"/>
                <w:sz w:val="24"/>
                <w:u w:val="none"/>
              </w:rPr>
              <w:t>要求</w:t>
            </w:r>
            <w:r>
              <w:rPr>
                <w:sz w:val="24"/>
                <w:u w:val="none"/>
              </w:rPr>
              <w:t>，对周围地表水环境影响较小，措施可行</w:t>
            </w:r>
            <w:r>
              <w:rPr>
                <w:rFonts w:hint="eastAsia"/>
                <w:sz w:val="24"/>
                <w:u w:val="none"/>
              </w:rPr>
              <w:t>。</w:t>
            </w:r>
          </w:p>
          <w:p w14:paraId="691AE773">
            <w:pPr>
              <w:snapToGrid w:val="0"/>
              <w:spacing w:line="360" w:lineRule="auto"/>
              <w:ind w:left="420" w:leftChars="200"/>
              <w:rPr>
                <w:b/>
                <w:sz w:val="24"/>
                <w:u w:val="none"/>
              </w:rPr>
            </w:pPr>
            <w:r>
              <w:rPr>
                <w:rFonts w:hint="eastAsia"/>
                <w:b/>
                <w:sz w:val="24"/>
                <w:u w:val="none"/>
              </w:rPr>
              <w:t>（3）生活污水</w:t>
            </w:r>
          </w:p>
          <w:p w14:paraId="394E06CD">
            <w:pPr>
              <w:pStyle w:val="160"/>
              <w:wordWrap w:val="0"/>
              <w:ind w:firstLine="482"/>
              <w:rPr>
                <w:b/>
                <w:bCs/>
                <w:u w:val="none"/>
              </w:rPr>
            </w:pPr>
            <w:r>
              <w:rPr>
                <w:b/>
                <w:bCs/>
                <w:u w:val="none"/>
              </w:rPr>
              <w:t>①</w:t>
            </w:r>
            <w:r>
              <w:rPr>
                <w:rFonts w:hint="eastAsia"/>
                <w:b/>
                <w:bCs/>
                <w:u w:val="none"/>
              </w:rPr>
              <w:t>处理工艺可行性分析</w:t>
            </w:r>
          </w:p>
          <w:p w14:paraId="3485CE5F">
            <w:pPr>
              <w:spacing w:line="360" w:lineRule="auto"/>
              <w:ind w:firstLine="480" w:firstLineChars="200"/>
              <w:rPr>
                <w:sz w:val="24"/>
                <w:u w:val="none"/>
              </w:rPr>
            </w:pPr>
            <w:r>
              <w:rPr>
                <w:rFonts w:hint="eastAsia"/>
                <w:sz w:val="24"/>
                <w:u w:val="none"/>
              </w:rPr>
              <w:t>项目职工生活污水采用一体化污水处理站进行处理，处理工艺为“AO+消毒”，处理工艺如下图：</w:t>
            </w:r>
          </w:p>
          <w:p w14:paraId="7D305E28">
            <w:pPr>
              <w:jc w:val="center"/>
              <w:rPr>
                <w:sz w:val="24"/>
                <w:u w:val="none"/>
              </w:rPr>
            </w:pPr>
            <w:r>
              <w:rPr>
                <w:rFonts w:hint="eastAsia"/>
                <w:sz w:val="24"/>
                <w:u w:val="none"/>
              </w:rPr>
              <w:object>
                <v:shape id="_x0000_i1029" o:spt="75" type="#_x0000_t75" style="height:445.05pt;width:327.3pt;" o:ole="t" filled="f" o:preferrelative="t" stroked="f" coordsize="21600,21600">
                  <v:path/>
                  <v:fill on="f" focussize="0,0"/>
                  <v:stroke on="f" joinstyle="miter"/>
                  <v:imagedata r:id="rId18" o:title=""/>
                  <o:lock v:ext="edit" aspectratio="t"/>
                  <w10:wrap type="none"/>
                  <w10:anchorlock/>
                </v:shape>
                <o:OLEObject Type="Embed" ProgID="Visio.Drawing.11" ShapeID="_x0000_i1029" DrawAspect="Content" ObjectID="_1468075729" r:id="rId17">
                  <o:LockedField>false</o:LockedField>
                </o:OLEObject>
              </w:object>
            </w:r>
          </w:p>
          <w:p w14:paraId="66DBD4BA">
            <w:pPr>
              <w:adjustRightInd w:val="0"/>
              <w:snapToGrid w:val="0"/>
              <w:jc w:val="center"/>
              <w:rPr>
                <w:b/>
                <w:bCs/>
                <w:szCs w:val="21"/>
                <w:u w:val="none"/>
              </w:rPr>
            </w:pPr>
            <w:r>
              <w:rPr>
                <w:b/>
                <w:bCs/>
                <w:szCs w:val="21"/>
                <w:u w:val="none"/>
              </w:rPr>
              <w:t xml:space="preserve">图4-1    </w:t>
            </w:r>
            <w:r>
              <w:rPr>
                <w:rFonts w:hint="eastAsia"/>
                <w:b/>
                <w:bCs/>
                <w:szCs w:val="21"/>
                <w:u w:val="none"/>
              </w:rPr>
              <w:t>一体化</w:t>
            </w:r>
            <w:r>
              <w:rPr>
                <w:b/>
                <w:bCs/>
                <w:szCs w:val="21"/>
                <w:u w:val="none"/>
              </w:rPr>
              <w:t>污水处理站处理工艺流程图</w:t>
            </w:r>
          </w:p>
          <w:p w14:paraId="42634FE3">
            <w:pPr>
              <w:spacing w:line="360" w:lineRule="auto"/>
              <w:ind w:firstLine="480" w:firstLineChars="200"/>
              <w:rPr>
                <w:sz w:val="24"/>
                <w:u w:val="none"/>
              </w:rPr>
            </w:pPr>
            <w:r>
              <w:rPr>
                <w:rFonts w:ascii="宋体" w:hAnsi="宋体" w:cs="宋体"/>
                <w:sz w:val="24"/>
                <w:u w:val="none"/>
              </w:rPr>
              <w:t>生活污水进入格栅，通过格栅截留废水中的漂浮物、大块悬浮物后进入调节池，废水在调节池中停留一段时间后送入</w:t>
            </w:r>
            <w:r>
              <w:rPr>
                <w:sz w:val="24"/>
                <w:u w:val="none"/>
              </w:rPr>
              <w:t>A/O</w:t>
            </w:r>
            <w:r>
              <w:rPr>
                <w:rFonts w:hint="eastAsia" w:ascii="宋体" w:hAnsi="宋体" w:cs="宋体"/>
                <w:sz w:val="24"/>
                <w:u w:val="none"/>
              </w:rPr>
              <w:t>池，</w:t>
            </w:r>
            <w:r>
              <w:rPr>
                <w:rFonts w:ascii="宋体" w:hAnsi="宋体" w:cs="宋体"/>
                <w:sz w:val="24"/>
                <w:u w:val="none"/>
              </w:rPr>
              <w:t>缺氧池是在无氧条件下进行反硝化反应，通过聚磷菌释放磷，并吸收低级脂肪酸等易降解的有机物；好氧池是在曝气条件下，通过硝化细菌的生物硝化作用，氨氮转化成硝酸盐，同时去</w:t>
            </w:r>
            <w:r>
              <w:rPr>
                <w:sz w:val="24"/>
                <w:u w:val="none"/>
              </w:rPr>
              <w:t>除BOD</w:t>
            </w:r>
            <w:r>
              <w:rPr>
                <w:sz w:val="24"/>
                <w:u w:val="none"/>
                <w:vertAlign w:val="subscript"/>
              </w:rPr>
              <w:t>5</w:t>
            </w:r>
            <w:r>
              <w:rPr>
                <w:sz w:val="24"/>
                <w:u w:val="none"/>
              </w:rPr>
              <w:t>；</w:t>
            </w:r>
            <w:r>
              <w:rPr>
                <w:rFonts w:ascii="宋体" w:hAnsi="宋体" w:cs="宋体"/>
                <w:sz w:val="24"/>
                <w:u w:val="none"/>
              </w:rPr>
              <w:t>污水经过生化处理后进入</w:t>
            </w:r>
            <w:r>
              <w:rPr>
                <w:rFonts w:hint="eastAsia" w:ascii="宋体" w:hAnsi="宋体" w:cs="宋体"/>
                <w:sz w:val="24"/>
                <w:u w:val="none"/>
              </w:rPr>
              <w:t>二沉池，二沉池是活性污泥系统的重要组成部分，其作用主要是使污泥分离，使混合液澄清、浓缩和回流活性污泥</w:t>
            </w:r>
            <w:r>
              <w:rPr>
                <w:rFonts w:ascii="宋体" w:hAnsi="宋体" w:cs="宋体"/>
                <w:sz w:val="24"/>
                <w:u w:val="none"/>
              </w:rPr>
              <w:t>。</w:t>
            </w:r>
            <w:r>
              <w:rPr>
                <w:rFonts w:hint="eastAsia" w:ascii="宋体" w:hAnsi="宋体" w:cs="宋体"/>
                <w:sz w:val="24"/>
                <w:u w:val="none"/>
              </w:rPr>
              <w:t>二沉池排出的污泥进入污泥池浓缩干化，上清液回流入调节池。生活污水中含有许多细菌、病毒等微生物，在经过</w:t>
            </w:r>
            <w:r>
              <w:rPr>
                <w:sz w:val="24"/>
                <w:u w:val="none"/>
              </w:rPr>
              <w:t>前段的生化处理后，微生物指标可能达不到排放要求，因此，必须在末端消毒池中投加NaClO进行消毒，去除水中的粪大肠菌群等微生物，保障污水达标；处理达标后的生活污水进入清水池暂存，定期采用密闭运输工具清运用于周边旱地、种植基地及菜地灌溉</w:t>
            </w:r>
            <w:r>
              <w:rPr>
                <w:rFonts w:ascii="宋体" w:hAnsi="宋体" w:cs="宋体"/>
                <w:sz w:val="24"/>
                <w:u w:val="none"/>
              </w:rPr>
              <w:t>。</w:t>
            </w:r>
          </w:p>
          <w:p w14:paraId="707DC92F">
            <w:pPr>
              <w:spacing w:line="360" w:lineRule="auto"/>
              <w:ind w:firstLine="480" w:firstLineChars="200"/>
              <w:rPr>
                <w:sz w:val="24"/>
                <w:u w:val="none"/>
              </w:rPr>
            </w:pPr>
            <w:r>
              <w:rPr>
                <w:sz w:val="24"/>
                <w:u w:val="none"/>
              </w:rPr>
              <w:t>根据《排污许可</w:t>
            </w:r>
            <w:r>
              <w:rPr>
                <w:rFonts w:hint="eastAsia"/>
                <w:sz w:val="24"/>
                <w:u w:val="none"/>
              </w:rPr>
              <w:t>证</w:t>
            </w:r>
            <w:r>
              <w:rPr>
                <w:sz w:val="24"/>
                <w:u w:val="none"/>
              </w:rPr>
              <w:t>申请与核发技术规范 陶瓷砖瓦工业》（HJ954-2018）废水污染防治可行技术参照表，本项目生活污水处理工艺与废水处理可行技术相符性分析见表4-</w:t>
            </w:r>
            <w:r>
              <w:rPr>
                <w:rFonts w:hint="eastAsia"/>
                <w:sz w:val="24"/>
                <w:u w:val="none"/>
              </w:rPr>
              <w:t>4。</w:t>
            </w:r>
          </w:p>
          <w:p w14:paraId="7040F7C3">
            <w:pPr>
              <w:pStyle w:val="48"/>
              <w:adjustRightInd/>
              <w:spacing w:line="240" w:lineRule="auto"/>
              <w:rPr>
                <w:sz w:val="21"/>
                <w:szCs w:val="21"/>
                <w:u w:val="none"/>
              </w:rPr>
            </w:pPr>
            <w:r>
              <w:rPr>
                <w:rFonts w:hint="eastAsia"/>
                <w:sz w:val="21"/>
                <w:szCs w:val="21"/>
                <w:u w:val="none"/>
              </w:rPr>
              <w:t>表4-4   本项目生活污水处理工艺与废水</w:t>
            </w:r>
            <w:r>
              <w:rPr>
                <w:rFonts w:hint="eastAsia"/>
                <w:sz w:val="21"/>
                <w:szCs w:val="21"/>
                <w:u w:val="thick" w:color="FFB03A"/>
                <w:shd w:val="clear" w:fill="FFEFD7"/>
              </w:rPr>
              <w:t>处理</w:t>
            </w:r>
            <w:r>
              <w:rPr>
                <w:rFonts w:hint="eastAsia"/>
                <w:sz w:val="21"/>
                <w:szCs w:val="21"/>
                <w:u w:val="none"/>
              </w:rPr>
              <w:t>可行技术相符性分析表</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2894"/>
              <w:gridCol w:w="2163"/>
              <w:gridCol w:w="2037"/>
            </w:tblGrid>
            <w:tr w14:paraId="5876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6" w:type="pct"/>
                  <w:vMerge w:val="restart"/>
                  <w:vAlign w:val="center"/>
                </w:tcPr>
                <w:p w14:paraId="1647D31A">
                  <w:pPr>
                    <w:pStyle w:val="144"/>
                    <w:wordWrap w:val="0"/>
                    <w:rPr>
                      <w:b/>
                      <w:bCs/>
                      <w:u w:val="none"/>
                    </w:rPr>
                  </w:pPr>
                  <w:r>
                    <w:rPr>
                      <w:rFonts w:hint="eastAsia"/>
                      <w:b/>
                      <w:bCs/>
                      <w:u w:val="none"/>
                    </w:rPr>
                    <w:t>类型</w:t>
                  </w:r>
                </w:p>
              </w:tc>
              <w:tc>
                <w:tcPr>
                  <w:tcW w:w="1710" w:type="pct"/>
                  <w:vMerge w:val="restart"/>
                  <w:vAlign w:val="center"/>
                </w:tcPr>
                <w:p w14:paraId="1A20AA76">
                  <w:pPr>
                    <w:pStyle w:val="144"/>
                    <w:wordWrap w:val="0"/>
                    <w:rPr>
                      <w:b/>
                      <w:bCs/>
                      <w:u w:val="none"/>
                    </w:rPr>
                  </w:pPr>
                  <w:r>
                    <w:rPr>
                      <w:rFonts w:hint="eastAsia"/>
                      <w:b/>
                      <w:bCs/>
                      <w:u w:val="none"/>
                    </w:rPr>
                    <w:t>《排污许可证申请与核发技术规范 陶瓷砖瓦工业》（HJ954-2018）中可行技术</w:t>
                  </w:r>
                </w:p>
              </w:tc>
              <w:tc>
                <w:tcPr>
                  <w:tcW w:w="1278" w:type="pct"/>
                  <w:vMerge w:val="restart"/>
                  <w:vAlign w:val="center"/>
                </w:tcPr>
                <w:p w14:paraId="17CDF0BE">
                  <w:pPr>
                    <w:pStyle w:val="144"/>
                    <w:wordWrap w:val="0"/>
                    <w:rPr>
                      <w:b/>
                      <w:bCs/>
                      <w:u w:val="none"/>
                    </w:rPr>
                  </w:pPr>
                  <w:r>
                    <w:rPr>
                      <w:rFonts w:hint="eastAsia"/>
                      <w:b/>
                      <w:bCs/>
                      <w:u w:val="none"/>
                    </w:rPr>
                    <w:t>本项目污水处理工艺</w:t>
                  </w:r>
                </w:p>
              </w:tc>
              <w:tc>
                <w:tcPr>
                  <w:tcW w:w="1204" w:type="pct"/>
                  <w:vMerge w:val="restart"/>
                  <w:vAlign w:val="center"/>
                </w:tcPr>
                <w:p w14:paraId="25185CF2">
                  <w:pPr>
                    <w:pStyle w:val="144"/>
                    <w:wordWrap w:val="0"/>
                    <w:rPr>
                      <w:b/>
                      <w:bCs/>
                      <w:u w:val="none"/>
                    </w:rPr>
                  </w:pPr>
                  <w:r>
                    <w:rPr>
                      <w:rFonts w:hint="eastAsia"/>
                      <w:b/>
                      <w:bCs/>
                      <w:u w:val="none"/>
                    </w:rPr>
                    <w:t>是否属于可行技术</w:t>
                  </w:r>
                </w:p>
              </w:tc>
            </w:tr>
            <w:tr w14:paraId="1B1A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6" w:type="pct"/>
                  <w:vMerge w:val="continue"/>
                  <w:vAlign w:val="center"/>
                </w:tcPr>
                <w:p w14:paraId="5BB192C0">
                  <w:pPr>
                    <w:pStyle w:val="144"/>
                    <w:wordWrap w:val="0"/>
                    <w:rPr>
                      <w:u w:val="none"/>
                    </w:rPr>
                  </w:pPr>
                </w:p>
              </w:tc>
              <w:tc>
                <w:tcPr>
                  <w:tcW w:w="1710" w:type="pct"/>
                  <w:vMerge w:val="continue"/>
                  <w:vAlign w:val="center"/>
                </w:tcPr>
                <w:p w14:paraId="3EB27CDC">
                  <w:pPr>
                    <w:pStyle w:val="144"/>
                    <w:wordWrap w:val="0"/>
                    <w:rPr>
                      <w:u w:val="none"/>
                    </w:rPr>
                  </w:pPr>
                </w:p>
              </w:tc>
              <w:tc>
                <w:tcPr>
                  <w:tcW w:w="1278" w:type="pct"/>
                  <w:vMerge w:val="continue"/>
                  <w:vAlign w:val="center"/>
                </w:tcPr>
                <w:p w14:paraId="2292F694">
                  <w:pPr>
                    <w:pStyle w:val="144"/>
                    <w:wordWrap w:val="0"/>
                    <w:rPr>
                      <w:u w:val="none"/>
                    </w:rPr>
                  </w:pPr>
                </w:p>
              </w:tc>
              <w:tc>
                <w:tcPr>
                  <w:tcW w:w="1204" w:type="pct"/>
                  <w:vMerge w:val="continue"/>
                  <w:vAlign w:val="center"/>
                </w:tcPr>
                <w:p w14:paraId="70674B0D">
                  <w:pPr>
                    <w:pStyle w:val="144"/>
                    <w:wordWrap w:val="0"/>
                    <w:rPr>
                      <w:u w:val="none"/>
                    </w:rPr>
                  </w:pPr>
                </w:p>
              </w:tc>
            </w:tr>
            <w:tr w14:paraId="1CC9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06" w:type="pct"/>
                  <w:vAlign w:val="center"/>
                </w:tcPr>
                <w:p w14:paraId="6E8432BC">
                  <w:pPr>
                    <w:pStyle w:val="144"/>
                    <w:wordWrap w:val="0"/>
                    <w:rPr>
                      <w:u w:val="none"/>
                    </w:rPr>
                  </w:pPr>
                  <w:r>
                    <w:rPr>
                      <w:u w:val="none"/>
                    </w:rPr>
                    <w:t>生活污水</w:t>
                  </w:r>
                </w:p>
              </w:tc>
              <w:tc>
                <w:tcPr>
                  <w:tcW w:w="1710" w:type="pct"/>
                  <w:vAlign w:val="center"/>
                </w:tcPr>
                <w:p w14:paraId="2905736E">
                  <w:pPr>
                    <w:pStyle w:val="144"/>
                    <w:wordWrap w:val="0"/>
                    <w:rPr>
                      <w:u w:val="none"/>
                    </w:rPr>
                  </w:pPr>
                  <w:r>
                    <w:rPr>
                      <w:rFonts w:hint="eastAsia"/>
                      <w:u w:val="none"/>
                    </w:rPr>
                    <w:t>生物处理技术（普通活性污泥法、A/O法、接触氧化法、MBR法等）</w:t>
                  </w:r>
                </w:p>
              </w:tc>
              <w:tc>
                <w:tcPr>
                  <w:tcW w:w="1278" w:type="pct"/>
                  <w:vAlign w:val="center"/>
                </w:tcPr>
                <w:p w14:paraId="7458B5C8">
                  <w:pPr>
                    <w:pStyle w:val="144"/>
                    <w:wordWrap w:val="0"/>
                    <w:rPr>
                      <w:u w:val="none"/>
                    </w:rPr>
                  </w:pPr>
                  <w:r>
                    <w:rPr>
                      <w:u w:val="none"/>
                    </w:rPr>
                    <w:t>A/O+消毒</w:t>
                  </w:r>
                </w:p>
              </w:tc>
              <w:tc>
                <w:tcPr>
                  <w:tcW w:w="1204" w:type="pct"/>
                  <w:vAlign w:val="center"/>
                </w:tcPr>
                <w:p w14:paraId="224A3388">
                  <w:pPr>
                    <w:pStyle w:val="144"/>
                    <w:wordWrap w:val="0"/>
                    <w:rPr>
                      <w:u w:val="none"/>
                    </w:rPr>
                  </w:pPr>
                  <w:r>
                    <w:rPr>
                      <w:rFonts w:hint="eastAsia"/>
                      <w:u w:val="thick" w:color="FFB03A"/>
                      <w:shd w:val="clear" w:fill="FFEFD7"/>
                    </w:rPr>
                    <w:t>是</w:t>
                  </w:r>
                </w:p>
              </w:tc>
            </w:tr>
          </w:tbl>
          <w:p w14:paraId="34758DFE">
            <w:pPr>
              <w:spacing w:line="360" w:lineRule="auto"/>
              <w:ind w:firstLine="482" w:firstLineChars="200"/>
              <w:rPr>
                <w:b/>
                <w:bCs/>
                <w:sz w:val="24"/>
                <w:u w:val="none"/>
              </w:rPr>
            </w:pPr>
            <w:r>
              <w:rPr>
                <w:b/>
                <w:bCs/>
                <w:sz w:val="24"/>
                <w:u w:val="none"/>
              </w:rPr>
              <w:t>②</w:t>
            </w:r>
            <w:r>
              <w:rPr>
                <w:rFonts w:hint="eastAsia"/>
                <w:b/>
                <w:bCs/>
                <w:sz w:val="24"/>
                <w:u w:val="none"/>
              </w:rPr>
              <w:t>处理设施规模可行性分析</w:t>
            </w:r>
          </w:p>
          <w:p w14:paraId="4535F2E7">
            <w:pPr>
              <w:pStyle w:val="160"/>
              <w:wordWrap w:val="0"/>
              <w:ind w:firstLine="480"/>
              <w:rPr>
                <w:u w:val="none"/>
                <w:lang w:val="en-GB"/>
              </w:rPr>
            </w:pPr>
            <w:r>
              <w:rPr>
                <w:rFonts w:hint="eastAsia"/>
                <w:u w:val="none"/>
              </w:rPr>
              <w:t>项目办公生活污水产生量为0.2</w:t>
            </w:r>
            <w:r>
              <w:rPr>
                <w:u w:val="none"/>
              </w:rPr>
              <w:t>m</w:t>
            </w:r>
            <w:r>
              <w:rPr>
                <w:u w:val="none"/>
                <w:vertAlign w:val="superscript"/>
              </w:rPr>
              <w:t>3</w:t>
            </w:r>
            <w:r>
              <w:rPr>
                <w:u w:val="none"/>
              </w:rPr>
              <w:t>/d</w:t>
            </w:r>
            <w:r>
              <w:rPr>
                <w:rFonts w:hint="eastAsia"/>
                <w:u w:val="none"/>
              </w:rPr>
              <w:t>，拟建设的一体化污水处理设施处理能力为1m</w:t>
            </w:r>
            <w:r>
              <w:rPr>
                <w:rFonts w:hint="eastAsia"/>
                <w:u w:val="none"/>
                <w:vertAlign w:val="superscript"/>
              </w:rPr>
              <w:t>3</w:t>
            </w:r>
            <w:r>
              <w:rPr>
                <w:rFonts w:hint="eastAsia"/>
                <w:u w:val="none"/>
              </w:rPr>
              <w:t>/d，处理设施规模满足办公生活污水处理的需要。</w:t>
            </w:r>
          </w:p>
          <w:p w14:paraId="26621205">
            <w:pPr>
              <w:spacing w:line="360" w:lineRule="auto"/>
              <w:ind w:firstLine="482" w:firstLineChars="200"/>
              <w:rPr>
                <w:b/>
                <w:bCs/>
                <w:sz w:val="24"/>
                <w:u w:val="none"/>
              </w:rPr>
            </w:pPr>
            <w:r>
              <w:rPr>
                <w:b/>
                <w:bCs/>
                <w:sz w:val="24"/>
                <w:u w:val="none"/>
              </w:rPr>
              <w:t>③</w:t>
            </w:r>
            <w:r>
              <w:rPr>
                <w:rFonts w:hint="eastAsia"/>
                <w:b/>
                <w:bCs/>
                <w:sz w:val="24"/>
                <w:u w:val="none"/>
              </w:rPr>
              <w:t>一体化污水处理站达标</w:t>
            </w:r>
            <w:r>
              <w:rPr>
                <w:rFonts w:hint="eastAsia"/>
                <w:b/>
                <w:bCs/>
                <w:sz w:val="24"/>
                <w:u w:val="thick" w:color="FFB03A"/>
                <w:shd w:val="clear" w:fill="FFEFD7"/>
              </w:rPr>
              <w:t>可行</w:t>
            </w:r>
            <w:r>
              <w:rPr>
                <w:rFonts w:hint="eastAsia"/>
                <w:b/>
                <w:bCs/>
                <w:sz w:val="24"/>
                <w:u w:val="none"/>
              </w:rPr>
              <w:t>性分析</w:t>
            </w:r>
          </w:p>
          <w:p w14:paraId="5A14857A">
            <w:pPr>
              <w:adjustRightInd w:val="0"/>
              <w:spacing w:line="360" w:lineRule="auto"/>
              <w:ind w:firstLine="482"/>
              <w:rPr>
                <w:sz w:val="24"/>
                <w:u w:val="none"/>
              </w:rPr>
            </w:pPr>
            <w:r>
              <w:rPr>
                <w:sz w:val="24"/>
                <w:u w:val="none"/>
              </w:rPr>
              <w:t>类比同类项目，</w:t>
            </w:r>
            <w:r>
              <w:rPr>
                <w:rFonts w:hint="eastAsia"/>
                <w:sz w:val="24"/>
                <w:u w:val="none"/>
              </w:rPr>
              <w:t>一体化污水处理站对</w:t>
            </w:r>
            <w:r>
              <w:rPr>
                <w:sz w:val="24"/>
                <w:u w:val="none"/>
              </w:rPr>
              <w:t>污染物去除率分别为COD</w:t>
            </w:r>
            <w:r>
              <w:rPr>
                <w:rFonts w:hint="eastAsia"/>
                <w:sz w:val="24"/>
                <w:u w:val="none"/>
              </w:rPr>
              <w:t>cr</w:t>
            </w:r>
            <w:r>
              <w:rPr>
                <w:sz w:val="24"/>
                <w:u w:val="none"/>
              </w:rPr>
              <w:t>：</w:t>
            </w:r>
            <w:r>
              <w:rPr>
                <w:rFonts w:hint="eastAsia"/>
                <w:sz w:val="24"/>
                <w:u w:val="none"/>
              </w:rPr>
              <w:t>85</w:t>
            </w:r>
            <w:r>
              <w:rPr>
                <w:sz w:val="24"/>
                <w:u w:val="none"/>
              </w:rPr>
              <w:t>%、BOD</w:t>
            </w:r>
            <w:r>
              <w:rPr>
                <w:sz w:val="24"/>
                <w:u w:val="none"/>
                <w:vertAlign w:val="subscript"/>
              </w:rPr>
              <w:t>5</w:t>
            </w:r>
            <w:r>
              <w:rPr>
                <w:sz w:val="24"/>
                <w:u w:val="none"/>
              </w:rPr>
              <w:t>：</w:t>
            </w:r>
            <w:r>
              <w:rPr>
                <w:rFonts w:hint="eastAsia"/>
                <w:sz w:val="24"/>
                <w:u w:val="none"/>
              </w:rPr>
              <w:t>90</w:t>
            </w:r>
            <w:r>
              <w:rPr>
                <w:sz w:val="24"/>
                <w:u w:val="none"/>
              </w:rPr>
              <w:t>%、NH</w:t>
            </w:r>
            <w:r>
              <w:rPr>
                <w:sz w:val="24"/>
                <w:u w:val="none"/>
                <w:vertAlign w:val="subscript"/>
              </w:rPr>
              <w:t>3</w:t>
            </w:r>
            <w:r>
              <w:rPr>
                <w:sz w:val="24"/>
                <w:u w:val="none"/>
              </w:rPr>
              <w:t>-N：</w:t>
            </w:r>
            <w:r>
              <w:rPr>
                <w:rFonts w:hint="eastAsia"/>
                <w:sz w:val="24"/>
                <w:u w:val="none"/>
              </w:rPr>
              <w:t>70</w:t>
            </w:r>
            <w:r>
              <w:rPr>
                <w:sz w:val="24"/>
                <w:u w:val="none"/>
              </w:rPr>
              <w:t>%</w:t>
            </w:r>
            <w:r>
              <w:rPr>
                <w:rFonts w:hint="eastAsia"/>
                <w:sz w:val="24"/>
                <w:u w:val="none"/>
              </w:rPr>
              <w:t>、</w:t>
            </w:r>
            <w:r>
              <w:rPr>
                <w:sz w:val="24"/>
                <w:u w:val="none"/>
              </w:rPr>
              <w:t>SS：</w:t>
            </w:r>
            <w:r>
              <w:rPr>
                <w:rFonts w:hint="eastAsia"/>
                <w:sz w:val="24"/>
                <w:u w:val="none"/>
              </w:rPr>
              <w:t>80</w:t>
            </w:r>
            <w:r>
              <w:rPr>
                <w:sz w:val="24"/>
                <w:u w:val="none"/>
              </w:rPr>
              <w:t>%。</w:t>
            </w:r>
          </w:p>
          <w:p w14:paraId="218E26D1">
            <w:pPr>
              <w:pStyle w:val="48"/>
              <w:adjustRightInd/>
              <w:spacing w:line="240" w:lineRule="auto"/>
              <w:rPr>
                <w:sz w:val="21"/>
                <w:szCs w:val="21"/>
                <w:u w:val="none"/>
              </w:rPr>
            </w:pPr>
            <w:r>
              <w:rPr>
                <w:sz w:val="21"/>
                <w:szCs w:val="21"/>
                <w:u w:val="none"/>
              </w:rPr>
              <w:t>表4-</w:t>
            </w:r>
            <w:r>
              <w:rPr>
                <w:rFonts w:hint="eastAsia"/>
                <w:sz w:val="21"/>
                <w:szCs w:val="21"/>
                <w:u w:val="none"/>
              </w:rPr>
              <w:t>5</w:t>
            </w:r>
            <w:r>
              <w:rPr>
                <w:sz w:val="21"/>
                <w:szCs w:val="21"/>
                <w:u w:val="none"/>
              </w:rPr>
              <w:t xml:space="preserve"> </w:t>
            </w:r>
            <w:r>
              <w:rPr>
                <w:rFonts w:hint="eastAsia"/>
                <w:sz w:val="21"/>
                <w:szCs w:val="21"/>
                <w:u w:val="none"/>
              </w:rPr>
              <w:t xml:space="preserve">  生活污水</w:t>
            </w:r>
            <w:r>
              <w:rPr>
                <w:sz w:val="21"/>
                <w:szCs w:val="21"/>
                <w:u w:val="none"/>
              </w:rPr>
              <w:t>水量、水质汇总表</w:t>
            </w:r>
          </w:p>
          <w:tbl>
            <w:tblPr>
              <w:tblStyle w:val="37"/>
              <w:tblW w:w="4998" w:type="pct"/>
              <w:tblInd w:w="0" w:type="dxa"/>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Layout w:type="autofit"/>
              <w:tblCellMar>
                <w:top w:w="0" w:type="dxa"/>
                <w:left w:w="108" w:type="dxa"/>
                <w:bottom w:w="0" w:type="dxa"/>
                <w:right w:w="108" w:type="dxa"/>
              </w:tblCellMar>
            </w:tblPr>
            <w:tblGrid>
              <w:gridCol w:w="542"/>
              <w:gridCol w:w="2423"/>
              <w:gridCol w:w="1192"/>
              <w:gridCol w:w="1100"/>
              <w:gridCol w:w="1067"/>
              <w:gridCol w:w="1072"/>
              <w:gridCol w:w="1067"/>
            </w:tblGrid>
            <w:tr w14:paraId="24B7B45E">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PrEx>
              <w:trPr>
                <w:trHeight w:val="395" w:hRule="atLeast"/>
              </w:trPr>
              <w:tc>
                <w:tcPr>
                  <w:tcW w:w="321" w:type="pct"/>
                  <w:vMerge w:val="restart"/>
                  <w:tcBorders>
                    <w:tl2br w:val="nil"/>
                    <w:tr2bl w:val="nil"/>
                  </w:tcBorders>
                  <w:vAlign w:val="center"/>
                </w:tcPr>
                <w:p w14:paraId="65F97220">
                  <w:pPr>
                    <w:adjustRightInd w:val="0"/>
                    <w:snapToGrid w:val="0"/>
                    <w:jc w:val="center"/>
                    <w:rPr>
                      <w:szCs w:val="21"/>
                      <w:u w:val="none"/>
                    </w:rPr>
                  </w:pPr>
                  <w:r>
                    <w:rPr>
                      <w:szCs w:val="21"/>
                      <w:u w:val="none"/>
                    </w:rPr>
                    <w:t>类别</w:t>
                  </w:r>
                </w:p>
              </w:tc>
              <w:tc>
                <w:tcPr>
                  <w:tcW w:w="1431" w:type="pct"/>
                  <w:vMerge w:val="restart"/>
                  <w:tcBorders>
                    <w:tl2br w:val="nil"/>
                    <w:tr2bl w:val="nil"/>
                  </w:tcBorders>
                  <w:vAlign w:val="center"/>
                </w:tcPr>
                <w:p w14:paraId="672AC25B">
                  <w:pPr>
                    <w:adjustRightInd w:val="0"/>
                    <w:snapToGrid w:val="0"/>
                    <w:jc w:val="center"/>
                    <w:rPr>
                      <w:szCs w:val="21"/>
                      <w:u w:val="none"/>
                    </w:rPr>
                  </w:pPr>
                  <w:r>
                    <w:rPr>
                      <w:szCs w:val="21"/>
                      <w:u w:val="none"/>
                    </w:rPr>
                    <w:t>废水类型</w:t>
                  </w:r>
                </w:p>
              </w:tc>
              <w:tc>
                <w:tcPr>
                  <w:tcW w:w="704" w:type="pct"/>
                  <w:vMerge w:val="restart"/>
                  <w:tcBorders>
                    <w:tl2br w:val="nil"/>
                    <w:tr2bl w:val="nil"/>
                  </w:tcBorders>
                  <w:vAlign w:val="center"/>
                </w:tcPr>
                <w:p w14:paraId="49F39C29">
                  <w:pPr>
                    <w:adjustRightInd w:val="0"/>
                    <w:snapToGrid w:val="0"/>
                    <w:jc w:val="center"/>
                    <w:rPr>
                      <w:szCs w:val="21"/>
                      <w:u w:val="none"/>
                    </w:rPr>
                  </w:pPr>
                  <w:r>
                    <w:rPr>
                      <w:szCs w:val="21"/>
                      <w:u w:val="none"/>
                    </w:rPr>
                    <w:t>水量（</w:t>
                  </w:r>
                  <w:r>
                    <w:rPr>
                      <w:rFonts w:hint="eastAsia"/>
                      <w:szCs w:val="21"/>
                      <w:u w:val="none"/>
                    </w:rPr>
                    <w:t>m</w:t>
                  </w:r>
                  <w:r>
                    <w:rPr>
                      <w:rFonts w:hint="eastAsia"/>
                      <w:szCs w:val="21"/>
                      <w:u w:val="none"/>
                      <w:vertAlign w:val="superscript"/>
                    </w:rPr>
                    <w:t>3</w:t>
                  </w:r>
                  <w:r>
                    <w:rPr>
                      <w:szCs w:val="21"/>
                      <w:u w:val="none"/>
                    </w:rPr>
                    <w:t>/a）</w:t>
                  </w:r>
                </w:p>
              </w:tc>
              <w:tc>
                <w:tcPr>
                  <w:tcW w:w="2543" w:type="pct"/>
                  <w:gridSpan w:val="4"/>
                  <w:tcBorders>
                    <w:right w:val="single" w:color="auto" w:sz="4" w:space="0"/>
                    <w:tl2br w:val="nil"/>
                    <w:tr2bl w:val="nil"/>
                  </w:tcBorders>
                  <w:vAlign w:val="center"/>
                </w:tcPr>
                <w:p w14:paraId="510F1AB4">
                  <w:pPr>
                    <w:adjustRightInd w:val="0"/>
                    <w:snapToGrid w:val="0"/>
                    <w:jc w:val="center"/>
                    <w:rPr>
                      <w:szCs w:val="21"/>
                      <w:u w:val="none"/>
                    </w:rPr>
                  </w:pPr>
                  <w:r>
                    <w:rPr>
                      <w:szCs w:val="21"/>
                      <w:u w:val="none"/>
                    </w:rPr>
                    <w:t>污染物浓度（mg/L）</w:t>
                  </w:r>
                </w:p>
              </w:tc>
            </w:tr>
            <w:tr w14:paraId="4954835D">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21" w:type="pct"/>
                  <w:vMerge w:val="continue"/>
                  <w:tcBorders>
                    <w:tl2br w:val="nil"/>
                    <w:tr2bl w:val="nil"/>
                  </w:tcBorders>
                  <w:vAlign w:val="center"/>
                </w:tcPr>
                <w:p w14:paraId="7410FDF6">
                  <w:pPr>
                    <w:adjustRightInd w:val="0"/>
                    <w:snapToGrid w:val="0"/>
                    <w:jc w:val="center"/>
                    <w:rPr>
                      <w:szCs w:val="21"/>
                      <w:u w:val="none"/>
                    </w:rPr>
                  </w:pPr>
                </w:p>
              </w:tc>
              <w:tc>
                <w:tcPr>
                  <w:tcW w:w="1431" w:type="pct"/>
                  <w:vMerge w:val="continue"/>
                  <w:tcBorders>
                    <w:tl2br w:val="nil"/>
                    <w:tr2bl w:val="nil"/>
                  </w:tcBorders>
                  <w:vAlign w:val="center"/>
                </w:tcPr>
                <w:p w14:paraId="459132A7">
                  <w:pPr>
                    <w:adjustRightInd w:val="0"/>
                    <w:snapToGrid w:val="0"/>
                    <w:jc w:val="center"/>
                    <w:rPr>
                      <w:szCs w:val="21"/>
                      <w:u w:val="none"/>
                    </w:rPr>
                  </w:pPr>
                </w:p>
              </w:tc>
              <w:tc>
                <w:tcPr>
                  <w:tcW w:w="704" w:type="pct"/>
                  <w:vMerge w:val="continue"/>
                  <w:tcBorders>
                    <w:tl2br w:val="nil"/>
                    <w:tr2bl w:val="nil"/>
                  </w:tcBorders>
                  <w:vAlign w:val="center"/>
                </w:tcPr>
                <w:p w14:paraId="1DF8206F">
                  <w:pPr>
                    <w:adjustRightInd w:val="0"/>
                    <w:snapToGrid w:val="0"/>
                    <w:jc w:val="center"/>
                    <w:rPr>
                      <w:szCs w:val="21"/>
                      <w:u w:val="none"/>
                    </w:rPr>
                  </w:pPr>
                </w:p>
              </w:tc>
              <w:tc>
                <w:tcPr>
                  <w:tcW w:w="650" w:type="pct"/>
                  <w:tcBorders>
                    <w:tl2br w:val="nil"/>
                    <w:tr2bl w:val="nil"/>
                  </w:tcBorders>
                  <w:vAlign w:val="center"/>
                </w:tcPr>
                <w:p w14:paraId="66F7DED3">
                  <w:pPr>
                    <w:adjustRightInd w:val="0"/>
                    <w:snapToGrid w:val="0"/>
                    <w:jc w:val="center"/>
                    <w:rPr>
                      <w:szCs w:val="21"/>
                      <w:u w:val="none"/>
                    </w:rPr>
                  </w:pPr>
                  <w:r>
                    <w:rPr>
                      <w:szCs w:val="21"/>
                      <w:u w:val="none"/>
                    </w:rPr>
                    <w:t>CODcr</w:t>
                  </w:r>
                </w:p>
              </w:tc>
              <w:tc>
                <w:tcPr>
                  <w:tcW w:w="630" w:type="pct"/>
                  <w:tcBorders>
                    <w:tl2br w:val="nil"/>
                    <w:tr2bl w:val="nil"/>
                  </w:tcBorders>
                  <w:vAlign w:val="center"/>
                </w:tcPr>
                <w:p w14:paraId="2031F1DA">
                  <w:pPr>
                    <w:adjustRightInd w:val="0"/>
                    <w:snapToGrid w:val="0"/>
                    <w:jc w:val="center"/>
                    <w:rPr>
                      <w:szCs w:val="21"/>
                      <w:u w:val="none"/>
                    </w:rPr>
                  </w:pPr>
                  <w:r>
                    <w:rPr>
                      <w:szCs w:val="21"/>
                      <w:u w:val="none"/>
                    </w:rPr>
                    <w:t>BOD</w:t>
                  </w:r>
                  <w:r>
                    <w:rPr>
                      <w:szCs w:val="21"/>
                      <w:u w:val="none"/>
                      <w:vertAlign w:val="subscript"/>
                    </w:rPr>
                    <w:t>5</w:t>
                  </w:r>
                </w:p>
              </w:tc>
              <w:tc>
                <w:tcPr>
                  <w:tcW w:w="633" w:type="pct"/>
                  <w:tcBorders>
                    <w:tl2br w:val="nil"/>
                    <w:tr2bl w:val="nil"/>
                  </w:tcBorders>
                  <w:vAlign w:val="center"/>
                </w:tcPr>
                <w:p w14:paraId="6031E168">
                  <w:pPr>
                    <w:adjustRightInd w:val="0"/>
                    <w:snapToGrid w:val="0"/>
                    <w:jc w:val="center"/>
                    <w:rPr>
                      <w:szCs w:val="21"/>
                      <w:u w:val="none"/>
                    </w:rPr>
                  </w:pPr>
                  <w:r>
                    <w:rPr>
                      <w:szCs w:val="21"/>
                      <w:u w:val="none"/>
                    </w:rPr>
                    <w:t>NH</w:t>
                  </w:r>
                  <w:r>
                    <w:rPr>
                      <w:szCs w:val="21"/>
                      <w:u w:val="none"/>
                      <w:vertAlign w:val="subscript"/>
                    </w:rPr>
                    <w:t>3</w:t>
                  </w:r>
                  <w:r>
                    <w:rPr>
                      <w:szCs w:val="21"/>
                      <w:u w:val="none"/>
                    </w:rPr>
                    <w:t>-N</w:t>
                  </w:r>
                </w:p>
              </w:tc>
              <w:tc>
                <w:tcPr>
                  <w:tcW w:w="626" w:type="pct"/>
                  <w:tcBorders>
                    <w:right w:val="single" w:color="auto" w:sz="4" w:space="0"/>
                    <w:tl2br w:val="nil"/>
                    <w:tr2bl w:val="nil"/>
                  </w:tcBorders>
                  <w:vAlign w:val="center"/>
                </w:tcPr>
                <w:p w14:paraId="736CDE97">
                  <w:pPr>
                    <w:adjustRightInd w:val="0"/>
                    <w:snapToGrid w:val="0"/>
                    <w:jc w:val="center"/>
                    <w:rPr>
                      <w:szCs w:val="21"/>
                      <w:u w:val="none"/>
                    </w:rPr>
                  </w:pPr>
                  <w:r>
                    <w:rPr>
                      <w:szCs w:val="21"/>
                      <w:u w:val="none"/>
                    </w:rPr>
                    <w:t>SS</w:t>
                  </w:r>
                </w:p>
              </w:tc>
            </w:tr>
            <w:tr w14:paraId="32CE4A39">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84" w:hRule="atLeast"/>
              </w:trPr>
              <w:tc>
                <w:tcPr>
                  <w:tcW w:w="321" w:type="pct"/>
                  <w:vMerge w:val="restart"/>
                  <w:tcBorders>
                    <w:tl2br w:val="nil"/>
                    <w:tr2bl w:val="nil"/>
                  </w:tcBorders>
                  <w:vAlign w:val="center"/>
                </w:tcPr>
                <w:p w14:paraId="2627264D">
                  <w:pPr>
                    <w:adjustRightInd w:val="0"/>
                    <w:snapToGrid w:val="0"/>
                    <w:jc w:val="center"/>
                    <w:rPr>
                      <w:szCs w:val="21"/>
                      <w:u w:val="none"/>
                    </w:rPr>
                  </w:pPr>
                  <w:r>
                    <w:rPr>
                      <w:rFonts w:hint="eastAsia"/>
                      <w:szCs w:val="21"/>
                      <w:u w:val="none"/>
                    </w:rPr>
                    <w:t>一体化</w:t>
                  </w:r>
                  <w:r>
                    <w:rPr>
                      <w:szCs w:val="21"/>
                      <w:u w:val="none"/>
                    </w:rPr>
                    <w:t>污水处理站</w:t>
                  </w:r>
                </w:p>
              </w:tc>
              <w:tc>
                <w:tcPr>
                  <w:tcW w:w="1431" w:type="pct"/>
                  <w:tcBorders>
                    <w:tl2br w:val="nil"/>
                    <w:tr2bl w:val="nil"/>
                  </w:tcBorders>
                  <w:vAlign w:val="center"/>
                </w:tcPr>
                <w:p w14:paraId="19D203FE">
                  <w:pPr>
                    <w:adjustRightInd w:val="0"/>
                    <w:snapToGrid w:val="0"/>
                    <w:jc w:val="center"/>
                    <w:rPr>
                      <w:szCs w:val="21"/>
                      <w:u w:val="none"/>
                    </w:rPr>
                  </w:pPr>
                  <w:r>
                    <w:rPr>
                      <w:rFonts w:hint="eastAsia"/>
                      <w:kern w:val="0"/>
                      <w:szCs w:val="21"/>
                      <w:u w:val="none"/>
                    </w:rPr>
                    <w:t>生活污水</w:t>
                  </w:r>
                </w:p>
              </w:tc>
              <w:tc>
                <w:tcPr>
                  <w:tcW w:w="704" w:type="pct"/>
                  <w:tcBorders>
                    <w:tl2br w:val="nil"/>
                    <w:tr2bl w:val="nil"/>
                  </w:tcBorders>
                  <w:vAlign w:val="center"/>
                </w:tcPr>
                <w:p w14:paraId="6EDCE189">
                  <w:pPr>
                    <w:jc w:val="center"/>
                    <w:rPr>
                      <w:szCs w:val="21"/>
                      <w:u w:val="none"/>
                    </w:rPr>
                  </w:pPr>
                  <w:r>
                    <w:rPr>
                      <w:rFonts w:hint="eastAsia"/>
                      <w:szCs w:val="21"/>
                      <w:u w:val="none"/>
                    </w:rPr>
                    <w:t>60</w:t>
                  </w:r>
                </w:p>
              </w:tc>
              <w:tc>
                <w:tcPr>
                  <w:tcW w:w="650" w:type="pct"/>
                  <w:tcBorders>
                    <w:tl2br w:val="nil"/>
                    <w:tr2bl w:val="nil"/>
                  </w:tcBorders>
                  <w:vAlign w:val="center"/>
                </w:tcPr>
                <w:p w14:paraId="31A6070C">
                  <w:pPr>
                    <w:adjustRightInd w:val="0"/>
                    <w:snapToGrid w:val="0"/>
                    <w:jc w:val="center"/>
                    <w:rPr>
                      <w:szCs w:val="21"/>
                      <w:u w:val="none"/>
                    </w:rPr>
                  </w:pPr>
                  <w:r>
                    <w:rPr>
                      <w:rFonts w:hint="eastAsia"/>
                      <w:szCs w:val="21"/>
                      <w:u w:val="none"/>
                    </w:rPr>
                    <w:t>325</w:t>
                  </w:r>
                </w:p>
              </w:tc>
              <w:tc>
                <w:tcPr>
                  <w:tcW w:w="630" w:type="pct"/>
                  <w:tcBorders>
                    <w:tl2br w:val="nil"/>
                    <w:tr2bl w:val="nil"/>
                  </w:tcBorders>
                  <w:vAlign w:val="center"/>
                </w:tcPr>
                <w:p w14:paraId="52C1F8F9">
                  <w:pPr>
                    <w:adjustRightInd w:val="0"/>
                    <w:snapToGrid w:val="0"/>
                    <w:jc w:val="center"/>
                    <w:rPr>
                      <w:szCs w:val="21"/>
                      <w:u w:val="none"/>
                    </w:rPr>
                  </w:pPr>
                  <w:r>
                    <w:rPr>
                      <w:rFonts w:hint="eastAsia"/>
                      <w:szCs w:val="21"/>
                      <w:u w:val="none"/>
                    </w:rPr>
                    <w:t>200</w:t>
                  </w:r>
                </w:p>
              </w:tc>
              <w:tc>
                <w:tcPr>
                  <w:tcW w:w="633" w:type="pct"/>
                  <w:tcBorders>
                    <w:tl2br w:val="nil"/>
                    <w:tr2bl w:val="nil"/>
                  </w:tcBorders>
                  <w:vAlign w:val="center"/>
                </w:tcPr>
                <w:p w14:paraId="77C747E9">
                  <w:pPr>
                    <w:adjustRightInd w:val="0"/>
                    <w:snapToGrid w:val="0"/>
                    <w:jc w:val="center"/>
                    <w:rPr>
                      <w:szCs w:val="21"/>
                      <w:u w:val="none"/>
                    </w:rPr>
                  </w:pPr>
                  <w:r>
                    <w:rPr>
                      <w:rFonts w:hint="eastAsia"/>
                      <w:szCs w:val="21"/>
                      <w:u w:val="none"/>
                    </w:rPr>
                    <w:t>37.7</w:t>
                  </w:r>
                </w:p>
              </w:tc>
              <w:tc>
                <w:tcPr>
                  <w:tcW w:w="626" w:type="pct"/>
                  <w:tcBorders>
                    <w:right w:val="single" w:color="auto" w:sz="4" w:space="0"/>
                    <w:tl2br w:val="nil"/>
                    <w:tr2bl w:val="nil"/>
                  </w:tcBorders>
                  <w:vAlign w:val="center"/>
                </w:tcPr>
                <w:p w14:paraId="19615EE8">
                  <w:pPr>
                    <w:adjustRightInd w:val="0"/>
                    <w:snapToGrid w:val="0"/>
                    <w:jc w:val="center"/>
                    <w:rPr>
                      <w:szCs w:val="21"/>
                      <w:u w:val="none"/>
                    </w:rPr>
                  </w:pPr>
                  <w:r>
                    <w:rPr>
                      <w:rFonts w:hint="eastAsia"/>
                      <w:szCs w:val="21"/>
                      <w:u w:val="none"/>
                    </w:rPr>
                    <w:t>220</w:t>
                  </w:r>
                </w:p>
              </w:tc>
            </w:tr>
            <w:tr w14:paraId="73E8850F">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97" w:hRule="atLeast"/>
              </w:trPr>
              <w:tc>
                <w:tcPr>
                  <w:tcW w:w="321" w:type="pct"/>
                  <w:vMerge w:val="continue"/>
                  <w:tcBorders>
                    <w:tl2br w:val="nil"/>
                    <w:tr2bl w:val="nil"/>
                  </w:tcBorders>
                  <w:vAlign w:val="center"/>
                </w:tcPr>
                <w:p w14:paraId="652EDA9E">
                  <w:pPr>
                    <w:adjustRightInd w:val="0"/>
                    <w:snapToGrid w:val="0"/>
                    <w:jc w:val="center"/>
                    <w:rPr>
                      <w:szCs w:val="21"/>
                      <w:u w:val="none"/>
                    </w:rPr>
                  </w:pPr>
                </w:p>
              </w:tc>
              <w:tc>
                <w:tcPr>
                  <w:tcW w:w="1431" w:type="pct"/>
                  <w:tcBorders>
                    <w:tl2br w:val="nil"/>
                    <w:tr2bl w:val="nil"/>
                  </w:tcBorders>
                  <w:vAlign w:val="center"/>
                </w:tcPr>
                <w:p w14:paraId="52513879">
                  <w:pPr>
                    <w:adjustRightInd w:val="0"/>
                    <w:snapToGrid w:val="0"/>
                    <w:jc w:val="center"/>
                    <w:rPr>
                      <w:szCs w:val="21"/>
                      <w:u w:val="none"/>
                    </w:rPr>
                  </w:pPr>
                  <w:r>
                    <w:rPr>
                      <w:szCs w:val="21"/>
                      <w:u w:val="none"/>
                    </w:rPr>
                    <w:t>产生量（t/a）</w:t>
                  </w:r>
                </w:p>
              </w:tc>
              <w:tc>
                <w:tcPr>
                  <w:tcW w:w="704" w:type="pct"/>
                  <w:tcBorders>
                    <w:tl2br w:val="nil"/>
                    <w:tr2bl w:val="nil"/>
                  </w:tcBorders>
                  <w:vAlign w:val="center"/>
                </w:tcPr>
                <w:p w14:paraId="236F7B19">
                  <w:pPr>
                    <w:adjustRightInd w:val="0"/>
                    <w:snapToGrid w:val="0"/>
                    <w:jc w:val="center"/>
                    <w:rPr>
                      <w:szCs w:val="21"/>
                      <w:u w:val="none"/>
                    </w:rPr>
                  </w:pPr>
                  <w:r>
                    <w:rPr>
                      <w:rFonts w:hint="eastAsia"/>
                      <w:szCs w:val="21"/>
                      <w:u w:val="none"/>
                    </w:rPr>
                    <w:t>60</w:t>
                  </w:r>
                </w:p>
              </w:tc>
              <w:tc>
                <w:tcPr>
                  <w:tcW w:w="650" w:type="pct"/>
                  <w:tcBorders>
                    <w:tl2br w:val="nil"/>
                    <w:tr2bl w:val="nil"/>
                  </w:tcBorders>
                  <w:vAlign w:val="center"/>
                </w:tcPr>
                <w:p w14:paraId="688060FC">
                  <w:pPr>
                    <w:adjustRightInd w:val="0"/>
                    <w:snapToGrid w:val="0"/>
                    <w:jc w:val="center"/>
                    <w:rPr>
                      <w:szCs w:val="21"/>
                      <w:u w:val="none"/>
                    </w:rPr>
                  </w:pPr>
                  <w:r>
                    <w:rPr>
                      <w:rFonts w:hint="eastAsia"/>
                      <w:szCs w:val="21"/>
                      <w:u w:val="none"/>
                    </w:rPr>
                    <w:t>0.0195</w:t>
                  </w:r>
                </w:p>
              </w:tc>
              <w:tc>
                <w:tcPr>
                  <w:tcW w:w="630" w:type="pct"/>
                  <w:tcBorders>
                    <w:tl2br w:val="nil"/>
                    <w:tr2bl w:val="nil"/>
                  </w:tcBorders>
                  <w:vAlign w:val="center"/>
                </w:tcPr>
                <w:p w14:paraId="7281858B">
                  <w:pPr>
                    <w:adjustRightInd w:val="0"/>
                    <w:snapToGrid w:val="0"/>
                    <w:jc w:val="center"/>
                    <w:rPr>
                      <w:szCs w:val="21"/>
                      <w:u w:val="none"/>
                    </w:rPr>
                  </w:pPr>
                  <w:r>
                    <w:rPr>
                      <w:rFonts w:hint="eastAsia"/>
                      <w:szCs w:val="21"/>
                      <w:u w:val="none"/>
                    </w:rPr>
                    <w:t>0.012</w:t>
                  </w:r>
                </w:p>
              </w:tc>
              <w:tc>
                <w:tcPr>
                  <w:tcW w:w="633" w:type="pct"/>
                  <w:tcBorders>
                    <w:tl2br w:val="nil"/>
                    <w:tr2bl w:val="nil"/>
                  </w:tcBorders>
                  <w:vAlign w:val="center"/>
                </w:tcPr>
                <w:p w14:paraId="4E8CA50F">
                  <w:pPr>
                    <w:adjustRightInd w:val="0"/>
                    <w:snapToGrid w:val="0"/>
                    <w:jc w:val="center"/>
                    <w:rPr>
                      <w:szCs w:val="21"/>
                      <w:u w:val="none"/>
                    </w:rPr>
                  </w:pPr>
                  <w:r>
                    <w:rPr>
                      <w:rFonts w:hint="eastAsia"/>
                      <w:szCs w:val="21"/>
                      <w:u w:val="none"/>
                    </w:rPr>
                    <w:t>0.0023</w:t>
                  </w:r>
                </w:p>
              </w:tc>
              <w:tc>
                <w:tcPr>
                  <w:tcW w:w="626" w:type="pct"/>
                  <w:tcBorders>
                    <w:right w:val="single" w:color="auto" w:sz="4" w:space="0"/>
                    <w:tl2br w:val="nil"/>
                    <w:tr2bl w:val="nil"/>
                  </w:tcBorders>
                  <w:vAlign w:val="center"/>
                </w:tcPr>
                <w:p w14:paraId="45448DD7">
                  <w:pPr>
                    <w:adjustRightInd w:val="0"/>
                    <w:snapToGrid w:val="0"/>
                    <w:jc w:val="center"/>
                    <w:rPr>
                      <w:szCs w:val="21"/>
                      <w:u w:val="none"/>
                    </w:rPr>
                  </w:pPr>
                  <w:r>
                    <w:rPr>
                      <w:rFonts w:hint="eastAsia"/>
                      <w:szCs w:val="21"/>
                      <w:u w:val="none"/>
                    </w:rPr>
                    <w:t>0.0132</w:t>
                  </w:r>
                </w:p>
              </w:tc>
            </w:tr>
            <w:tr w14:paraId="37FB8683">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321" w:type="pct"/>
                  <w:vMerge w:val="continue"/>
                  <w:tcBorders>
                    <w:tl2br w:val="nil"/>
                    <w:tr2bl w:val="nil"/>
                  </w:tcBorders>
                  <w:vAlign w:val="center"/>
                </w:tcPr>
                <w:p w14:paraId="588F6680">
                  <w:pPr>
                    <w:adjustRightInd w:val="0"/>
                    <w:snapToGrid w:val="0"/>
                    <w:jc w:val="center"/>
                    <w:rPr>
                      <w:szCs w:val="21"/>
                      <w:u w:val="none"/>
                    </w:rPr>
                  </w:pPr>
                </w:p>
              </w:tc>
              <w:tc>
                <w:tcPr>
                  <w:tcW w:w="1431" w:type="pct"/>
                  <w:tcBorders>
                    <w:tl2br w:val="nil"/>
                    <w:tr2bl w:val="nil"/>
                  </w:tcBorders>
                  <w:vAlign w:val="center"/>
                </w:tcPr>
                <w:p w14:paraId="732C3C2C">
                  <w:pPr>
                    <w:adjustRightInd w:val="0"/>
                    <w:snapToGrid w:val="0"/>
                    <w:jc w:val="center"/>
                    <w:rPr>
                      <w:szCs w:val="21"/>
                      <w:u w:val="none"/>
                    </w:rPr>
                  </w:pPr>
                  <w:r>
                    <w:rPr>
                      <w:szCs w:val="21"/>
                      <w:u w:val="none"/>
                    </w:rPr>
                    <w:t>处理措施</w:t>
                  </w:r>
                </w:p>
              </w:tc>
              <w:tc>
                <w:tcPr>
                  <w:tcW w:w="3244" w:type="pct"/>
                  <w:gridSpan w:val="5"/>
                  <w:tcBorders>
                    <w:tl2br w:val="nil"/>
                    <w:tr2bl w:val="nil"/>
                  </w:tcBorders>
                  <w:vAlign w:val="center"/>
                </w:tcPr>
                <w:p w14:paraId="5A0A9FE9">
                  <w:pPr>
                    <w:adjustRightInd w:val="0"/>
                    <w:snapToGrid w:val="0"/>
                    <w:jc w:val="center"/>
                    <w:rPr>
                      <w:szCs w:val="21"/>
                      <w:u w:val="none"/>
                    </w:rPr>
                  </w:pPr>
                  <w:r>
                    <w:rPr>
                      <w:rFonts w:hint="eastAsia"/>
                      <w:szCs w:val="21"/>
                      <w:u w:val="none"/>
                    </w:rPr>
                    <w:t>一体化污水处理站</w:t>
                  </w:r>
                </w:p>
              </w:tc>
            </w:tr>
            <w:tr w14:paraId="04E2D870">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321" w:type="pct"/>
                  <w:vMerge w:val="continue"/>
                  <w:tcBorders>
                    <w:tl2br w:val="nil"/>
                    <w:tr2bl w:val="nil"/>
                  </w:tcBorders>
                  <w:vAlign w:val="center"/>
                </w:tcPr>
                <w:p w14:paraId="30A9E133">
                  <w:pPr>
                    <w:adjustRightInd w:val="0"/>
                    <w:snapToGrid w:val="0"/>
                    <w:jc w:val="center"/>
                    <w:rPr>
                      <w:szCs w:val="21"/>
                      <w:u w:val="none"/>
                    </w:rPr>
                  </w:pPr>
                </w:p>
              </w:tc>
              <w:tc>
                <w:tcPr>
                  <w:tcW w:w="1431" w:type="pct"/>
                  <w:tcBorders>
                    <w:tl2br w:val="nil"/>
                    <w:tr2bl w:val="nil"/>
                  </w:tcBorders>
                  <w:vAlign w:val="center"/>
                </w:tcPr>
                <w:p w14:paraId="4AB319F4">
                  <w:pPr>
                    <w:adjustRightInd w:val="0"/>
                    <w:snapToGrid w:val="0"/>
                    <w:jc w:val="center"/>
                    <w:rPr>
                      <w:szCs w:val="21"/>
                      <w:u w:val="none"/>
                    </w:rPr>
                  </w:pPr>
                  <w:r>
                    <w:rPr>
                      <w:szCs w:val="21"/>
                      <w:u w:val="none"/>
                    </w:rPr>
                    <w:t>处理效率（%）</w:t>
                  </w:r>
                </w:p>
              </w:tc>
              <w:tc>
                <w:tcPr>
                  <w:tcW w:w="704" w:type="pct"/>
                  <w:tcBorders>
                    <w:tl2br w:val="nil"/>
                    <w:tr2bl w:val="nil"/>
                  </w:tcBorders>
                  <w:vAlign w:val="center"/>
                </w:tcPr>
                <w:p w14:paraId="557929EF">
                  <w:pPr>
                    <w:adjustRightInd w:val="0"/>
                    <w:snapToGrid w:val="0"/>
                    <w:jc w:val="center"/>
                    <w:rPr>
                      <w:szCs w:val="21"/>
                      <w:u w:val="none"/>
                    </w:rPr>
                  </w:pPr>
                  <w:r>
                    <w:rPr>
                      <w:rFonts w:hint="eastAsia"/>
                      <w:szCs w:val="21"/>
                      <w:u w:val="none"/>
                    </w:rPr>
                    <w:t>/</w:t>
                  </w:r>
                </w:p>
              </w:tc>
              <w:tc>
                <w:tcPr>
                  <w:tcW w:w="650" w:type="pct"/>
                  <w:tcBorders>
                    <w:tl2br w:val="nil"/>
                    <w:tr2bl w:val="nil"/>
                  </w:tcBorders>
                  <w:vAlign w:val="center"/>
                </w:tcPr>
                <w:p w14:paraId="3D41EB02">
                  <w:pPr>
                    <w:adjustRightInd w:val="0"/>
                    <w:snapToGrid w:val="0"/>
                    <w:jc w:val="center"/>
                    <w:rPr>
                      <w:szCs w:val="21"/>
                      <w:u w:val="none"/>
                    </w:rPr>
                  </w:pPr>
                  <w:r>
                    <w:rPr>
                      <w:rFonts w:hint="eastAsia"/>
                      <w:szCs w:val="21"/>
                      <w:u w:val="none"/>
                    </w:rPr>
                    <w:t>85</w:t>
                  </w:r>
                </w:p>
              </w:tc>
              <w:tc>
                <w:tcPr>
                  <w:tcW w:w="630" w:type="pct"/>
                  <w:tcBorders>
                    <w:tl2br w:val="nil"/>
                    <w:tr2bl w:val="nil"/>
                  </w:tcBorders>
                  <w:vAlign w:val="center"/>
                </w:tcPr>
                <w:p w14:paraId="7F698EC3">
                  <w:pPr>
                    <w:adjustRightInd w:val="0"/>
                    <w:snapToGrid w:val="0"/>
                    <w:jc w:val="center"/>
                    <w:rPr>
                      <w:szCs w:val="21"/>
                      <w:u w:val="none"/>
                    </w:rPr>
                  </w:pPr>
                  <w:r>
                    <w:rPr>
                      <w:rFonts w:hint="eastAsia"/>
                      <w:szCs w:val="21"/>
                      <w:u w:val="none"/>
                    </w:rPr>
                    <w:t>90</w:t>
                  </w:r>
                </w:p>
              </w:tc>
              <w:tc>
                <w:tcPr>
                  <w:tcW w:w="633" w:type="pct"/>
                  <w:tcBorders>
                    <w:tl2br w:val="nil"/>
                    <w:tr2bl w:val="nil"/>
                  </w:tcBorders>
                  <w:vAlign w:val="center"/>
                </w:tcPr>
                <w:p w14:paraId="621B0327">
                  <w:pPr>
                    <w:adjustRightInd w:val="0"/>
                    <w:snapToGrid w:val="0"/>
                    <w:jc w:val="center"/>
                    <w:rPr>
                      <w:szCs w:val="21"/>
                      <w:u w:val="none"/>
                    </w:rPr>
                  </w:pPr>
                  <w:r>
                    <w:rPr>
                      <w:rFonts w:hint="eastAsia"/>
                      <w:szCs w:val="21"/>
                      <w:u w:val="none"/>
                    </w:rPr>
                    <w:t>70</w:t>
                  </w:r>
                </w:p>
              </w:tc>
              <w:tc>
                <w:tcPr>
                  <w:tcW w:w="626" w:type="pct"/>
                  <w:tcBorders>
                    <w:tl2br w:val="nil"/>
                    <w:tr2bl w:val="nil"/>
                  </w:tcBorders>
                  <w:vAlign w:val="center"/>
                </w:tcPr>
                <w:p w14:paraId="50B02E92">
                  <w:pPr>
                    <w:adjustRightInd w:val="0"/>
                    <w:snapToGrid w:val="0"/>
                    <w:jc w:val="center"/>
                    <w:rPr>
                      <w:szCs w:val="21"/>
                      <w:u w:val="none"/>
                    </w:rPr>
                  </w:pPr>
                  <w:r>
                    <w:rPr>
                      <w:rFonts w:hint="eastAsia"/>
                      <w:szCs w:val="21"/>
                      <w:u w:val="none"/>
                    </w:rPr>
                    <w:t>80</w:t>
                  </w:r>
                </w:p>
              </w:tc>
            </w:tr>
            <w:tr w14:paraId="30B23487">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42" w:hRule="atLeast"/>
              </w:trPr>
              <w:tc>
                <w:tcPr>
                  <w:tcW w:w="321" w:type="pct"/>
                  <w:vMerge w:val="continue"/>
                  <w:tcBorders>
                    <w:tl2br w:val="nil"/>
                    <w:tr2bl w:val="nil"/>
                  </w:tcBorders>
                  <w:vAlign w:val="center"/>
                </w:tcPr>
                <w:p w14:paraId="65EC032A">
                  <w:pPr>
                    <w:adjustRightInd w:val="0"/>
                    <w:snapToGrid w:val="0"/>
                    <w:jc w:val="center"/>
                    <w:rPr>
                      <w:szCs w:val="21"/>
                      <w:u w:val="none"/>
                    </w:rPr>
                  </w:pPr>
                </w:p>
              </w:tc>
              <w:tc>
                <w:tcPr>
                  <w:tcW w:w="1431" w:type="pct"/>
                  <w:tcBorders>
                    <w:tl2br w:val="nil"/>
                    <w:tr2bl w:val="nil"/>
                  </w:tcBorders>
                  <w:vAlign w:val="center"/>
                </w:tcPr>
                <w:p w14:paraId="2531DC15">
                  <w:pPr>
                    <w:adjustRightInd w:val="0"/>
                    <w:snapToGrid w:val="0"/>
                    <w:jc w:val="center"/>
                    <w:rPr>
                      <w:szCs w:val="21"/>
                      <w:u w:val="none"/>
                    </w:rPr>
                  </w:pPr>
                  <w:r>
                    <w:rPr>
                      <w:rFonts w:hint="eastAsia"/>
                      <w:szCs w:val="21"/>
                      <w:u w:val="none"/>
                    </w:rPr>
                    <w:t>一体化污水处理站</w:t>
                  </w:r>
                  <w:r>
                    <w:rPr>
                      <w:szCs w:val="21"/>
                      <w:u w:val="none"/>
                    </w:rPr>
                    <w:t>出水水质浓度（mg/L）</w:t>
                  </w:r>
                </w:p>
              </w:tc>
              <w:tc>
                <w:tcPr>
                  <w:tcW w:w="704" w:type="pct"/>
                  <w:tcBorders>
                    <w:tl2br w:val="nil"/>
                    <w:tr2bl w:val="nil"/>
                  </w:tcBorders>
                  <w:vAlign w:val="center"/>
                </w:tcPr>
                <w:p w14:paraId="453BFAFD">
                  <w:pPr>
                    <w:adjustRightInd w:val="0"/>
                    <w:snapToGrid w:val="0"/>
                    <w:jc w:val="center"/>
                    <w:rPr>
                      <w:szCs w:val="21"/>
                      <w:u w:val="none"/>
                    </w:rPr>
                  </w:pPr>
                  <w:r>
                    <w:rPr>
                      <w:rFonts w:hint="eastAsia"/>
                      <w:szCs w:val="21"/>
                      <w:u w:val="none"/>
                    </w:rPr>
                    <w:t>/</w:t>
                  </w:r>
                </w:p>
              </w:tc>
              <w:tc>
                <w:tcPr>
                  <w:tcW w:w="1100" w:type="dxa"/>
                  <w:tcBorders>
                    <w:tl2br w:val="nil"/>
                    <w:tr2bl w:val="nil"/>
                  </w:tcBorders>
                  <w:vAlign w:val="center"/>
                </w:tcPr>
                <w:p w14:paraId="5E792C0D">
                  <w:pPr>
                    <w:adjustRightInd w:val="0"/>
                    <w:snapToGrid w:val="0"/>
                    <w:jc w:val="center"/>
                    <w:rPr>
                      <w:szCs w:val="21"/>
                      <w:u w:val="none"/>
                    </w:rPr>
                  </w:pPr>
                  <w:r>
                    <w:rPr>
                      <w:rFonts w:hint="eastAsia"/>
                      <w:szCs w:val="21"/>
                      <w:u w:val="none"/>
                    </w:rPr>
                    <w:t>48.75</w:t>
                  </w:r>
                </w:p>
              </w:tc>
              <w:tc>
                <w:tcPr>
                  <w:tcW w:w="1067" w:type="dxa"/>
                  <w:tcBorders>
                    <w:tl2br w:val="nil"/>
                    <w:tr2bl w:val="nil"/>
                  </w:tcBorders>
                  <w:vAlign w:val="center"/>
                </w:tcPr>
                <w:p w14:paraId="1A318135">
                  <w:pPr>
                    <w:adjustRightInd w:val="0"/>
                    <w:snapToGrid w:val="0"/>
                    <w:jc w:val="center"/>
                    <w:rPr>
                      <w:szCs w:val="21"/>
                      <w:u w:val="none"/>
                    </w:rPr>
                  </w:pPr>
                  <w:r>
                    <w:rPr>
                      <w:rFonts w:hint="eastAsia"/>
                      <w:szCs w:val="21"/>
                      <w:u w:val="none"/>
                    </w:rPr>
                    <w:t>20</w:t>
                  </w:r>
                </w:p>
              </w:tc>
              <w:tc>
                <w:tcPr>
                  <w:tcW w:w="1072" w:type="dxa"/>
                  <w:tcBorders>
                    <w:tl2br w:val="nil"/>
                    <w:tr2bl w:val="nil"/>
                  </w:tcBorders>
                  <w:vAlign w:val="center"/>
                </w:tcPr>
                <w:p w14:paraId="1144411D">
                  <w:pPr>
                    <w:adjustRightInd w:val="0"/>
                    <w:snapToGrid w:val="0"/>
                    <w:jc w:val="center"/>
                    <w:rPr>
                      <w:szCs w:val="21"/>
                      <w:u w:val="none"/>
                    </w:rPr>
                  </w:pPr>
                  <w:r>
                    <w:rPr>
                      <w:rFonts w:hint="eastAsia"/>
                      <w:szCs w:val="21"/>
                      <w:u w:val="none"/>
                    </w:rPr>
                    <w:t>11.31</w:t>
                  </w:r>
                </w:p>
              </w:tc>
              <w:tc>
                <w:tcPr>
                  <w:tcW w:w="1062" w:type="dxa"/>
                  <w:tcBorders>
                    <w:tl2br w:val="nil"/>
                    <w:tr2bl w:val="nil"/>
                  </w:tcBorders>
                  <w:vAlign w:val="center"/>
                </w:tcPr>
                <w:p w14:paraId="5BBD3E17">
                  <w:pPr>
                    <w:adjustRightInd w:val="0"/>
                    <w:snapToGrid w:val="0"/>
                    <w:jc w:val="center"/>
                    <w:rPr>
                      <w:szCs w:val="21"/>
                      <w:u w:val="none"/>
                    </w:rPr>
                  </w:pPr>
                  <w:r>
                    <w:rPr>
                      <w:rFonts w:hint="eastAsia"/>
                      <w:szCs w:val="21"/>
                      <w:u w:val="none"/>
                    </w:rPr>
                    <w:t>44</w:t>
                  </w:r>
                </w:p>
              </w:tc>
            </w:tr>
            <w:tr w14:paraId="6B188418">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321" w:type="pct"/>
                  <w:vMerge w:val="continue"/>
                  <w:tcBorders>
                    <w:tl2br w:val="nil"/>
                    <w:tr2bl w:val="nil"/>
                  </w:tcBorders>
                  <w:vAlign w:val="center"/>
                </w:tcPr>
                <w:p w14:paraId="07A5FE27">
                  <w:pPr>
                    <w:adjustRightInd w:val="0"/>
                    <w:snapToGrid w:val="0"/>
                    <w:jc w:val="center"/>
                    <w:rPr>
                      <w:szCs w:val="21"/>
                      <w:u w:val="none"/>
                    </w:rPr>
                  </w:pPr>
                </w:p>
              </w:tc>
              <w:tc>
                <w:tcPr>
                  <w:tcW w:w="1431" w:type="pct"/>
                  <w:tcBorders>
                    <w:tl2br w:val="nil"/>
                    <w:tr2bl w:val="nil"/>
                  </w:tcBorders>
                  <w:vAlign w:val="center"/>
                </w:tcPr>
                <w:p w14:paraId="22DE51D7">
                  <w:pPr>
                    <w:adjustRightInd w:val="0"/>
                    <w:snapToGrid w:val="0"/>
                    <w:jc w:val="center"/>
                    <w:rPr>
                      <w:szCs w:val="21"/>
                      <w:u w:val="none"/>
                    </w:rPr>
                  </w:pPr>
                  <w:r>
                    <w:rPr>
                      <w:szCs w:val="21"/>
                      <w:u w:val="none"/>
                    </w:rPr>
                    <w:t>污染物量（t/a）</w:t>
                  </w:r>
                </w:p>
              </w:tc>
              <w:tc>
                <w:tcPr>
                  <w:tcW w:w="704" w:type="pct"/>
                  <w:tcBorders>
                    <w:tl2br w:val="nil"/>
                    <w:tr2bl w:val="nil"/>
                  </w:tcBorders>
                  <w:vAlign w:val="center"/>
                </w:tcPr>
                <w:p w14:paraId="5C3C3064">
                  <w:pPr>
                    <w:adjustRightInd w:val="0"/>
                    <w:snapToGrid w:val="0"/>
                    <w:jc w:val="center"/>
                    <w:rPr>
                      <w:szCs w:val="21"/>
                      <w:u w:val="none"/>
                    </w:rPr>
                  </w:pPr>
                  <w:r>
                    <w:rPr>
                      <w:rFonts w:hint="eastAsia"/>
                      <w:szCs w:val="21"/>
                      <w:u w:val="none"/>
                    </w:rPr>
                    <w:t>60</w:t>
                  </w:r>
                </w:p>
              </w:tc>
              <w:tc>
                <w:tcPr>
                  <w:tcW w:w="1100" w:type="dxa"/>
                  <w:tcBorders>
                    <w:tl2br w:val="nil"/>
                    <w:tr2bl w:val="nil"/>
                  </w:tcBorders>
                  <w:vAlign w:val="center"/>
                </w:tcPr>
                <w:p w14:paraId="7FAFA93D">
                  <w:pPr>
                    <w:adjustRightInd w:val="0"/>
                    <w:snapToGrid w:val="0"/>
                    <w:jc w:val="center"/>
                    <w:rPr>
                      <w:szCs w:val="21"/>
                      <w:u w:val="none"/>
                    </w:rPr>
                  </w:pPr>
                  <w:r>
                    <w:rPr>
                      <w:rFonts w:hint="eastAsia"/>
                      <w:szCs w:val="21"/>
                      <w:u w:val="none"/>
                    </w:rPr>
                    <w:t>0.00292</w:t>
                  </w:r>
                </w:p>
              </w:tc>
              <w:tc>
                <w:tcPr>
                  <w:tcW w:w="1067" w:type="dxa"/>
                  <w:tcBorders>
                    <w:tl2br w:val="nil"/>
                    <w:tr2bl w:val="nil"/>
                  </w:tcBorders>
                  <w:vAlign w:val="center"/>
                </w:tcPr>
                <w:p w14:paraId="3F530277">
                  <w:pPr>
                    <w:adjustRightInd w:val="0"/>
                    <w:snapToGrid w:val="0"/>
                    <w:jc w:val="center"/>
                    <w:rPr>
                      <w:szCs w:val="21"/>
                      <w:u w:val="none"/>
                    </w:rPr>
                  </w:pPr>
                  <w:r>
                    <w:rPr>
                      <w:rFonts w:hint="eastAsia"/>
                      <w:szCs w:val="21"/>
                      <w:u w:val="none"/>
                    </w:rPr>
                    <w:t>0.0012</w:t>
                  </w:r>
                </w:p>
              </w:tc>
              <w:tc>
                <w:tcPr>
                  <w:tcW w:w="1072" w:type="dxa"/>
                  <w:tcBorders>
                    <w:tl2br w:val="nil"/>
                    <w:tr2bl w:val="nil"/>
                  </w:tcBorders>
                  <w:vAlign w:val="center"/>
                </w:tcPr>
                <w:p w14:paraId="60391D54">
                  <w:pPr>
                    <w:adjustRightInd w:val="0"/>
                    <w:snapToGrid w:val="0"/>
                    <w:jc w:val="center"/>
                    <w:rPr>
                      <w:szCs w:val="21"/>
                      <w:u w:val="none"/>
                    </w:rPr>
                  </w:pPr>
                  <w:r>
                    <w:rPr>
                      <w:rFonts w:hint="eastAsia"/>
                      <w:szCs w:val="21"/>
                      <w:u w:val="none"/>
                    </w:rPr>
                    <w:t>0.00068</w:t>
                  </w:r>
                </w:p>
              </w:tc>
              <w:tc>
                <w:tcPr>
                  <w:tcW w:w="1062" w:type="dxa"/>
                  <w:tcBorders>
                    <w:tl2br w:val="nil"/>
                    <w:tr2bl w:val="nil"/>
                  </w:tcBorders>
                  <w:vAlign w:val="center"/>
                </w:tcPr>
                <w:p w14:paraId="4D5F4C73">
                  <w:pPr>
                    <w:adjustRightInd w:val="0"/>
                    <w:snapToGrid w:val="0"/>
                    <w:jc w:val="center"/>
                    <w:rPr>
                      <w:szCs w:val="21"/>
                      <w:u w:val="none"/>
                    </w:rPr>
                  </w:pPr>
                  <w:r>
                    <w:rPr>
                      <w:rFonts w:hint="eastAsia"/>
                      <w:szCs w:val="21"/>
                      <w:u w:val="none"/>
                    </w:rPr>
                    <w:t>0.00264</w:t>
                  </w:r>
                </w:p>
              </w:tc>
            </w:tr>
            <w:tr w14:paraId="3F2D8377">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321" w:type="pct"/>
                  <w:vMerge w:val="continue"/>
                  <w:tcBorders>
                    <w:tl2br w:val="nil"/>
                    <w:tr2bl w:val="nil"/>
                  </w:tcBorders>
                  <w:vAlign w:val="center"/>
                </w:tcPr>
                <w:p w14:paraId="531B7507">
                  <w:pPr>
                    <w:adjustRightInd w:val="0"/>
                    <w:snapToGrid w:val="0"/>
                    <w:jc w:val="center"/>
                    <w:rPr>
                      <w:szCs w:val="21"/>
                      <w:u w:val="none"/>
                    </w:rPr>
                  </w:pPr>
                </w:p>
              </w:tc>
              <w:tc>
                <w:tcPr>
                  <w:tcW w:w="2135" w:type="pct"/>
                  <w:gridSpan w:val="2"/>
                  <w:tcBorders>
                    <w:tl2br w:val="nil"/>
                    <w:tr2bl w:val="nil"/>
                  </w:tcBorders>
                  <w:vAlign w:val="center"/>
                </w:tcPr>
                <w:p w14:paraId="46095E55">
                  <w:pPr>
                    <w:adjustRightInd w:val="0"/>
                    <w:snapToGrid w:val="0"/>
                    <w:jc w:val="center"/>
                    <w:rPr>
                      <w:szCs w:val="21"/>
                      <w:u w:val="none"/>
                    </w:rPr>
                  </w:pPr>
                  <w:r>
                    <w:rPr>
                      <w:szCs w:val="21"/>
                      <w:u w:val="none"/>
                    </w:rPr>
                    <w:t>执行的标准限值</w:t>
                  </w:r>
                </w:p>
              </w:tc>
              <w:tc>
                <w:tcPr>
                  <w:tcW w:w="1101" w:type="dxa"/>
                  <w:tcBorders>
                    <w:tl2br w:val="nil"/>
                    <w:tr2bl w:val="nil"/>
                  </w:tcBorders>
                  <w:vAlign w:val="center"/>
                </w:tcPr>
                <w:p w14:paraId="061E1E9E">
                  <w:pPr>
                    <w:adjustRightInd w:val="0"/>
                    <w:snapToGrid w:val="0"/>
                    <w:jc w:val="center"/>
                    <w:rPr>
                      <w:szCs w:val="21"/>
                      <w:u w:val="none"/>
                    </w:rPr>
                  </w:pPr>
                  <w:r>
                    <w:rPr>
                      <w:rFonts w:hint="eastAsia"/>
                      <w:szCs w:val="21"/>
                      <w:u w:val="none"/>
                    </w:rPr>
                    <w:t>100</w:t>
                  </w:r>
                </w:p>
              </w:tc>
              <w:tc>
                <w:tcPr>
                  <w:tcW w:w="1067" w:type="dxa"/>
                  <w:tcBorders>
                    <w:tl2br w:val="nil"/>
                    <w:tr2bl w:val="nil"/>
                  </w:tcBorders>
                  <w:vAlign w:val="center"/>
                </w:tcPr>
                <w:p w14:paraId="4D1957AC">
                  <w:pPr>
                    <w:adjustRightInd w:val="0"/>
                    <w:snapToGrid w:val="0"/>
                    <w:jc w:val="center"/>
                    <w:rPr>
                      <w:szCs w:val="21"/>
                      <w:u w:val="none"/>
                    </w:rPr>
                  </w:pPr>
                  <w:r>
                    <w:rPr>
                      <w:rFonts w:hint="eastAsia"/>
                      <w:szCs w:val="21"/>
                      <w:u w:val="none"/>
                    </w:rPr>
                    <w:t>40</w:t>
                  </w:r>
                </w:p>
              </w:tc>
              <w:tc>
                <w:tcPr>
                  <w:tcW w:w="1072" w:type="dxa"/>
                  <w:tcBorders>
                    <w:tl2br w:val="nil"/>
                    <w:tr2bl w:val="nil"/>
                  </w:tcBorders>
                  <w:vAlign w:val="center"/>
                </w:tcPr>
                <w:p w14:paraId="62C3DF05">
                  <w:pPr>
                    <w:adjustRightInd w:val="0"/>
                    <w:snapToGrid w:val="0"/>
                    <w:jc w:val="center"/>
                    <w:rPr>
                      <w:szCs w:val="21"/>
                      <w:u w:val="none"/>
                    </w:rPr>
                  </w:pPr>
                  <w:r>
                    <w:rPr>
                      <w:rFonts w:hint="eastAsia"/>
                      <w:szCs w:val="21"/>
                      <w:u w:val="none"/>
                    </w:rPr>
                    <w:t>/</w:t>
                  </w:r>
                </w:p>
              </w:tc>
              <w:tc>
                <w:tcPr>
                  <w:tcW w:w="1060" w:type="dxa"/>
                  <w:tcBorders>
                    <w:tl2br w:val="nil"/>
                    <w:tr2bl w:val="nil"/>
                  </w:tcBorders>
                  <w:vAlign w:val="center"/>
                </w:tcPr>
                <w:p w14:paraId="417C6A84">
                  <w:pPr>
                    <w:adjustRightInd w:val="0"/>
                    <w:snapToGrid w:val="0"/>
                    <w:jc w:val="center"/>
                    <w:rPr>
                      <w:szCs w:val="21"/>
                      <w:u w:val="none"/>
                    </w:rPr>
                  </w:pPr>
                  <w:r>
                    <w:rPr>
                      <w:rFonts w:hint="eastAsia"/>
                      <w:szCs w:val="21"/>
                      <w:u w:val="none"/>
                    </w:rPr>
                    <w:t>60</w:t>
                  </w:r>
                </w:p>
              </w:tc>
            </w:tr>
            <w:tr w14:paraId="75A985D1">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321" w:type="pct"/>
                  <w:vMerge w:val="continue"/>
                  <w:tcBorders>
                    <w:tl2br w:val="nil"/>
                    <w:tr2bl w:val="nil"/>
                  </w:tcBorders>
                  <w:vAlign w:val="center"/>
                </w:tcPr>
                <w:p w14:paraId="5D52A37F">
                  <w:pPr>
                    <w:adjustRightInd w:val="0"/>
                    <w:snapToGrid w:val="0"/>
                    <w:jc w:val="center"/>
                    <w:rPr>
                      <w:szCs w:val="21"/>
                      <w:u w:val="none"/>
                    </w:rPr>
                  </w:pPr>
                </w:p>
              </w:tc>
              <w:tc>
                <w:tcPr>
                  <w:tcW w:w="2135" w:type="pct"/>
                  <w:gridSpan w:val="2"/>
                  <w:tcBorders>
                    <w:tl2br w:val="nil"/>
                    <w:tr2bl w:val="nil"/>
                  </w:tcBorders>
                  <w:vAlign w:val="center"/>
                </w:tcPr>
                <w:p w14:paraId="1CF9B377">
                  <w:pPr>
                    <w:adjustRightInd w:val="0"/>
                    <w:snapToGrid w:val="0"/>
                    <w:jc w:val="center"/>
                    <w:rPr>
                      <w:szCs w:val="21"/>
                      <w:u w:val="none"/>
                    </w:rPr>
                  </w:pPr>
                  <w:r>
                    <w:rPr>
                      <w:szCs w:val="21"/>
                      <w:u w:val="none"/>
                    </w:rPr>
                    <w:t>达标情况</w:t>
                  </w:r>
                </w:p>
              </w:tc>
              <w:tc>
                <w:tcPr>
                  <w:tcW w:w="1101" w:type="dxa"/>
                  <w:tcBorders>
                    <w:tl2br w:val="nil"/>
                    <w:tr2bl w:val="nil"/>
                  </w:tcBorders>
                  <w:vAlign w:val="center"/>
                </w:tcPr>
                <w:p w14:paraId="11A88F03">
                  <w:pPr>
                    <w:adjustRightInd w:val="0"/>
                    <w:snapToGrid w:val="0"/>
                    <w:jc w:val="center"/>
                    <w:rPr>
                      <w:szCs w:val="21"/>
                      <w:u w:val="none"/>
                    </w:rPr>
                  </w:pPr>
                  <w:r>
                    <w:rPr>
                      <w:szCs w:val="21"/>
                      <w:u w:val="none"/>
                    </w:rPr>
                    <w:t>达标</w:t>
                  </w:r>
                </w:p>
              </w:tc>
              <w:tc>
                <w:tcPr>
                  <w:tcW w:w="1067" w:type="dxa"/>
                  <w:tcBorders>
                    <w:tl2br w:val="nil"/>
                    <w:tr2bl w:val="nil"/>
                  </w:tcBorders>
                  <w:vAlign w:val="center"/>
                </w:tcPr>
                <w:p w14:paraId="76EF3A1B">
                  <w:pPr>
                    <w:adjustRightInd w:val="0"/>
                    <w:snapToGrid w:val="0"/>
                    <w:jc w:val="center"/>
                    <w:rPr>
                      <w:szCs w:val="21"/>
                      <w:u w:val="none"/>
                    </w:rPr>
                  </w:pPr>
                  <w:r>
                    <w:rPr>
                      <w:szCs w:val="21"/>
                      <w:u w:val="none"/>
                    </w:rPr>
                    <w:t>达标</w:t>
                  </w:r>
                </w:p>
              </w:tc>
              <w:tc>
                <w:tcPr>
                  <w:tcW w:w="1072" w:type="dxa"/>
                  <w:tcBorders>
                    <w:tl2br w:val="nil"/>
                    <w:tr2bl w:val="nil"/>
                  </w:tcBorders>
                  <w:vAlign w:val="center"/>
                </w:tcPr>
                <w:p w14:paraId="43F67F09">
                  <w:pPr>
                    <w:adjustRightInd w:val="0"/>
                    <w:snapToGrid w:val="0"/>
                    <w:jc w:val="center"/>
                    <w:rPr>
                      <w:szCs w:val="21"/>
                      <w:u w:val="none"/>
                    </w:rPr>
                  </w:pPr>
                  <w:r>
                    <w:rPr>
                      <w:rFonts w:hint="eastAsia"/>
                      <w:szCs w:val="21"/>
                      <w:u w:val="none"/>
                    </w:rPr>
                    <w:t>/</w:t>
                  </w:r>
                </w:p>
              </w:tc>
              <w:tc>
                <w:tcPr>
                  <w:tcW w:w="1060" w:type="dxa"/>
                  <w:tcBorders>
                    <w:tl2br w:val="nil"/>
                    <w:tr2bl w:val="nil"/>
                  </w:tcBorders>
                  <w:vAlign w:val="center"/>
                </w:tcPr>
                <w:p w14:paraId="40A4726F">
                  <w:pPr>
                    <w:adjustRightInd w:val="0"/>
                    <w:snapToGrid w:val="0"/>
                    <w:jc w:val="center"/>
                    <w:rPr>
                      <w:szCs w:val="21"/>
                      <w:u w:val="none"/>
                    </w:rPr>
                  </w:pPr>
                  <w:r>
                    <w:rPr>
                      <w:szCs w:val="21"/>
                      <w:u w:val="none"/>
                    </w:rPr>
                    <w:t>达标</w:t>
                  </w:r>
                </w:p>
              </w:tc>
            </w:tr>
            <w:tr w14:paraId="26DE7892">
              <w:tblPrEx>
                <w:tblBorders>
                  <w:top w:val="single" w:color="000000" w:sz="4" w:space="0"/>
                  <w:left w:val="single" w:color="000000" w:sz="2" w:space="0"/>
                  <w:bottom w:val="single" w:color="000000" w:sz="4"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62" w:hRule="atLeast"/>
              </w:trPr>
              <w:tc>
                <w:tcPr>
                  <w:tcW w:w="321" w:type="pct"/>
                  <w:vMerge w:val="continue"/>
                  <w:tcBorders>
                    <w:tl2br w:val="nil"/>
                    <w:tr2bl w:val="nil"/>
                  </w:tcBorders>
                  <w:vAlign w:val="center"/>
                </w:tcPr>
                <w:p w14:paraId="4182F199">
                  <w:pPr>
                    <w:adjustRightInd w:val="0"/>
                    <w:snapToGrid w:val="0"/>
                    <w:jc w:val="center"/>
                    <w:rPr>
                      <w:szCs w:val="21"/>
                      <w:u w:val="none"/>
                    </w:rPr>
                  </w:pPr>
                </w:p>
              </w:tc>
              <w:tc>
                <w:tcPr>
                  <w:tcW w:w="2135" w:type="pct"/>
                  <w:gridSpan w:val="2"/>
                  <w:tcBorders>
                    <w:tl2br w:val="nil"/>
                    <w:tr2bl w:val="nil"/>
                  </w:tcBorders>
                  <w:vAlign w:val="center"/>
                </w:tcPr>
                <w:p w14:paraId="01DA6194">
                  <w:pPr>
                    <w:adjustRightInd w:val="0"/>
                    <w:snapToGrid w:val="0"/>
                    <w:jc w:val="center"/>
                    <w:rPr>
                      <w:szCs w:val="21"/>
                      <w:u w:val="none"/>
                    </w:rPr>
                  </w:pPr>
                  <w:r>
                    <w:rPr>
                      <w:rFonts w:hint="eastAsia"/>
                      <w:szCs w:val="21"/>
                      <w:u w:val="none"/>
                    </w:rPr>
                    <w:t>排放</w:t>
                  </w:r>
                  <w:r>
                    <w:rPr>
                      <w:szCs w:val="21"/>
                      <w:u w:val="none"/>
                    </w:rPr>
                    <w:t>去向</w:t>
                  </w:r>
                </w:p>
              </w:tc>
              <w:tc>
                <w:tcPr>
                  <w:tcW w:w="2540" w:type="pct"/>
                  <w:gridSpan w:val="4"/>
                  <w:tcBorders>
                    <w:right w:val="single" w:color="auto" w:sz="4" w:space="0"/>
                    <w:tl2br w:val="nil"/>
                    <w:tr2bl w:val="nil"/>
                  </w:tcBorders>
                  <w:vAlign w:val="center"/>
                </w:tcPr>
                <w:p w14:paraId="65777B38">
                  <w:pPr>
                    <w:wordWrap w:val="0"/>
                    <w:adjustRightInd w:val="0"/>
                    <w:snapToGrid w:val="0"/>
                    <w:jc w:val="center"/>
                    <w:rPr>
                      <w:szCs w:val="21"/>
                      <w:u w:val="none"/>
                    </w:rPr>
                  </w:pPr>
                  <w:r>
                    <w:rPr>
                      <w:rFonts w:hint="eastAsia"/>
                      <w:u w:val="none"/>
                      <w:lang w:val="zh-TW"/>
                    </w:rPr>
                    <w:t>处理达</w:t>
                  </w:r>
                  <w:r>
                    <w:rPr>
                      <w:rFonts w:hint="eastAsia"/>
                      <w:u w:val="none"/>
                    </w:rPr>
                    <w:t>到</w:t>
                  </w:r>
                  <w:r>
                    <w:rPr>
                      <w:rFonts w:hint="eastAsia"/>
                      <w:u w:val="none"/>
                      <w:lang w:val="zh-TW"/>
                    </w:rPr>
                    <w:t>《农田灌溉水质标准》（GB</w:t>
                  </w:r>
                  <w:r>
                    <w:rPr>
                      <w:rFonts w:hint="eastAsia"/>
                      <w:u w:val="none"/>
                    </w:rPr>
                    <w:t xml:space="preserve"> </w:t>
                  </w:r>
                  <w:r>
                    <w:rPr>
                      <w:rFonts w:hint="eastAsia"/>
                      <w:u w:val="none"/>
                      <w:lang w:val="zh-TW"/>
                    </w:rPr>
                    <w:t>5084-2021）中蔬菜标准限值后，采用密闭运输工具清运用于周边旱地、种植基地及菜地灌溉。</w:t>
                  </w:r>
                </w:p>
              </w:tc>
            </w:tr>
          </w:tbl>
          <w:p w14:paraId="18E64D7C">
            <w:pPr>
              <w:spacing w:line="360" w:lineRule="auto"/>
              <w:ind w:firstLine="480" w:firstLineChars="200"/>
              <w:rPr>
                <w:sz w:val="24"/>
                <w:u w:val="none"/>
              </w:rPr>
            </w:pPr>
            <w:r>
              <w:rPr>
                <w:rFonts w:hint="eastAsia"/>
                <w:sz w:val="24"/>
                <w:u w:val="none"/>
              </w:rPr>
              <w:t>综上所述，职工办公生活污水经一体化污水处理站处理后能够满足《农田灌溉水质标准》（GB5084-2021）中蔬菜标准限值</w:t>
            </w:r>
            <w:r>
              <w:rPr>
                <w:rFonts w:hint="eastAsia"/>
                <w:sz w:val="24"/>
                <w:u w:val="none"/>
                <w:lang w:val="zh-TW"/>
              </w:rPr>
              <w:t>。</w:t>
            </w:r>
          </w:p>
          <w:p w14:paraId="4BFF23B3">
            <w:pPr>
              <w:spacing w:line="360" w:lineRule="auto"/>
              <w:ind w:firstLine="482" w:firstLineChars="200"/>
              <w:rPr>
                <w:b/>
                <w:bCs/>
                <w:sz w:val="24"/>
                <w:u w:val="none"/>
              </w:rPr>
            </w:pPr>
            <w:r>
              <w:rPr>
                <w:rFonts w:hint="eastAsia" w:ascii="宋体" w:hAnsi="宋体" w:cs="宋体"/>
                <w:b/>
                <w:bCs/>
                <w:sz w:val="24"/>
                <w:u w:val="none"/>
              </w:rPr>
              <w:t>④生活污水</w:t>
            </w:r>
            <w:r>
              <w:rPr>
                <w:rFonts w:hint="eastAsia"/>
                <w:b/>
                <w:bCs/>
                <w:sz w:val="24"/>
                <w:u w:val="none"/>
              </w:rPr>
              <w:t>不外排可行性分析</w:t>
            </w:r>
          </w:p>
          <w:p w14:paraId="57EBD540">
            <w:pPr>
              <w:spacing w:line="360" w:lineRule="auto"/>
              <w:ind w:firstLine="480" w:firstLineChars="200"/>
              <w:rPr>
                <w:sz w:val="24"/>
                <w:u w:val="none"/>
              </w:rPr>
            </w:pPr>
            <w:r>
              <w:rPr>
                <w:rFonts w:hint="eastAsia"/>
                <w:sz w:val="24"/>
                <w:u w:val="none"/>
              </w:rPr>
              <w:t>项目生活污水产生量为60</w:t>
            </w:r>
            <w:r>
              <w:rPr>
                <w:rFonts w:hint="eastAsia"/>
                <w:bCs/>
                <w:sz w:val="24"/>
                <w:u w:val="none"/>
              </w:rPr>
              <w:t>m</w:t>
            </w:r>
            <w:r>
              <w:rPr>
                <w:rFonts w:hint="eastAsia"/>
                <w:bCs/>
                <w:sz w:val="24"/>
                <w:u w:val="none"/>
                <w:vertAlign w:val="superscript"/>
              </w:rPr>
              <w:t>3</w:t>
            </w:r>
            <w:r>
              <w:rPr>
                <w:rFonts w:hint="eastAsia"/>
                <w:bCs/>
                <w:sz w:val="24"/>
                <w:u w:val="none"/>
              </w:rPr>
              <w:t>/a</w:t>
            </w:r>
            <w:r>
              <w:rPr>
                <w:rFonts w:hint="eastAsia"/>
                <w:sz w:val="24"/>
                <w:u w:val="none"/>
              </w:rPr>
              <w:t>。根据建设方提供的资料，建设方与宣威市羊场镇鸡场村委会签订了农灌协议（见附件9），耕种期可提供20亩（1.33hm</w:t>
            </w:r>
            <w:r>
              <w:rPr>
                <w:rFonts w:hint="eastAsia"/>
                <w:sz w:val="24"/>
                <w:u w:val="none"/>
                <w:vertAlign w:val="superscript"/>
              </w:rPr>
              <w:t>2</w:t>
            </w:r>
            <w:r>
              <w:rPr>
                <w:rFonts w:hint="eastAsia"/>
                <w:sz w:val="24"/>
                <w:u w:val="none"/>
              </w:rPr>
              <w:t>）旱地消纳项目处理达标的生活污水，休耕期可提供2亩（0.13hm</w:t>
            </w:r>
            <w:r>
              <w:rPr>
                <w:rFonts w:hint="eastAsia"/>
                <w:sz w:val="24"/>
                <w:u w:val="none"/>
                <w:vertAlign w:val="superscript"/>
              </w:rPr>
              <w:t>2</w:t>
            </w:r>
            <w:r>
              <w:rPr>
                <w:rFonts w:hint="eastAsia"/>
                <w:sz w:val="24"/>
                <w:u w:val="none"/>
              </w:rPr>
              <w:t>）大棚种植基地及菜地消纳项目处理达标的生活污水。项目生活污水全部用于周边旱地、种植基地和菜地灌溉。周边旱地主要种植玉米，根据《云南省用水定额》（DB53/T168-2019），项目所在区域属于滇东北（</w:t>
            </w:r>
            <w:r>
              <w:rPr>
                <w:sz w:val="24"/>
                <w:u w:val="none"/>
              </w:rPr>
              <w:t>Ⅳ</w:t>
            </w:r>
            <w:r>
              <w:rPr>
                <w:rFonts w:hint="eastAsia"/>
                <w:sz w:val="24"/>
                <w:u w:val="none"/>
              </w:rPr>
              <w:t>）区，玉米（大春）P=90%（特枯年）情况下，地面灌溉用水定额为2325m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~2475m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，最低需水量为3092.25m</w:t>
            </w:r>
            <w:r>
              <w:rPr>
                <w:rFonts w:hint="eastAsia"/>
                <w:sz w:val="24"/>
                <w:u w:val="none"/>
                <w:vertAlign w:val="superscript"/>
              </w:rPr>
              <w:t>3</w:t>
            </w:r>
            <w:r>
              <w:rPr>
                <w:rFonts w:hint="eastAsia"/>
                <w:sz w:val="24"/>
                <w:u w:val="none"/>
              </w:rPr>
              <w:t>/a；玉米（大春）P=75%（中等干旱年）情况下，地面灌溉用水定额为2025m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~2175m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，最低需水量为2693.25m</w:t>
            </w:r>
            <w:r>
              <w:rPr>
                <w:rFonts w:hint="eastAsia"/>
                <w:sz w:val="24"/>
                <w:u w:val="none"/>
                <w:vertAlign w:val="superscript"/>
              </w:rPr>
              <w:t>3</w:t>
            </w:r>
            <w:r>
              <w:rPr>
                <w:rFonts w:hint="eastAsia"/>
                <w:sz w:val="24"/>
                <w:u w:val="none"/>
              </w:rPr>
              <w:t>/a；玉米（大春）P=50%（平水年）情况下，地面灌溉用水定额为1800m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~1950m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，最低需水量为2394m</w:t>
            </w:r>
            <w:r>
              <w:rPr>
                <w:rFonts w:hint="eastAsia"/>
                <w:sz w:val="24"/>
                <w:u w:val="none"/>
                <w:vertAlign w:val="superscript"/>
              </w:rPr>
              <w:t>3</w:t>
            </w:r>
            <w:r>
              <w:rPr>
                <w:rFonts w:hint="eastAsia"/>
                <w:sz w:val="24"/>
                <w:u w:val="none"/>
              </w:rPr>
              <w:t>/a。因此，在特枯年情况下，玉米（大春）地面灌溉最低灌溉需水量为3092.25m</w:t>
            </w:r>
            <w:r>
              <w:rPr>
                <w:rFonts w:hint="eastAsia"/>
                <w:sz w:val="24"/>
                <w:u w:val="none"/>
                <w:vertAlign w:val="superscript"/>
              </w:rPr>
              <w:t>3</w:t>
            </w:r>
            <w:r>
              <w:rPr>
                <w:rFonts w:hint="eastAsia"/>
                <w:sz w:val="24"/>
                <w:u w:val="none"/>
              </w:rPr>
              <w:t>/a、中等干旱年情况下最低灌溉需水量为2693.25m</w:t>
            </w:r>
            <w:r>
              <w:rPr>
                <w:rFonts w:hint="eastAsia"/>
                <w:sz w:val="24"/>
                <w:u w:val="none"/>
                <w:vertAlign w:val="superscript"/>
              </w:rPr>
              <w:t>3</w:t>
            </w:r>
            <w:r>
              <w:rPr>
                <w:rFonts w:hint="eastAsia"/>
                <w:sz w:val="24"/>
                <w:u w:val="none"/>
              </w:rPr>
              <w:t>/a、平水年情况下最低灌溉需水量为2394m</w:t>
            </w:r>
            <w:r>
              <w:rPr>
                <w:rFonts w:hint="eastAsia"/>
                <w:sz w:val="24"/>
                <w:u w:val="none"/>
                <w:vertAlign w:val="superscript"/>
              </w:rPr>
              <w:t>3</w:t>
            </w:r>
            <w:r>
              <w:rPr>
                <w:rFonts w:hint="eastAsia"/>
                <w:sz w:val="24"/>
                <w:u w:val="none"/>
              </w:rPr>
              <w:t>/a，玉米（大春）地面灌溉完全能够消纳耕种期本项目产生的生活污水。</w:t>
            </w:r>
          </w:p>
          <w:p w14:paraId="09F4745E">
            <w:pPr>
              <w:spacing w:line="360" w:lineRule="auto"/>
              <w:ind w:firstLine="480" w:firstLineChars="200"/>
              <w:rPr>
                <w:sz w:val="24"/>
                <w:u w:val="none"/>
              </w:rPr>
            </w:pPr>
            <w:r>
              <w:rPr>
                <w:rFonts w:hint="eastAsia"/>
                <w:sz w:val="24"/>
                <w:u w:val="none"/>
              </w:rPr>
              <w:t>种植基地主要种植蔬菜，根据《云南省用水定额》（DB53/T168-2019），项目所在区域属于滇东北（</w:t>
            </w:r>
            <w:r>
              <w:rPr>
                <w:sz w:val="24"/>
                <w:u w:val="none"/>
              </w:rPr>
              <w:t>Ⅳ</w:t>
            </w:r>
            <w:r>
              <w:rPr>
                <w:rFonts w:hint="eastAsia"/>
                <w:sz w:val="24"/>
                <w:u w:val="none"/>
              </w:rPr>
              <w:t>）区，蔬菜（茎叶类）需水量较少的露天栽培P=90%（特枯年）情况下，沟灌用水定额为4875m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~5325m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，最低需水量为633.75m</w:t>
            </w:r>
            <w:r>
              <w:rPr>
                <w:rFonts w:hint="eastAsia"/>
                <w:sz w:val="24"/>
                <w:u w:val="none"/>
                <w:vertAlign w:val="superscript"/>
              </w:rPr>
              <w:t>3</w:t>
            </w:r>
            <w:r>
              <w:rPr>
                <w:rFonts w:hint="eastAsia"/>
                <w:sz w:val="24"/>
                <w:u w:val="none"/>
              </w:rPr>
              <w:t>/a；蔬菜（茎叶类）需水量较少的露天栽培P=75%（中等干旱年）情况下，沟灌用水定额为4275m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～4650m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，最低需水量为555.75m</w:t>
            </w:r>
            <w:r>
              <w:rPr>
                <w:rFonts w:hint="eastAsia"/>
                <w:sz w:val="24"/>
                <w:u w:val="none"/>
                <w:vertAlign w:val="superscript"/>
              </w:rPr>
              <w:t>3</w:t>
            </w:r>
            <w:r>
              <w:rPr>
                <w:rFonts w:hint="eastAsia"/>
                <w:sz w:val="24"/>
                <w:u w:val="none"/>
              </w:rPr>
              <w:t>/a；蔬菜（茎叶类）需水量较少的露天栽培P=50%（平水年）情况下，沟灌灌溉用水定额为3825m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～4125m</w:t>
            </w:r>
            <w:r>
              <w:rPr>
                <w:rFonts w:hint="eastAsia"/>
                <w:sz w:val="24"/>
                <w:u w:val="none"/>
                <w:vertAlign w:val="superscript"/>
              </w:rPr>
              <w:t>3</w:t>
            </w:r>
            <w:r>
              <w:rPr>
                <w:rFonts w:hint="eastAsia"/>
                <w:sz w:val="24"/>
                <w:u w:val="none"/>
              </w:rPr>
              <w:t>/hm</w:t>
            </w:r>
            <w:r>
              <w:rPr>
                <w:rFonts w:hint="eastAsia"/>
                <w:sz w:val="24"/>
                <w:u w:val="none"/>
                <w:vertAlign w:val="superscript"/>
              </w:rPr>
              <w:t>2</w:t>
            </w:r>
            <w:r>
              <w:rPr>
                <w:rFonts w:hint="eastAsia"/>
                <w:sz w:val="24"/>
                <w:u w:val="none"/>
              </w:rPr>
              <w:t>，最低需水量为497.25m</w:t>
            </w:r>
            <w:r>
              <w:rPr>
                <w:rFonts w:hint="eastAsia"/>
                <w:sz w:val="24"/>
                <w:u w:val="none"/>
                <w:vertAlign w:val="superscript"/>
              </w:rPr>
              <w:t>3</w:t>
            </w:r>
            <w:r>
              <w:rPr>
                <w:rFonts w:hint="eastAsia"/>
                <w:sz w:val="24"/>
                <w:u w:val="none"/>
              </w:rPr>
              <w:t>/a。因此，在特枯年情况下，蔬菜（茎叶类）需水量较少的露天栽培最低灌溉需水量为633.75m</w:t>
            </w:r>
            <w:r>
              <w:rPr>
                <w:rFonts w:hint="eastAsia"/>
                <w:sz w:val="24"/>
                <w:u w:val="none"/>
                <w:vertAlign w:val="superscript"/>
              </w:rPr>
              <w:t>3</w:t>
            </w:r>
            <w:r>
              <w:rPr>
                <w:rFonts w:hint="eastAsia"/>
                <w:sz w:val="24"/>
                <w:u w:val="none"/>
              </w:rPr>
              <w:t>/a、中等干旱年情况下最低灌溉需水量为555.75m</w:t>
            </w:r>
            <w:r>
              <w:rPr>
                <w:rFonts w:hint="eastAsia"/>
                <w:sz w:val="24"/>
                <w:u w:val="none"/>
                <w:vertAlign w:val="superscript"/>
              </w:rPr>
              <w:t>3</w:t>
            </w:r>
            <w:r>
              <w:rPr>
                <w:rFonts w:hint="eastAsia"/>
                <w:sz w:val="24"/>
                <w:u w:val="none"/>
              </w:rPr>
              <w:t>/a、平水年情况下最低灌溉需水量为497.25m</w:t>
            </w:r>
            <w:r>
              <w:rPr>
                <w:rFonts w:hint="eastAsia"/>
                <w:sz w:val="24"/>
                <w:u w:val="none"/>
                <w:vertAlign w:val="superscript"/>
              </w:rPr>
              <w:t>3</w:t>
            </w:r>
            <w:r>
              <w:rPr>
                <w:rFonts w:hint="eastAsia"/>
                <w:sz w:val="24"/>
                <w:u w:val="none"/>
              </w:rPr>
              <w:t>/a，蔬菜（茎叶类）需水量较少的露天栽培完全能够消纳休耕期本项目产生的生活污水。</w:t>
            </w:r>
          </w:p>
          <w:p w14:paraId="73AE797F">
            <w:pPr>
              <w:spacing w:line="360" w:lineRule="auto"/>
              <w:ind w:firstLine="480" w:firstLineChars="200"/>
              <w:rPr>
                <w:sz w:val="24"/>
                <w:u w:val="none"/>
              </w:rPr>
            </w:pPr>
            <w:r>
              <w:rPr>
                <w:rFonts w:hint="eastAsia"/>
                <w:sz w:val="24"/>
                <w:u w:val="none"/>
              </w:rPr>
              <w:t>因休耕期项目生活污水采用密闭运输工具清运用于周边种植基地及菜地灌溉，对清水池容积要求不大。本项目清水池容积为1.5m</w:t>
            </w:r>
            <w:r>
              <w:rPr>
                <w:rFonts w:hint="eastAsia"/>
                <w:sz w:val="24"/>
                <w:u w:val="none"/>
                <w:vertAlign w:val="superscript"/>
              </w:rPr>
              <w:t>3</w:t>
            </w:r>
            <w:r>
              <w:rPr>
                <w:rFonts w:hint="eastAsia"/>
                <w:sz w:val="24"/>
                <w:u w:val="none"/>
              </w:rPr>
              <w:t>，生活污水产生量为0.2m</w:t>
            </w:r>
            <w:r>
              <w:rPr>
                <w:rFonts w:hint="eastAsia"/>
                <w:sz w:val="24"/>
                <w:u w:val="none"/>
                <w:vertAlign w:val="superscript"/>
              </w:rPr>
              <w:t>3</w:t>
            </w:r>
            <w:r>
              <w:rPr>
                <w:rFonts w:hint="eastAsia"/>
                <w:sz w:val="24"/>
                <w:u w:val="none"/>
              </w:rPr>
              <w:t>/d，清水池容积能够满足一体化污水处理站出水7d的暂存需要，可满足连续降雨情况下达标中水的暂存，防止污水乱流。</w:t>
            </w:r>
          </w:p>
          <w:p w14:paraId="062E1713">
            <w:pPr>
              <w:pStyle w:val="15"/>
              <w:snapToGrid/>
              <w:spacing w:after="0" w:line="360" w:lineRule="auto"/>
              <w:ind w:firstLine="482" w:firstLineChars="200"/>
              <w:rPr>
                <w:b/>
                <w:bCs/>
                <w:kern w:val="2"/>
                <w:sz w:val="24"/>
                <w:szCs w:val="24"/>
                <w:u w:val="none"/>
              </w:rPr>
            </w:pPr>
            <w:r>
              <w:rPr>
                <w:rFonts w:hint="eastAsia"/>
                <w:b/>
                <w:bCs/>
                <w:kern w:val="2"/>
                <w:sz w:val="24"/>
                <w:szCs w:val="24"/>
                <w:u w:val="none"/>
              </w:rPr>
              <w:t>2</w:t>
            </w:r>
            <w:r>
              <w:rPr>
                <w:b/>
                <w:bCs/>
                <w:kern w:val="2"/>
                <w:sz w:val="24"/>
                <w:szCs w:val="24"/>
                <w:u w:val="none"/>
              </w:rPr>
              <w:t>.</w:t>
            </w:r>
            <w:r>
              <w:rPr>
                <w:rFonts w:hint="eastAsia"/>
                <w:b/>
                <w:bCs/>
                <w:kern w:val="2"/>
                <w:sz w:val="24"/>
                <w:szCs w:val="24"/>
                <w:u w:val="none"/>
              </w:rPr>
              <w:t>3</w:t>
            </w:r>
            <w:r>
              <w:rPr>
                <w:b/>
                <w:bCs/>
                <w:kern w:val="2"/>
                <w:sz w:val="24"/>
                <w:szCs w:val="24"/>
                <w:u w:val="none"/>
              </w:rPr>
              <w:t>、</w:t>
            </w:r>
            <w:r>
              <w:rPr>
                <w:rFonts w:hint="eastAsia"/>
                <w:b/>
                <w:bCs/>
                <w:kern w:val="2"/>
                <w:sz w:val="24"/>
                <w:szCs w:val="24"/>
                <w:u w:val="none"/>
              </w:rPr>
              <w:t>自行</w:t>
            </w:r>
            <w:r>
              <w:rPr>
                <w:b/>
                <w:bCs/>
                <w:kern w:val="2"/>
                <w:sz w:val="24"/>
                <w:szCs w:val="24"/>
                <w:u w:val="none"/>
              </w:rPr>
              <w:t>监测</w:t>
            </w:r>
            <w:r>
              <w:rPr>
                <w:rFonts w:hint="eastAsia"/>
                <w:b/>
                <w:bCs/>
                <w:kern w:val="2"/>
                <w:sz w:val="24"/>
                <w:szCs w:val="24"/>
                <w:u w:val="none"/>
              </w:rPr>
              <w:t>要求</w:t>
            </w:r>
          </w:p>
          <w:p w14:paraId="2EDBD4AE">
            <w:pPr>
              <w:pStyle w:val="49"/>
              <w:adjustRightInd/>
              <w:snapToGrid/>
              <w:spacing w:line="360" w:lineRule="auto"/>
              <w:jc w:val="both"/>
              <w:rPr>
                <w:u w:val="none"/>
              </w:rPr>
            </w:pPr>
            <w:r>
              <w:rPr>
                <w:u w:val="none"/>
              </w:rPr>
              <w:t>根据《排污单位自行监测技术指南 总则》（HJ</w:t>
            </w:r>
            <w:r>
              <w:rPr>
                <w:rFonts w:hint="eastAsia"/>
                <w:u w:val="none"/>
              </w:rPr>
              <w:t xml:space="preserve"> </w:t>
            </w:r>
            <w:r>
              <w:rPr>
                <w:u w:val="none"/>
              </w:rPr>
              <w:t>819-2017）</w:t>
            </w:r>
            <w:r>
              <w:rPr>
                <w:rFonts w:hint="eastAsia"/>
                <w:u w:val="none"/>
              </w:rPr>
              <w:t>、《排污许可证申请与核发技术规范 总则》（HJ 942-2018）</w:t>
            </w:r>
            <w:r>
              <w:rPr>
                <w:u w:val="none"/>
              </w:rPr>
              <w:t>，项目监测要求如下表所示。</w:t>
            </w:r>
          </w:p>
          <w:p w14:paraId="1E173DA8">
            <w:pPr>
              <w:pStyle w:val="48"/>
              <w:adjustRightInd/>
              <w:spacing w:line="240" w:lineRule="auto"/>
              <w:rPr>
                <w:sz w:val="21"/>
                <w:szCs w:val="21"/>
                <w:u w:val="none"/>
              </w:rPr>
            </w:pPr>
            <w:r>
              <w:rPr>
                <w:sz w:val="21"/>
                <w:szCs w:val="21"/>
                <w:u w:val="none"/>
              </w:rPr>
              <w:t>表4-</w:t>
            </w:r>
            <w:r>
              <w:rPr>
                <w:rFonts w:hint="eastAsia"/>
                <w:sz w:val="21"/>
                <w:szCs w:val="21"/>
                <w:u w:val="none"/>
              </w:rPr>
              <w:t>6</w:t>
            </w:r>
            <w:r>
              <w:rPr>
                <w:sz w:val="21"/>
                <w:szCs w:val="21"/>
                <w:u w:val="none"/>
              </w:rPr>
              <w:t xml:space="preserve"> </w:t>
            </w:r>
            <w:r>
              <w:rPr>
                <w:rFonts w:hint="eastAsia"/>
                <w:sz w:val="21"/>
                <w:szCs w:val="21"/>
                <w:u w:val="none"/>
              </w:rPr>
              <w:t xml:space="preserve"> </w:t>
            </w:r>
            <w:r>
              <w:rPr>
                <w:sz w:val="21"/>
                <w:szCs w:val="21"/>
                <w:u w:val="none"/>
              </w:rPr>
              <w:t xml:space="preserve"> 项目</w:t>
            </w:r>
            <w:r>
              <w:rPr>
                <w:rFonts w:hint="eastAsia"/>
                <w:sz w:val="21"/>
                <w:szCs w:val="21"/>
                <w:u w:val="none"/>
              </w:rPr>
              <w:t>废水</w:t>
            </w:r>
            <w:r>
              <w:rPr>
                <w:sz w:val="21"/>
                <w:szCs w:val="21"/>
                <w:u w:val="none"/>
              </w:rPr>
              <w:t>自行监测要求</w:t>
            </w:r>
          </w:p>
          <w:tbl>
            <w:tblPr>
              <w:tblStyle w:val="37"/>
              <w:tblW w:w="4997"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869"/>
              <w:gridCol w:w="1660"/>
              <w:gridCol w:w="1810"/>
              <w:gridCol w:w="1023"/>
              <w:gridCol w:w="2268"/>
            </w:tblGrid>
            <w:tr w14:paraId="424DA9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4" w:hRule="atLeast"/>
              </w:trPr>
              <w:tc>
                <w:tcPr>
                  <w:tcW w:w="483" w:type="pct"/>
                  <w:tcBorders>
                    <w:top w:val="single" w:color="000000" w:sz="8" w:space="0"/>
                  </w:tcBorders>
                  <w:vAlign w:val="center"/>
                </w:tcPr>
                <w:p w14:paraId="666D71BA">
                  <w:pPr>
                    <w:pStyle w:val="144"/>
                    <w:rPr>
                      <w:b/>
                      <w:bCs/>
                      <w:u w:val="none"/>
                    </w:rPr>
                  </w:pPr>
                  <w:r>
                    <w:rPr>
                      <w:b/>
                      <w:bCs/>
                      <w:u w:val="none"/>
                    </w:rPr>
                    <w:t>监测阶段</w:t>
                  </w:r>
                </w:p>
              </w:tc>
              <w:tc>
                <w:tcPr>
                  <w:tcW w:w="514" w:type="pct"/>
                  <w:tcBorders>
                    <w:top w:val="single" w:color="000000" w:sz="8" w:space="0"/>
                  </w:tcBorders>
                  <w:vAlign w:val="center"/>
                </w:tcPr>
                <w:p w14:paraId="771E5BF6">
                  <w:pPr>
                    <w:pStyle w:val="144"/>
                    <w:rPr>
                      <w:b/>
                      <w:bCs/>
                      <w:u w:val="none"/>
                    </w:rPr>
                  </w:pPr>
                  <w:r>
                    <w:rPr>
                      <w:b/>
                      <w:bCs/>
                      <w:u w:val="none"/>
                    </w:rPr>
                    <w:t>监测项目</w:t>
                  </w:r>
                </w:p>
              </w:tc>
              <w:tc>
                <w:tcPr>
                  <w:tcW w:w="982" w:type="pct"/>
                  <w:tcBorders>
                    <w:top w:val="single" w:color="000000" w:sz="8" w:space="0"/>
                  </w:tcBorders>
                  <w:vAlign w:val="center"/>
                </w:tcPr>
                <w:p w14:paraId="6158B2C1">
                  <w:pPr>
                    <w:pStyle w:val="144"/>
                    <w:rPr>
                      <w:b/>
                      <w:bCs/>
                      <w:u w:val="none"/>
                    </w:rPr>
                  </w:pPr>
                  <w:r>
                    <w:rPr>
                      <w:b/>
                      <w:bCs/>
                      <w:u w:val="none"/>
                    </w:rPr>
                    <w:t>监测地点</w:t>
                  </w:r>
                </w:p>
              </w:tc>
              <w:tc>
                <w:tcPr>
                  <w:tcW w:w="1071" w:type="pct"/>
                  <w:tcBorders>
                    <w:top w:val="single" w:color="000000" w:sz="8" w:space="0"/>
                  </w:tcBorders>
                  <w:vAlign w:val="center"/>
                </w:tcPr>
                <w:p w14:paraId="1B796AC5">
                  <w:pPr>
                    <w:pStyle w:val="144"/>
                    <w:rPr>
                      <w:b/>
                      <w:bCs/>
                      <w:u w:val="none"/>
                    </w:rPr>
                  </w:pPr>
                  <w:r>
                    <w:rPr>
                      <w:b/>
                      <w:bCs/>
                      <w:u w:val="none"/>
                    </w:rPr>
                    <w:t>监测因子</w:t>
                  </w:r>
                </w:p>
              </w:tc>
              <w:tc>
                <w:tcPr>
                  <w:tcW w:w="605" w:type="pct"/>
                  <w:tcBorders>
                    <w:top w:val="single" w:color="000000" w:sz="8" w:space="0"/>
                  </w:tcBorders>
                  <w:vAlign w:val="center"/>
                </w:tcPr>
                <w:p w14:paraId="66CA8E1F">
                  <w:pPr>
                    <w:pStyle w:val="144"/>
                    <w:rPr>
                      <w:b/>
                      <w:bCs/>
                      <w:u w:val="none"/>
                    </w:rPr>
                  </w:pPr>
                  <w:r>
                    <w:rPr>
                      <w:b/>
                      <w:bCs/>
                      <w:u w:val="none"/>
                    </w:rPr>
                    <w:t>监测频率</w:t>
                  </w:r>
                </w:p>
              </w:tc>
              <w:tc>
                <w:tcPr>
                  <w:tcW w:w="1342" w:type="pct"/>
                  <w:tcBorders>
                    <w:top w:val="single" w:color="000000" w:sz="8" w:space="0"/>
                  </w:tcBorders>
                  <w:vAlign w:val="center"/>
                </w:tcPr>
                <w:p w14:paraId="5534038F">
                  <w:pPr>
                    <w:pStyle w:val="144"/>
                    <w:rPr>
                      <w:b/>
                      <w:bCs/>
                      <w:u w:val="none"/>
                    </w:rPr>
                  </w:pPr>
                  <w:r>
                    <w:rPr>
                      <w:rFonts w:hint="eastAsia"/>
                      <w:b/>
                      <w:bCs/>
                      <w:u w:val="none"/>
                    </w:rPr>
                    <w:t>执行标准</w:t>
                  </w:r>
                </w:p>
              </w:tc>
            </w:tr>
            <w:tr w14:paraId="0A28A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483" w:type="pct"/>
                  <w:vAlign w:val="center"/>
                </w:tcPr>
                <w:p w14:paraId="1E82E525">
                  <w:pPr>
                    <w:pStyle w:val="144"/>
                    <w:rPr>
                      <w:u w:val="none"/>
                    </w:rPr>
                  </w:pPr>
                  <w:r>
                    <w:rPr>
                      <w:u w:val="none"/>
                    </w:rPr>
                    <w:t>营运期</w:t>
                  </w:r>
                </w:p>
              </w:tc>
              <w:tc>
                <w:tcPr>
                  <w:tcW w:w="514" w:type="pct"/>
                  <w:vAlign w:val="center"/>
                </w:tcPr>
                <w:p w14:paraId="5D5C36C4">
                  <w:pPr>
                    <w:pStyle w:val="144"/>
                    <w:rPr>
                      <w:u w:val="none"/>
                    </w:rPr>
                  </w:pPr>
                  <w:r>
                    <w:rPr>
                      <w:u w:val="none"/>
                    </w:rPr>
                    <w:t>废</w:t>
                  </w:r>
                  <w:r>
                    <w:rPr>
                      <w:rFonts w:hint="eastAsia"/>
                      <w:u w:val="none"/>
                    </w:rPr>
                    <w:t>水</w:t>
                  </w:r>
                </w:p>
              </w:tc>
              <w:tc>
                <w:tcPr>
                  <w:tcW w:w="982" w:type="pct"/>
                  <w:vAlign w:val="center"/>
                </w:tcPr>
                <w:p w14:paraId="3E9CCB38">
                  <w:pPr>
                    <w:pStyle w:val="144"/>
                    <w:rPr>
                      <w:u w:val="none"/>
                    </w:rPr>
                  </w:pPr>
                  <w:r>
                    <w:rPr>
                      <w:rFonts w:hint="eastAsia"/>
                      <w:u w:val="none"/>
                    </w:rPr>
                    <w:t>一体化污水处理站出水口</w:t>
                  </w:r>
                </w:p>
              </w:tc>
              <w:tc>
                <w:tcPr>
                  <w:tcW w:w="1071" w:type="pct"/>
                  <w:vAlign w:val="center"/>
                </w:tcPr>
                <w:p w14:paraId="3DAF6665">
                  <w:pPr>
                    <w:pStyle w:val="144"/>
                    <w:rPr>
                      <w:u w:val="none"/>
                    </w:rPr>
                  </w:pPr>
                  <w:r>
                    <w:rPr>
                      <w:rFonts w:hint="eastAsia"/>
                      <w:u w:val="none"/>
                    </w:rPr>
                    <w:t>pH、五日生化需氧量、化学需氧量、悬浮物、阴离子表面活性剂</w:t>
                  </w:r>
                </w:p>
              </w:tc>
              <w:tc>
                <w:tcPr>
                  <w:tcW w:w="605" w:type="pct"/>
                  <w:vAlign w:val="center"/>
                </w:tcPr>
                <w:p w14:paraId="163DB85A">
                  <w:pPr>
                    <w:pStyle w:val="144"/>
                    <w:rPr>
                      <w:u w:val="none"/>
                    </w:rPr>
                  </w:pPr>
                  <w:r>
                    <w:rPr>
                      <w:u w:val="none"/>
                    </w:rPr>
                    <w:t>1次/年</w:t>
                  </w:r>
                </w:p>
              </w:tc>
              <w:tc>
                <w:tcPr>
                  <w:tcW w:w="1342" w:type="pct"/>
                  <w:vAlign w:val="center"/>
                </w:tcPr>
                <w:p w14:paraId="07461EFC">
                  <w:pPr>
                    <w:pStyle w:val="144"/>
                    <w:wordWrap w:val="0"/>
                    <w:rPr>
                      <w:u w:val="none"/>
                    </w:rPr>
                  </w:pPr>
                  <w:r>
                    <w:rPr>
                      <w:u w:val="none"/>
                    </w:rPr>
                    <w:t>《农田灌溉水质标准》（GB5084-2021）中蔬菜标准限值</w:t>
                  </w:r>
                </w:p>
              </w:tc>
            </w:tr>
          </w:tbl>
          <w:p w14:paraId="521A6F55">
            <w:pPr>
              <w:pStyle w:val="15"/>
              <w:numPr>
                <w:ilvl w:val="0"/>
                <w:numId w:val="5"/>
              </w:numPr>
              <w:snapToGrid/>
              <w:spacing w:after="0" w:line="360" w:lineRule="auto"/>
              <w:ind w:firstLine="482" w:firstLineChars="200"/>
              <w:rPr>
                <w:b/>
                <w:bCs/>
                <w:kern w:val="2"/>
                <w:sz w:val="24"/>
                <w:szCs w:val="24"/>
                <w:u w:val="none"/>
              </w:rPr>
            </w:pPr>
            <w:r>
              <w:rPr>
                <w:rFonts w:hint="eastAsia"/>
                <w:b/>
                <w:bCs/>
                <w:kern w:val="2"/>
                <w:sz w:val="24"/>
                <w:szCs w:val="24"/>
                <w:u w:val="none"/>
              </w:rPr>
              <w:t>声环境</w:t>
            </w:r>
          </w:p>
          <w:p w14:paraId="08E65ECB">
            <w:pPr>
              <w:pStyle w:val="15"/>
              <w:snapToGrid/>
              <w:spacing w:after="0" w:line="360" w:lineRule="auto"/>
              <w:ind w:left="420" w:leftChars="200"/>
              <w:rPr>
                <w:b/>
                <w:bCs/>
                <w:kern w:val="2"/>
                <w:sz w:val="24"/>
                <w:szCs w:val="24"/>
                <w:u w:val="none"/>
              </w:rPr>
            </w:pPr>
            <w:r>
              <w:rPr>
                <w:rFonts w:hint="eastAsia"/>
                <w:b/>
                <w:bCs/>
                <w:kern w:val="2"/>
                <w:sz w:val="24"/>
                <w:szCs w:val="24"/>
                <w:u w:val="none"/>
              </w:rPr>
              <w:t>3.1、噪声污染源</w:t>
            </w:r>
          </w:p>
          <w:p w14:paraId="325B2C03">
            <w:pPr>
              <w:spacing w:line="360" w:lineRule="auto"/>
              <w:ind w:firstLine="480" w:firstLineChars="200"/>
              <w:rPr>
                <w:sz w:val="24"/>
                <w:u w:val="none"/>
              </w:rPr>
            </w:pPr>
            <w:r>
              <w:rPr>
                <w:rFonts w:hint="eastAsia"/>
                <w:sz w:val="24"/>
                <w:u w:val="none"/>
              </w:rPr>
              <w:t>项目</w:t>
            </w:r>
            <w:r>
              <w:rPr>
                <w:sz w:val="24"/>
                <w:u w:val="none"/>
              </w:rPr>
              <w:t>各类机械噪声值在</w:t>
            </w:r>
            <w:r>
              <w:rPr>
                <w:rFonts w:hint="eastAsia"/>
                <w:sz w:val="24"/>
                <w:u w:val="none"/>
              </w:rPr>
              <w:t>70</w:t>
            </w:r>
            <w:r>
              <w:rPr>
                <w:sz w:val="24"/>
                <w:u w:val="none"/>
              </w:rPr>
              <w:t>～</w:t>
            </w:r>
            <w:r>
              <w:rPr>
                <w:rFonts w:hint="eastAsia"/>
                <w:sz w:val="24"/>
                <w:u w:val="none"/>
              </w:rPr>
              <w:t>80</w:t>
            </w:r>
            <w:r>
              <w:rPr>
                <w:sz w:val="24"/>
                <w:u w:val="none"/>
              </w:rPr>
              <w:t>dB</w:t>
            </w:r>
            <w:r>
              <w:rPr>
                <w:rFonts w:hint="eastAsia"/>
                <w:sz w:val="24"/>
                <w:u w:val="none"/>
              </w:rPr>
              <w:t>（</w:t>
            </w:r>
            <w:r>
              <w:rPr>
                <w:sz w:val="24"/>
                <w:u w:val="none"/>
              </w:rPr>
              <w:t>A</w:t>
            </w:r>
            <w:r>
              <w:rPr>
                <w:rFonts w:hint="eastAsia"/>
                <w:sz w:val="24"/>
                <w:u w:val="none"/>
              </w:rPr>
              <w:t>）</w:t>
            </w:r>
            <w:r>
              <w:rPr>
                <w:sz w:val="24"/>
                <w:u w:val="none"/>
              </w:rPr>
              <w:t>之间，在噪声治理上，采取了不同的</w:t>
            </w:r>
            <w:r>
              <w:rPr>
                <w:rFonts w:hint="eastAsia"/>
                <w:sz w:val="24"/>
                <w:u w:val="none"/>
              </w:rPr>
              <w:t>厂房</w:t>
            </w:r>
            <w:r>
              <w:rPr>
                <w:sz w:val="24"/>
                <w:u w:val="none"/>
              </w:rPr>
              <w:t>隔声措施。噪声在传播过程中容易衰减，且易受厂房、墙体、植被的吸收和阻隔。</w:t>
            </w:r>
          </w:p>
          <w:p w14:paraId="65079A37">
            <w:pPr>
              <w:spacing w:line="360" w:lineRule="auto"/>
              <w:ind w:firstLine="480" w:firstLineChars="200"/>
              <w:rPr>
                <w:sz w:val="24"/>
                <w:u w:val="none"/>
              </w:rPr>
            </w:pPr>
            <w:r>
              <w:rPr>
                <w:sz w:val="24"/>
                <w:u w:val="none"/>
              </w:rPr>
              <w:t>项目噪声源强调查清单见表</w:t>
            </w:r>
            <w:r>
              <w:rPr>
                <w:rFonts w:hint="eastAsia"/>
                <w:sz w:val="24"/>
                <w:u w:val="none"/>
              </w:rPr>
              <w:t>4</w:t>
            </w:r>
            <w:r>
              <w:rPr>
                <w:sz w:val="24"/>
                <w:u w:val="none"/>
              </w:rPr>
              <w:t>-</w:t>
            </w:r>
            <w:r>
              <w:rPr>
                <w:rFonts w:hint="eastAsia"/>
                <w:sz w:val="24"/>
                <w:u w:val="none"/>
              </w:rPr>
              <w:t>7和表4-8</w:t>
            </w:r>
            <w:r>
              <w:rPr>
                <w:sz w:val="24"/>
                <w:u w:val="none"/>
              </w:rPr>
              <w:t>。</w:t>
            </w:r>
          </w:p>
          <w:p w14:paraId="7DCB8583">
            <w:pPr>
              <w:pStyle w:val="48"/>
              <w:adjustRightInd/>
              <w:spacing w:line="240" w:lineRule="auto"/>
              <w:rPr>
                <w:sz w:val="21"/>
                <w:szCs w:val="21"/>
                <w:u w:val="none"/>
              </w:rPr>
            </w:pPr>
          </w:p>
          <w:p w14:paraId="49367786">
            <w:pPr>
              <w:pStyle w:val="48"/>
              <w:adjustRightInd/>
              <w:spacing w:line="240" w:lineRule="auto"/>
              <w:rPr>
                <w:sz w:val="21"/>
                <w:szCs w:val="21"/>
                <w:u w:val="none"/>
              </w:rPr>
            </w:pPr>
          </w:p>
          <w:p w14:paraId="14B2E9A7">
            <w:pPr>
              <w:pStyle w:val="48"/>
              <w:adjustRightInd/>
              <w:spacing w:line="240" w:lineRule="auto"/>
              <w:rPr>
                <w:sz w:val="21"/>
                <w:szCs w:val="21"/>
                <w:u w:val="none"/>
              </w:rPr>
            </w:pPr>
          </w:p>
          <w:p w14:paraId="19B6D427">
            <w:pPr>
              <w:pStyle w:val="48"/>
              <w:adjustRightInd/>
              <w:spacing w:line="240" w:lineRule="auto"/>
              <w:rPr>
                <w:sz w:val="21"/>
                <w:szCs w:val="21"/>
                <w:u w:val="none"/>
              </w:rPr>
            </w:pPr>
          </w:p>
          <w:p w14:paraId="786756F2">
            <w:pPr>
              <w:pStyle w:val="48"/>
              <w:adjustRightInd/>
              <w:spacing w:line="240" w:lineRule="auto"/>
              <w:rPr>
                <w:sz w:val="21"/>
                <w:szCs w:val="21"/>
                <w:u w:val="none"/>
              </w:rPr>
            </w:pPr>
            <w:r>
              <w:rPr>
                <w:sz w:val="21"/>
                <w:szCs w:val="21"/>
                <w:u w:val="none"/>
              </w:rPr>
              <w:t>表</w:t>
            </w:r>
            <w:r>
              <w:rPr>
                <w:rFonts w:hint="eastAsia"/>
                <w:sz w:val="21"/>
                <w:szCs w:val="21"/>
                <w:u w:val="none"/>
              </w:rPr>
              <w:t xml:space="preserve">4-7   </w:t>
            </w:r>
            <w:r>
              <w:rPr>
                <w:sz w:val="21"/>
                <w:szCs w:val="21"/>
                <w:u w:val="none"/>
              </w:rPr>
              <w:t>工业企业噪声源强调查清单（室外声源）</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auto"/>
              <w:tblLayout w:type="autofit"/>
              <w:tblCellMar>
                <w:top w:w="0" w:type="dxa"/>
                <w:left w:w="108" w:type="dxa"/>
                <w:bottom w:w="0" w:type="dxa"/>
                <w:right w:w="108" w:type="dxa"/>
              </w:tblCellMar>
            </w:tblPr>
            <w:tblGrid>
              <w:gridCol w:w="611"/>
              <w:gridCol w:w="1612"/>
              <w:gridCol w:w="1062"/>
              <w:gridCol w:w="1062"/>
              <w:gridCol w:w="1064"/>
              <w:gridCol w:w="1835"/>
              <w:gridCol w:w="1212"/>
            </w:tblGrid>
            <w:tr w14:paraId="48F6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auto"/>
                <w:tblCellMar>
                  <w:top w:w="0" w:type="dxa"/>
                  <w:left w:w="108" w:type="dxa"/>
                  <w:bottom w:w="0" w:type="dxa"/>
                  <w:right w:w="108" w:type="dxa"/>
                </w:tblCellMar>
              </w:tblPrEx>
              <w:trPr>
                <w:trHeight w:val="454" w:hRule="exact"/>
              </w:trPr>
              <w:tc>
                <w:tcPr>
                  <w:tcW w:w="361" w:type="pct"/>
                  <w:vMerge w:val="restart"/>
                  <w:shd w:val="clear" w:color="FFFFFF" w:fill="auto"/>
                  <w:vAlign w:val="center"/>
                </w:tcPr>
                <w:p w14:paraId="3F42BB57">
                  <w:pPr>
                    <w:wordWrap w:val="0"/>
                    <w:snapToGrid w:val="0"/>
                    <w:jc w:val="center"/>
                    <w:rPr>
                      <w:szCs w:val="21"/>
                      <w:u w:val="none"/>
                    </w:rPr>
                  </w:pPr>
                  <w:bookmarkStart w:id="11" w:name="PT_5"/>
                  <w:r>
                    <w:rPr>
                      <w:szCs w:val="21"/>
                      <w:u w:val="none"/>
                    </w:rPr>
                    <w:t>序号</w:t>
                  </w:r>
                </w:p>
              </w:tc>
              <w:tc>
                <w:tcPr>
                  <w:tcW w:w="953" w:type="pct"/>
                  <w:vMerge w:val="restart"/>
                  <w:shd w:val="clear" w:color="FFFFFF" w:fill="auto"/>
                  <w:vAlign w:val="center"/>
                </w:tcPr>
                <w:p w14:paraId="1E21299F">
                  <w:pPr>
                    <w:wordWrap w:val="0"/>
                    <w:snapToGrid w:val="0"/>
                    <w:jc w:val="center"/>
                    <w:rPr>
                      <w:szCs w:val="21"/>
                      <w:u w:val="none"/>
                    </w:rPr>
                  </w:pPr>
                  <w:r>
                    <w:rPr>
                      <w:szCs w:val="21"/>
                      <w:u w:val="none"/>
                    </w:rPr>
                    <w:t>声源名称</w:t>
                  </w:r>
                </w:p>
              </w:tc>
              <w:tc>
                <w:tcPr>
                  <w:tcW w:w="1885" w:type="pct"/>
                  <w:gridSpan w:val="3"/>
                  <w:shd w:val="clear" w:color="FFFFFF" w:fill="auto"/>
                  <w:vAlign w:val="center"/>
                </w:tcPr>
                <w:p w14:paraId="17B9AB67">
                  <w:pPr>
                    <w:wordWrap w:val="0"/>
                    <w:snapToGrid w:val="0"/>
                    <w:jc w:val="center"/>
                    <w:rPr>
                      <w:szCs w:val="21"/>
                      <w:u w:val="none"/>
                    </w:rPr>
                  </w:pPr>
                  <w:r>
                    <w:rPr>
                      <w:szCs w:val="21"/>
                      <w:u w:val="none"/>
                    </w:rPr>
                    <w:t>空间相对位置/m</w:t>
                  </w:r>
                </w:p>
              </w:tc>
              <w:tc>
                <w:tcPr>
                  <w:tcW w:w="1085" w:type="pct"/>
                  <w:shd w:val="clear" w:color="FFFFFF" w:fill="auto"/>
                  <w:vAlign w:val="center"/>
                </w:tcPr>
                <w:p w14:paraId="05BB2247">
                  <w:pPr>
                    <w:wordWrap w:val="0"/>
                    <w:snapToGrid w:val="0"/>
                    <w:jc w:val="center"/>
                    <w:rPr>
                      <w:szCs w:val="21"/>
                      <w:u w:val="none"/>
                    </w:rPr>
                  </w:pPr>
                  <w:r>
                    <w:rPr>
                      <w:szCs w:val="21"/>
                      <w:u w:val="none"/>
                    </w:rPr>
                    <w:t>声</w:t>
                  </w:r>
                  <w:r>
                    <w:rPr>
                      <w:szCs w:val="21"/>
                      <w:u w:val="none" w:color="auto"/>
                      <w:shd w:val="clear" w:fill="auto"/>
                    </w:rPr>
                    <w:t>源</w:t>
                  </w:r>
                  <w:r>
                    <w:rPr>
                      <w:szCs w:val="21"/>
                      <w:u w:val="none"/>
                    </w:rPr>
                    <w:t>源强</w:t>
                  </w:r>
                </w:p>
              </w:tc>
              <w:tc>
                <w:tcPr>
                  <w:tcW w:w="714" w:type="pct"/>
                  <w:vMerge w:val="restart"/>
                  <w:shd w:val="clear" w:color="FFFFFF" w:fill="auto"/>
                  <w:vAlign w:val="center"/>
                </w:tcPr>
                <w:p w14:paraId="540BD1CD">
                  <w:pPr>
                    <w:wordWrap w:val="0"/>
                    <w:snapToGrid w:val="0"/>
                    <w:jc w:val="center"/>
                    <w:rPr>
                      <w:szCs w:val="21"/>
                      <w:u w:val="none"/>
                    </w:rPr>
                  </w:pPr>
                  <w:r>
                    <w:rPr>
                      <w:szCs w:val="21"/>
                      <w:u w:val="none"/>
                    </w:rPr>
                    <w:t>运行时段</w:t>
                  </w:r>
                </w:p>
              </w:tc>
            </w:tr>
            <w:tr w14:paraId="564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 w:type="pct"/>
                  <w:vMerge w:val="continue"/>
                  <w:shd w:val="clear" w:color="FFFFFF" w:fill="auto"/>
                  <w:vAlign w:val="center"/>
                </w:tcPr>
                <w:p w14:paraId="383539FD">
                  <w:pPr>
                    <w:wordWrap w:val="0"/>
                    <w:snapToGrid w:val="0"/>
                    <w:jc w:val="center"/>
                    <w:rPr>
                      <w:szCs w:val="21"/>
                      <w:u w:val="none"/>
                    </w:rPr>
                  </w:pPr>
                </w:p>
              </w:tc>
              <w:tc>
                <w:tcPr>
                  <w:tcW w:w="953" w:type="pct"/>
                  <w:vMerge w:val="continue"/>
                  <w:shd w:val="clear" w:color="FFFFFF" w:fill="auto"/>
                  <w:vAlign w:val="center"/>
                </w:tcPr>
                <w:p w14:paraId="0E428B4D">
                  <w:pPr>
                    <w:wordWrap w:val="0"/>
                    <w:snapToGrid w:val="0"/>
                    <w:jc w:val="center"/>
                    <w:rPr>
                      <w:szCs w:val="21"/>
                      <w:u w:val="none"/>
                    </w:rPr>
                  </w:pPr>
                </w:p>
              </w:tc>
              <w:tc>
                <w:tcPr>
                  <w:tcW w:w="628" w:type="pct"/>
                  <w:shd w:val="clear" w:color="FFFFFF" w:fill="auto"/>
                  <w:vAlign w:val="center"/>
                </w:tcPr>
                <w:p w14:paraId="643A36CF">
                  <w:pPr>
                    <w:wordWrap w:val="0"/>
                    <w:snapToGrid w:val="0"/>
                    <w:jc w:val="center"/>
                    <w:rPr>
                      <w:szCs w:val="21"/>
                      <w:u w:val="none"/>
                    </w:rPr>
                  </w:pPr>
                  <w:r>
                    <w:rPr>
                      <w:szCs w:val="21"/>
                      <w:u w:val="none"/>
                    </w:rPr>
                    <w:t>X</w:t>
                  </w:r>
                </w:p>
              </w:tc>
              <w:tc>
                <w:tcPr>
                  <w:tcW w:w="628" w:type="pct"/>
                  <w:shd w:val="clear" w:color="FFFFFF" w:fill="auto"/>
                  <w:vAlign w:val="center"/>
                </w:tcPr>
                <w:p w14:paraId="3B31022B">
                  <w:pPr>
                    <w:wordWrap w:val="0"/>
                    <w:snapToGrid w:val="0"/>
                    <w:jc w:val="center"/>
                    <w:rPr>
                      <w:szCs w:val="21"/>
                      <w:u w:val="none"/>
                    </w:rPr>
                  </w:pPr>
                  <w:r>
                    <w:rPr>
                      <w:szCs w:val="21"/>
                      <w:u w:val="none"/>
                    </w:rPr>
                    <w:t>Y</w:t>
                  </w:r>
                </w:p>
              </w:tc>
              <w:tc>
                <w:tcPr>
                  <w:tcW w:w="628" w:type="pct"/>
                  <w:shd w:val="clear" w:color="FFFFFF" w:fill="auto"/>
                  <w:vAlign w:val="center"/>
                </w:tcPr>
                <w:p w14:paraId="1F3554A6">
                  <w:pPr>
                    <w:wordWrap w:val="0"/>
                    <w:snapToGrid w:val="0"/>
                    <w:jc w:val="center"/>
                    <w:rPr>
                      <w:szCs w:val="21"/>
                      <w:u w:val="none"/>
                    </w:rPr>
                  </w:pPr>
                  <w:r>
                    <w:rPr>
                      <w:szCs w:val="21"/>
                      <w:u w:val="none"/>
                    </w:rPr>
                    <w:t>Z</w:t>
                  </w:r>
                </w:p>
              </w:tc>
              <w:tc>
                <w:tcPr>
                  <w:tcW w:w="1085" w:type="pct"/>
                  <w:shd w:val="clear" w:color="FFFFFF" w:fill="auto"/>
                  <w:vAlign w:val="center"/>
                </w:tcPr>
                <w:p w14:paraId="157BAA5B">
                  <w:pPr>
                    <w:wordWrap w:val="0"/>
                    <w:snapToGrid w:val="0"/>
                    <w:jc w:val="center"/>
                    <w:rPr>
                      <w:szCs w:val="21"/>
                      <w:u w:val="none"/>
                    </w:rPr>
                  </w:pPr>
                  <w:r>
                    <w:rPr>
                      <w:szCs w:val="21"/>
                      <w:u w:val="none"/>
                    </w:rPr>
                    <w:t>声功率级/dB(A)</w:t>
                  </w:r>
                </w:p>
                <w:bookmarkEnd w:id="11"/>
              </w:tc>
              <w:tc>
                <w:tcPr>
                  <w:tcW w:w="714" w:type="pct"/>
                  <w:vMerge w:val="continue"/>
                  <w:shd w:val="clear" w:color="FFFFFF" w:fill="auto"/>
                  <w:vAlign w:val="center"/>
                </w:tcPr>
                <w:p w14:paraId="078DD7E6">
                  <w:pPr>
                    <w:wordWrap w:val="0"/>
                    <w:snapToGrid w:val="0"/>
                    <w:jc w:val="center"/>
                    <w:rPr>
                      <w:szCs w:val="21"/>
                      <w:u w:val="none"/>
                    </w:rPr>
                  </w:pPr>
                </w:p>
              </w:tc>
            </w:tr>
            <w:tr w14:paraId="5632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2FF5A6DD">
                  <w:pPr>
                    <w:wordWrap w:val="0"/>
                    <w:snapToGrid w:val="0"/>
                    <w:jc w:val="center"/>
                    <w:rPr>
                      <w:szCs w:val="21"/>
                      <w:u w:val="none"/>
                    </w:rPr>
                  </w:pPr>
                  <w:r>
                    <w:rPr>
                      <w:szCs w:val="21"/>
                      <w:u w:val="none"/>
                    </w:rPr>
                    <w:t>1</w:t>
                  </w:r>
                </w:p>
              </w:tc>
              <w:tc>
                <w:tcPr>
                  <w:tcW w:w="953" w:type="pct"/>
                  <w:shd w:val="clear" w:color="auto" w:fill="FFFFFF"/>
                  <w:vAlign w:val="center"/>
                </w:tcPr>
                <w:p w14:paraId="53B4AE91">
                  <w:pPr>
                    <w:wordWrap w:val="0"/>
                    <w:snapToGrid w:val="0"/>
                    <w:jc w:val="center"/>
                    <w:rPr>
                      <w:szCs w:val="21"/>
                      <w:u w:val="none"/>
                    </w:rPr>
                  </w:pPr>
                  <w:r>
                    <w:rPr>
                      <w:rFonts w:hint="eastAsia"/>
                      <w:szCs w:val="21"/>
                      <w:u w:val="none"/>
                    </w:rPr>
                    <w:t>运输车辆1</w:t>
                  </w:r>
                </w:p>
              </w:tc>
              <w:tc>
                <w:tcPr>
                  <w:tcW w:w="1054" w:type="dxa"/>
                  <w:shd w:val="clear" w:color="FFFFFF" w:fill="auto"/>
                  <w:vAlign w:val="center"/>
                </w:tcPr>
                <w:p w14:paraId="6CC5BF33">
                  <w:pPr>
                    <w:wordWrap w:val="0"/>
                    <w:snapToGrid w:val="0"/>
                    <w:jc w:val="center"/>
                    <w:rPr>
                      <w:szCs w:val="21"/>
                      <w:u w:val="none"/>
                    </w:rPr>
                  </w:pPr>
                  <w:r>
                    <w:rPr>
                      <w:rFonts w:hint="eastAsia"/>
                      <w:szCs w:val="21"/>
                      <w:u w:val="none"/>
                    </w:rPr>
                    <w:t>20.3</w:t>
                  </w:r>
                </w:p>
              </w:tc>
              <w:tc>
                <w:tcPr>
                  <w:tcW w:w="1054" w:type="dxa"/>
                  <w:shd w:val="clear" w:color="FFFFFF" w:fill="auto"/>
                  <w:vAlign w:val="center"/>
                </w:tcPr>
                <w:p w14:paraId="0BD1C411">
                  <w:pPr>
                    <w:wordWrap w:val="0"/>
                    <w:snapToGrid w:val="0"/>
                    <w:jc w:val="center"/>
                    <w:rPr>
                      <w:szCs w:val="21"/>
                      <w:u w:val="none"/>
                    </w:rPr>
                  </w:pPr>
                  <w:r>
                    <w:rPr>
                      <w:rFonts w:hint="eastAsia"/>
                      <w:szCs w:val="21"/>
                      <w:u w:val="none"/>
                    </w:rPr>
                    <w:t>-5.1</w:t>
                  </w:r>
                </w:p>
              </w:tc>
              <w:tc>
                <w:tcPr>
                  <w:tcW w:w="1055" w:type="dxa"/>
                  <w:shd w:val="clear" w:color="FFFFFF" w:fill="auto"/>
                  <w:vAlign w:val="center"/>
                </w:tcPr>
                <w:p w14:paraId="6E7261A5">
                  <w:pPr>
                    <w:wordWrap w:val="0"/>
                    <w:snapToGrid w:val="0"/>
                    <w:jc w:val="center"/>
                    <w:rPr>
                      <w:szCs w:val="21"/>
                      <w:u w:val="none"/>
                    </w:rPr>
                  </w:pPr>
                  <w:r>
                    <w:rPr>
                      <w:rFonts w:hint="eastAsia"/>
                      <w:szCs w:val="21"/>
                      <w:u w:val="none"/>
                    </w:rPr>
                    <w:t>1.2</w:t>
                  </w:r>
                </w:p>
              </w:tc>
              <w:tc>
                <w:tcPr>
                  <w:tcW w:w="1085" w:type="pct"/>
                  <w:shd w:val="clear" w:color="FFFFFF" w:fill="auto"/>
                  <w:vAlign w:val="center"/>
                </w:tcPr>
                <w:p w14:paraId="2DCD5124">
                  <w:pPr>
                    <w:wordWrap w:val="0"/>
                    <w:snapToGrid w:val="0"/>
                    <w:jc w:val="center"/>
                    <w:rPr>
                      <w:szCs w:val="21"/>
                      <w:u w:val="none"/>
                    </w:rPr>
                  </w:pPr>
                  <w:r>
                    <w:rPr>
                      <w:rFonts w:hint="eastAsia"/>
                      <w:szCs w:val="21"/>
                      <w:u w:val="none"/>
                    </w:rPr>
                    <w:t>70</w:t>
                  </w:r>
                </w:p>
              </w:tc>
              <w:tc>
                <w:tcPr>
                  <w:tcW w:w="714" w:type="pct"/>
                  <w:shd w:val="clear" w:color="FFFFFF" w:fill="auto"/>
                  <w:vAlign w:val="center"/>
                </w:tcPr>
                <w:p w14:paraId="729FCB70">
                  <w:pPr>
                    <w:wordWrap w:val="0"/>
                    <w:snapToGrid w:val="0"/>
                    <w:jc w:val="center"/>
                    <w:rPr>
                      <w:szCs w:val="21"/>
                      <w:u w:val="none"/>
                    </w:rPr>
                  </w:pPr>
                  <w:r>
                    <w:rPr>
                      <w:rFonts w:hint="eastAsia"/>
                      <w:szCs w:val="21"/>
                      <w:u w:val="none"/>
                    </w:rPr>
                    <w:t>昼间</w:t>
                  </w:r>
                </w:p>
              </w:tc>
            </w:tr>
            <w:tr w14:paraId="2A7C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49D2F3C1">
                  <w:pPr>
                    <w:wordWrap w:val="0"/>
                    <w:snapToGrid w:val="0"/>
                    <w:jc w:val="center"/>
                    <w:rPr>
                      <w:szCs w:val="21"/>
                      <w:u w:val="none"/>
                    </w:rPr>
                  </w:pPr>
                  <w:r>
                    <w:rPr>
                      <w:szCs w:val="21"/>
                      <w:u w:val="none"/>
                    </w:rPr>
                    <w:t>2</w:t>
                  </w:r>
                </w:p>
              </w:tc>
              <w:tc>
                <w:tcPr>
                  <w:tcW w:w="953" w:type="pct"/>
                  <w:shd w:val="clear" w:color="auto" w:fill="FFFFFF"/>
                  <w:vAlign w:val="center"/>
                </w:tcPr>
                <w:p w14:paraId="35527DCB">
                  <w:pPr>
                    <w:wordWrap w:val="0"/>
                    <w:snapToGrid w:val="0"/>
                    <w:jc w:val="center"/>
                    <w:rPr>
                      <w:szCs w:val="21"/>
                      <w:u w:val="none"/>
                    </w:rPr>
                  </w:pPr>
                  <w:r>
                    <w:rPr>
                      <w:rFonts w:hint="eastAsia"/>
                      <w:szCs w:val="21"/>
                      <w:u w:val="none"/>
                    </w:rPr>
                    <w:t>运输车辆2</w:t>
                  </w:r>
                </w:p>
              </w:tc>
              <w:tc>
                <w:tcPr>
                  <w:tcW w:w="1054" w:type="dxa"/>
                  <w:shd w:val="clear" w:color="FFFFFF" w:fill="auto"/>
                  <w:vAlign w:val="center"/>
                </w:tcPr>
                <w:p w14:paraId="39C0C525">
                  <w:pPr>
                    <w:wordWrap w:val="0"/>
                    <w:snapToGrid w:val="0"/>
                    <w:jc w:val="center"/>
                    <w:rPr>
                      <w:szCs w:val="21"/>
                      <w:u w:val="none"/>
                    </w:rPr>
                  </w:pPr>
                  <w:r>
                    <w:rPr>
                      <w:rFonts w:hint="eastAsia"/>
                      <w:szCs w:val="21"/>
                      <w:u w:val="none"/>
                    </w:rPr>
                    <w:t>24.3</w:t>
                  </w:r>
                </w:p>
              </w:tc>
              <w:tc>
                <w:tcPr>
                  <w:tcW w:w="1054" w:type="dxa"/>
                  <w:shd w:val="clear" w:color="FFFFFF" w:fill="auto"/>
                  <w:vAlign w:val="center"/>
                </w:tcPr>
                <w:p w14:paraId="4BCB0F4C">
                  <w:pPr>
                    <w:wordWrap w:val="0"/>
                    <w:snapToGrid w:val="0"/>
                    <w:jc w:val="center"/>
                    <w:rPr>
                      <w:szCs w:val="21"/>
                      <w:u w:val="none"/>
                    </w:rPr>
                  </w:pPr>
                  <w:r>
                    <w:rPr>
                      <w:rFonts w:hint="eastAsia"/>
                      <w:szCs w:val="21"/>
                      <w:u w:val="none"/>
                    </w:rPr>
                    <w:t>-5.1</w:t>
                  </w:r>
                </w:p>
              </w:tc>
              <w:tc>
                <w:tcPr>
                  <w:tcW w:w="1055" w:type="dxa"/>
                  <w:shd w:val="clear" w:color="FFFFFF" w:fill="auto"/>
                  <w:vAlign w:val="center"/>
                </w:tcPr>
                <w:p w14:paraId="5A4458DD">
                  <w:pPr>
                    <w:wordWrap w:val="0"/>
                    <w:snapToGrid w:val="0"/>
                    <w:jc w:val="center"/>
                    <w:rPr>
                      <w:szCs w:val="21"/>
                      <w:u w:val="none"/>
                    </w:rPr>
                  </w:pPr>
                  <w:r>
                    <w:rPr>
                      <w:rFonts w:hint="eastAsia"/>
                      <w:szCs w:val="21"/>
                      <w:u w:val="none"/>
                    </w:rPr>
                    <w:t>1.2</w:t>
                  </w:r>
                </w:p>
              </w:tc>
              <w:tc>
                <w:tcPr>
                  <w:tcW w:w="1085" w:type="pct"/>
                  <w:shd w:val="clear" w:color="FFFFFF" w:fill="auto"/>
                  <w:vAlign w:val="center"/>
                </w:tcPr>
                <w:p w14:paraId="51D4788D">
                  <w:pPr>
                    <w:wordWrap w:val="0"/>
                    <w:snapToGrid w:val="0"/>
                    <w:jc w:val="center"/>
                    <w:rPr>
                      <w:szCs w:val="21"/>
                      <w:u w:val="none"/>
                    </w:rPr>
                  </w:pPr>
                  <w:r>
                    <w:rPr>
                      <w:rFonts w:hint="eastAsia"/>
                      <w:szCs w:val="21"/>
                      <w:u w:val="none"/>
                    </w:rPr>
                    <w:t>70</w:t>
                  </w:r>
                </w:p>
              </w:tc>
              <w:tc>
                <w:tcPr>
                  <w:tcW w:w="714" w:type="pct"/>
                  <w:shd w:val="clear" w:color="FFFFFF" w:fill="auto"/>
                  <w:vAlign w:val="center"/>
                </w:tcPr>
                <w:p w14:paraId="29A0781A">
                  <w:pPr>
                    <w:wordWrap w:val="0"/>
                    <w:snapToGrid w:val="0"/>
                    <w:jc w:val="center"/>
                    <w:rPr>
                      <w:szCs w:val="21"/>
                      <w:u w:val="none"/>
                    </w:rPr>
                  </w:pPr>
                  <w:r>
                    <w:rPr>
                      <w:rFonts w:hint="eastAsia"/>
                      <w:szCs w:val="21"/>
                      <w:u w:val="none"/>
                    </w:rPr>
                    <w:t>昼间</w:t>
                  </w:r>
                </w:p>
              </w:tc>
            </w:tr>
            <w:tr w14:paraId="0AE6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5D1B8878">
                  <w:pPr>
                    <w:wordWrap w:val="0"/>
                    <w:snapToGrid w:val="0"/>
                    <w:jc w:val="center"/>
                    <w:rPr>
                      <w:szCs w:val="21"/>
                      <w:u w:val="none"/>
                    </w:rPr>
                  </w:pPr>
                  <w:r>
                    <w:rPr>
                      <w:szCs w:val="21"/>
                      <w:u w:val="none"/>
                    </w:rPr>
                    <w:t>3</w:t>
                  </w:r>
                </w:p>
              </w:tc>
              <w:tc>
                <w:tcPr>
                  <w:tcW w:w="953" w:type="pct"/>
                  <w:shd w:val="clear" w:color="auto" w:fill="FFFFFF"/>
                  <w:vAlign w:val="center"/>
                </w:tcPr>
                <w:p w14:paraId="301EC72D">
                  <w:pPr>
                    <w:wordWrap w:val="0"/>
                    <w:snapToGrid w:val="0"/>
                    <w:jc w:val="center"/>
                    <w:rPr>
                      <w:szCs w:val="21"/>
                      <w:u w:val="none"/>
                    </w:rPr>
                  </w:pPr>
                  <w:r>
                    <w:rPr>
                      <w:rFonts w:hint="eastAsia"/>
                      <w:szCs w:val="21"/>
                      <w:u w:val="none"/>
                    </w:rPr>
                    <w:t>运输车辆3</w:t>
                  </w:r>
                </w:p>
              </w:tc>
              <w:tc>
                <w:tcPr>
                  <w:tcW w:w="1054" w:type="dxa"/>
                  <w:shd w:val="clear" w:color="FFFFFF" w:fill="auto"/>
                  <w:vAlign w:val="center"/>
                </w:tcPr>
                <w:p w14:paraId="49E83107">
                  <w:pPr>
                    <w:wordWrap w:val="0"/>
                    <w:snapToGrid w:val="0"/>
                    <w:jc w:val="center"/>
                    <w:rPr>
                      <w:szCs w:val="21"/>
                      <w:u w:val="none"/>
                    </w:rPr>
                  </w:pPr>
                  <w:r>
                    <w:rPr>
                      <w:rFonts w:hint="eastAsia"/>
                      <w:szCs w:val="21"/>
                      <w:u w:val="none"/>
                    </w:rPr>
                    <w:t>26.2</w:t>
                  </w:r>
                </w:p>
              </w:tc>
              <w:tc>
                <w:tcPr>
                  <w:tcW w:w="1054" w:type="dxa"/>
                  <w:shd w:val="clear" w:color="FFFFFF" w:fill="auto"/>
                  <w:vAlign w:val="center"/>
                </w:tcPr>
                <w:p w14:paraId="15987370">
                  <w:pPr>
                    <w:wordWrap w:val="0"/>
                    <w:snapToGrid w:val="0"/>
                    <w:jc w:val="center"/>
                    <w:rPr>
                      <w:szCs w:val="21"/>
                      <w:u w:val="none"/>
                    </w:rPr>
                  </w:pPr>
                  <w:r>
                    <w:rPr>
                      <w:rFonts w:hint="eastAsia"/>
                      <w:szCs w:val="21"/>
                      <w:u w:val="none"/>
                    </w:rPr>
                    <w:t>-7.4</w:t>
                  </w:r>
                </w:p>
              </w:tc>
              <w:tc>
                <w:tcPr>
                  <w:tcW w:w="1055" w:type="dxa"/>
                  <w:shd w:val="clear" w:color="FFFFFF" w:fill="auto"/>
                  <w:vAlign w:val="center"/>
                </w:tcPr>
                <w:p w14:paraId="6C70781D">
                  <w:pPr>
                    <w:wordWrap w:val="0"/>
                    <w:snapToGrid w:val="0"/>
                    <w:jc w:val="center"/>
                    <w:rPr>
                      <w:szCs w:val="21"/>
                      <w:u w:val="none"/>
                    </w:rPr>
                  </w:pPr>
                  <w:r>
                    <w:rPr>
                      <w:rFonts w:hint="eastAsia"/>
                      <w:szCs w:val="21"/>
                      <w:u w:val="none"/>
                    </w:rPr>
                    <w:t>1.2</w:t>
                  </w:r>
                </w:p>
              </w:tc>
              <w:tc>
                <w:tcPr>
                  <w:tcW w:w="1085" w:type="pct"/>
                  <w:shd w:val="clear" w:color="FFFFFF" w:fill="auto"/>
                  <w:vAlign w:val="center"/>
                </w:tcPr>
                <w:p w14:paraId="38C2BF00">
                  <w:pPr>
                    <w:wordWrap w:val="0"/>
                    <w:snapToGrid w:val="0"/>
                    <w:jc w:val="center"/>
                    <w:rPr>
                      <w:szCs w:val="21"/>
                      <w:u w:val="none"/>
                    </w:rPr>
                  </w:pPr>
                  <w:r>
                    <w:rPr>
                      <w:rFonts w:hint="eastAsia"/>
                      <w:szCs w:val="21"/>
                      <w:u w:val="none"/>
                    </w:rPr>
                    <w:t>70</w:t>
                  </w:r>
                </w:p>
              </w:tc>
              <w:tc>
                <w:tcPr>
                  <w:tcW w:w="714" w:type="pct"/>
                  <w:shd w:val="clear" w:color="FFFFFF" w:fill="auto"/>
                  <w:vAlign w:val="center"/>
                </w:tcPr>
                <w:p w14:paraId="5863727C">
                  <w:pPr>
                    <w:wordWrap w:val="0"/>
                    <w:snapToGrid w:val="0"/>
                    <w:jc w:val="center"/>
                    <w:rPr>
                      <w:szCs w:val="21"/>
                      <w:u w:val="none"/>
                    </w:rPr>
                  </w:pPr>
                  <w:r>
                    <w:rPr>
                      <w:rFonts w:hint="eastAsia"/>
                      <w:szCs w:val="21"/>
                      <w:u w:val="none"/>
                    </w:rPr>
                    <w:t>昼间</w:t>
                  </w:r>
                </w:p>
              </w:tc>
            </w:tr>
            <w:tr w14:paraId="2F5A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0C4016F9">
                  <w:pPr>
                    <w:wordWrap w:val="0"/>
                    <w:snapToGrid w:val="0"/>
                    <w:jc w:val="center"/>
                    <w:rPr>
                      <w:szCs w:val="21"/>
                      <w:u w:val="none"/>
                    </w:rPr>
                  </w:pPr>
                  <w:r>
                    <w:rPr>
                      <w:rFonts w:hint="eastAsia"/>
                      <w:szCs w:val="21"/>
                      <w:u w:val="none"/>
                    </w:rPr>
                    <w:t>4</w:t>
                  </w:r>
                </w:p>
              </w:tc>
              <w:tc>
                <w:tcPr>
                  <w:tcW w:w="953" w:type="pct"/>
                  <w:shd w:val="clear" w:color="auto" w:fill="FFFFFF"/>
                  <w:vAlign w:val="center"/>
                </w:tcPr>
                <w:p w14:paraId="1F2EFE40">
                  <w:pPr>
                    <w:wordWrap w:val="0"/>
                    <w:snapToGrid w:val="0"/>
                    <w:jc w:val="center"/>
                    <w:rPr>
                      <w:szCs w:val="21"/>
                      <w:u w:val="none"/>
                    </w:rPr>
                  </w:pPr>
                  <w:r>
                    <w:rPr>
                      <w:rFonts w:hint="eastAsia"/>
                      <w:szCs w:val="21"/>
                      <w:u w:val="none"/>
                    </w:rPr>
                    <w:t>运输车辆4</w:t>
                  </w:r>
                </w:p>
              </w:tc>
              <w:tc>
                <w:tcPr>
                  <w:tcW w:w="1054" w:type="dxa"/>
                  <w:shd w:val="clear" w:color="FFFFFF" w:fill="auto"/>
                  <w:vAlign w:val="center"/>
                </w:tcPr>
                <w:p w14:paraId="1969C041">
                  <w:pPr>
                    <w:wordWrap w:val="0"/>
                    <w:snapToGrid w:val="0"/>
                    <w:jc w:val="center"/>
                    <w:rPr>
                      <w:szCs w:val="21"/>
                      <w:u w:val="none"/>
                    </w:rPr>
                  </w:pPr>
                  <w:r>
                    <w:rPr>
                      <w:rFonts w:hint="eastAsia"/>
                      <w:szCs w:val="21"/>
                      <w:u w:val="none"/>
                    </w:rPr>
                    <w:t>27.7</w:t>
                  </w:r>
                </w:p>
              </w:tc>
              <w:tc>
                <w:tcPr>
                  <w:tcW w:w="1054" w:type="dxa"/>
                  <w:shd w:val="clear" w:color="FFFFFF" w:fill="auto"/>
                  <w:vAlign w:val="center"/>
                </w:tcPr>
                <w:p w14:paraId="005D2E2D">
                  <w:pPr>
                    <w:wordWrap w:val="0"/>
                    <w:snapToGrid w:val="0"/>
                    <w:jc w:val="center"/>
                    <w:rPr>
                      <w:szCs w:val="21"/>
                      <w:u w:val="none"/>
                    </w:rPr>
                  </w:pPr>
                  <w:r>
                    <w:rPr>
                      <w:rFonts w:hint="eastAsia"/>
                      <w:szCs w:val="21"/>
                      <w:u w:val="none"/>
                    </w:rPr>
                    <w:t>-9.8</w:t>
                  </w:r>
                </w:p>
              </w:tc>
              <w:tc>
                <w:tcPr>
                  <w:tcW w:w="1055" w:type="dxa"/>
                  <w:shd w:val="clear" w:color="FFFFFF" w:fill="auto"/>
                  <w:vAlign w:val="center"/>
                </w:tcPr>
                <w:p w14:paraId="0A0F4227">
                  <w:pPr>
                    <w:wordWrap w:val="0"/>
                    <w:snapToGrid w:val="0"/>
                    <w:jc w:val="center"/>
                    <w:rPr>
                      <w:szCs w:val="21"/>
                      <w:u w:val="none"/>
                    </w:rPr>
                  </w:pPr>
                  <w:r>
                    <w:rPr>
                      <w:rFonts w:hint="eastAsia"/>
                      <w:szCs w:val="21"/>
                      <w:u w:val="none"/>
                    </w:rPr>
                    <w:t>1.2</w:t>
                  </w:r>
                </w:p>
              </w:tc>
              <w:tc>
                <w:tcPr>
                  <w:tcW w:w="1085" w:type="pct"/>
                  <w:shd w:val="clear" w:color="FFFFFF" w:fill="auto"/>
                  <w:vAlign w:val="center"/>
                </w:tcPr>
                <w:p w14:paraId="0CD24972">
                  <w:pPr>
                    <w:wordWrap w:val="0"/>
                    <w:snapToGrid w:val="0"/>
                    <w:jc w:val="center"/>
                    <w:rPr>
                      <w:szCs w:val="21"/>
                      <w:u w:val="none"/>
                    </w:rPr>
                  </w:pPr>
                  <w:r>
                    <w:rPr>
                      <w:rFonts w:hint="eastAsia"/>
                      <w:szCs w:val="21"/>
                      <w:u w:val="none"/>
                    </w:rPr>
                    <w:t>70</w:t>
                  </w:r>
                </w:p>
              </w:tc>
              <w:tc>
                <w:tcPr>
                  <w:tcW w:w="714" w:type="pct"/>
                  <w:shd w:val="clear" w:color="FFFFFF" w:fill="auto"/>
                  <w:vAlign w:val="center"/>
                </w:tcPr>
                <w:p w14:paraId="4A61480B">
                  <w:pPr>
                    <w:wordWrap w:val="0"/>
                    <w:snapToGrid w:val="0"/>
                    <w:jc w:val="center"/>
                    <w:rPr>
                      <w:szCs w:val="21"/>
                      <w:u w:val="none"/>
                    </w:rPr>
                  </w:pPr>
                  <w:r>
                    <w:rPr>
                      <w:rFonts w:hint="eastAsia"/>
                      <w:szCs w:val="21"/>
                      <w:u w:val="none"/>
                    </w:rPr>
                    <w:t>昼间</w:t>
                  </w:r>
                </w:p>
              </w:tc>
            </w:tr>
            <w:tr w14:paraId="6A87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73755FAA">
                  <w:pPr>
                    <w:wordWrap w:val="0"/>
                    <w:snapToGrid w:val="0"/>
                    <w:jc w:val="center"/>
                    <w:rPr>
                      <w:szCs w:val="21"/>
                      <w:u w:val="none"/>
                    </w:rPr>
                  </w:pPr>
                  <w:r>
                    <w:rPr>
                      <w:rFonts w:hint="eastAsia"/>
                      <w:szCs w:val="21"/>
                      <w:u w:val="none"/>
                    </w:rPr>
                    <w:t>5</w:t>
                  </w:r>
                </w:p>
              </w:tc>
              <w:tc>
                <w:tcPr>
                  <w:tcW w:w="953" w:type="pct"/>
                  <w:shd w:val="clear" w:color="auto" w:fill="FFFFFF"/>
                  <w:vAlign w:val="center"/>
                </w:tcPr>
                <w:p w14:paraId="50DD4AF3">
                  <w:pPr>
                    <w:wordWrap w:val="0"/>
                    <w:snapToGrid w:val="0"/>
                    <w:jc w:val="center"/>
                    <w:rPr>
                      <w:szCs w:val="21"/>
                      <w:u w:val="none"/>
                    </w:rPr>
                  </w:pPr>
                  <w:r>
                    <w:rPr>
                      <w:rFonts w:hint="eastAsia"/>
                      <w:szCs w:val="21"/>
                      <w:u w:val="none"/>
                    </w:rPr>
                    <w:t>水泵1</w:t>
                  </w:r>
                </w:p>
              </w:tc>
              <w:tc>
                <w:tcPr>
                  <w:tcW w:w="1054" w:type="dxa"/>
                  <w:shd w:val="clear" w:color="FFFFFF" w:fill="auto"/>
                  <w:vAlign w:val="center"/>
                </w:tcPr>
                <w:p w14:paraId="44881103">
                  <w:pPr>
                    <w:wordWrap w:val="0"/>
                    <w:snapToGrid w:val="0"/>
                    <w:jc w:val="center"/>
                    <w:rPr>
                      <w:szCs w:val="21"/>
                      <w:u w:val="none"/>
                    </w:rPr>
                  </w:pPr>
                  <w:r>
                    <w:rPr>
                      <w:rFonts w:hint="eastAsia"/>
                      <w:szCs w:val="21"/>
                      <w:u w:val="none"/>
                    </w:rPr>
                    <w:t>18.5</w:t>
                  </w:r>
                </w:p>
              </w:tc>
              <w:tc>
                <w:tcPr>
                  <w:tcW w:w="1054" w:type="dxa"/>
                  <w:shd w:val="clear" w:color="FFFFFF" w:fill="auto"/>
                  <w:vAlign w:val="center"/>
                </w:tcPr>
                <w:p w14:paraId="1D7CF7EE">
                  <w:pPr>
                    <w:wordWrap w:val="0"/>
                    <w:snapToGrid w:val="0"/>
                    <w:jc w:val="center"/>
                    <w:rPr>
                      <w:szCs w:val="21"/>
                      <w:u w:val="none"/>
                    </w:rPr>
                  </w:pPr>
                  <w:r>
                    <w:rPr>
                      <w:rFonts w:hint="eastAsia"/>
                      <w:szCs w:val="21"/>
                      <w:u w:val="none"/>
                    </w:rPr>
                    <w:t>4.8</w:t>
                  </w:r>
                </w:p>
              </w:tc>
              <w:tc>
                <w:tcPr>
                  <w:tcW w:w="1055" w:type="dxa"/>
                  <w:shd w:val="clear" w:color="FFFFFF" w:fill="auto"/>
                  <w:vAlign w:val="center"/>
                </w:tcPr>
                <w:p w14:paraId="44821C0B">
                  <w:pPr>
                    <w:wordWrap w:val="0"/>
                    <w:snapToGrid w:val="0"/>
                    <w:jc w:val="center"/>
                    <w:rPr>
                      <w:szCs w:val="21"/>
                      <w:u w:val="none"/>
                    </w:rPr>
                  </w:pPr>
                  <w:r>
                    <w:rPr>
                      <w:rFonts w:hint="eastAsia"/>
                      <w:szCs w:val="21"/>
                      <w:u w:val="none"/>
                    </w:rPr>
                    <w:t>1.2</w:t>
                  </w:r>
                </w:p>
              </w:tc>
              <w:tc>
                <w:tcPr>
                  <w:tcW w:w="1085" w:type="pct"/>
                  <w:shd w:val="clear" w:color="FFFFFF" w:fill="auto"/>
                  <w:vAlign w:val="center"/>
                </w:tcPr>
                <w:p w14:paraId="630079D2">
                  <w:pPr>
                    <w:wordWrap w:val="0"/>
                    <w:snapToGrid w:val="0"/>
                    <w:jc w:val="center"/>
                    <w:rPr>
                      <w:szCs w:val="21"/>
                      <w:u w:val="none"/>
                    </w:rPr>
                  </w:pPr>
                  <w:r>
                    <w:rPr>
                      <w:rFonts w:hint="eastAsia"/>
                      <w:szCs w:val="21"/>
                      <w:u w:val="none"/>
                    </w:rPr>
                    <w:t>70</w:t>
                  </w:r>
                </w:p>
              </w:tc>
              <w:tc>
                <w:tcPr>
                  <w:tcW w:w="714" w:type="pct"/>
                  <w:shd w:val="clear" w:color="FFFFFF" w:fill="auto"/>
                  <w:vAlign w:val="center"/>
                </w:tcPr>
                <w:p w14:paraId="29A38D20">
                  <w:pPr>
                    <w:wordWrap w:val="0"/>
                    <w:snapToGrid w:val="0"/>
                    <w:jc w:val="center"/>
                    <w:rPr>
                      <w:szCs w:val="21"/>
                      <w:u w:val="none"/>
                    </w:rPr>
                  </w:pPr>
                  <w:r>
                    <w:rPr>
                      <w:rFonts w:hint="eastAsia"/>
                      <w:szCs w:val="21"/>
                      <w:u w:val="none"/>
                    </w:rPr>
                    <w:t>昼间</w:t>
                  </w:r>
                </w:p>
              </w:tc>
            </w:tr>
            <w:tr w14:paraId="3B42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61" w:type="pct"/>
                  <w:shd w:val="clear" w:color="FFFFFF" w:fill="auto"/>
                  <w:vAlign w:val="center"/>
                </w:tcPr>
                <w:p w14:paraId="7B0380D2">
                  <w:pPr>
                    <w:wordWrap w:val="0"/>
                    <w:snapToGrid w:val="0"/>
                    <w:jc w:val="center"/>
                    <w:rPr>
                      <w:szCs w:val="21"/>
                      <w:u w:val="none"/>
                    </w:rPr>
                  </w:pPr>
                  <w:r>
                    <w:rPr>
                      <w:rFonts w:hint="eastAsia"/>
                      <w:szCs w:val="21"/>
                      <w:u w:val="none"/>
                    </w:rPr>
                    <w:t>6</w:t>
                  </w:r>
                </w:p>
              </w:tc>
              <w:tc>
                <w:tcPr>
                  <w:tcW w:w="953" w:type="pct"/>
                  <w:shd w:val="clear" w:color="auto" w:fill="FFFFFF"/>
                  <w:vAlign w:val="center"/>
                </w:tcPr>
                <w:p w14:paraId="52C0EAB7">
                  <w:pPr>
                    <w:wordWrap w:val="0"/>
                    <w:snapToGrid w:val="0"/>
                    <w:jc w:val="center"/>
                    <w:rPr>
                      <w:szCs w:val="21"/>
                      <w:u w:val="none"/>
                    </w:rPr>
                  </w:pPr>
                  <w:r>
                    <w:rPr>
                      <w:rFonts w:hint="eastAsia"/>
                      <w:szCs w:val="21"/>
                      <w:u w:val="none"/>
                    </w:rPr>
                    <w:t>水泵2</w:t>
                  </w:r>
                </w:p>
              </w:tc>
              <w:tc>
                <w:tcPr>
                  <w:tcW w:w="1054" w:type="dxa"/>
                  <w:shd w:val="clear" w:color="FFFFFF" w:fill="auto"/>
                  <w:vAlign w:val="center"/>
                </w:tcPr>
                <w:p w14:paraId="25819511">
                  <w:pPr>
                    <w:wordWrap w:val="0"/>
                    <w:snapToGrid w:val="0"/>
                    <w:jc w:val="center"/>
                    <w:rPr>
                      <w:szCs w:val="21"/>
                      <w:u w:val="none"/>
                    </w:rPr>
                  </w:pPr>
                  <w:r>
                    <w:rPr>
                      <w:rFonts w:hint="eastAsia"/>
                      <w:szCs w:val="21"/>
                      <w:u w:val="none"/>
                    </w:rPr>
                    <w:t>43.5</w:t>
                  </w:r>
                </w:p>
              </w:tc>
              <w:tc>
                <w:tcPr>
                  <w:tcW w:w="1054" w:type="dxa"/>
                  <w:shd w:val="clear" w:color="FFFFFF" w:fill="auto"/>
                  <w:vAlign w:val="center"/>
                </w:tcPr>
                <w:p w14:paraId="6A291990">
                  <w:pPr>
                    <w:wordWrap w:val="0"/>
                    <w:snapToGrid w:val="0"/>
                    <w:jc w:val="center"/>
                    <w:rPr>
                      <w:szCs w:val="21"/>
                      <w:u w:val="none"/>
                    </w:rPr>
                  </w:pPr>
                  <w:r>
                    <w:rPr>
                      <w:rFonts w:hint="eastAsia"/>
                      <w:szCs w:val="21"/>
                      <w:u w:val="none"/>
                    </w:rPr>
                    <w:t>-14.6</w:t>
                  </w:r>
                </w:p>
              </w:tc>
              <w:tc>
                <w:tcPr>
                  <w:tcW w:w="1055" w:type="dxa"/>
                  <w:shd w:val="clear" w:color="FFFFFF" w:fill="auto"/>
                  <w:vAlign w:val="center"/>
                </w:tcPr>
                <w:p w14:paraId="7813CEA7">
                  <w:pPr>
                    <w:wordWrap w:val="0"/>
                    <w:snapToGrid w:val="0"/>
                    <w:jc w:val="center"/>
                    <w:rPr>
                      <w:szCs w:val="21"/>
                      <w:u w:val="none"/>
                    </w:rPr>
                  </w:pPr>
                  <w:r>
                    <w:rPr>
                      <w:rFonts w:hint="eastAsia"/>
                      <w:szCs w:val="21"/>
                      <w:u w:val="none"/>
                    </w:rPr>
                    <w:t>1.2</w:t>
                  </w:r>
                </w:p>
              </w:tc>
              <w:tc>
                <w:tcPr>
                  <w:tcW w:w="1085" w:type="pct"/>
                  <w:shd w:val="clear" w:color="FFFFFF" w:fill="auto"/>
                  <w:vAlign w:val="center"/>
                </w:tcPr>
                <w:p w14:paraId="4AF09D9E">
                  <w:pPr>
                    <w:wordWrap w:val="0"/>
                    <w:snapToGrid w:val="0"/>
                    <w:jc w:val="center"/>
                    <w:rPr>
                      <w:szCs w:val="21"/>
                      <w:u w:val="none"/>
                    </w:rPr>
                  </w:pPr>
                  <w:r>
                    <w:rPr>
                      <w:rFonts w:hint="eastAsia"/>
                      <w:szCs w:val="21"/>
                      <w:u w:val="none"/>
                    </w:rPr>
                    <w:t>70</w:t>
                  </w:r>
                </w:p>
              </w:tc>
              <w:tc>
                <w:tcPr>
                  <w:tcW w:w="714" w:type="pct"/>
                  <w:shd w:val="clear" w:color="FFFFFF" w:fill="auto"/>
                  <w:vAlign w:val="center"/>
                </w:tcPr>
                <w:p w14:paraId="7366DD11">
                  <w:pPr>
                    <w:wordWrap w:val="0"/>
                    <w:snapToGrid w:val="0"/>
                    <w:jc w:val="center"/>
                    <w:rPr>
                      <w:szCs w:val="21"/>
                      <w:u w:val="none"/>
                    </w:rPr>
                  </w:pPr>
                  <w:r>
                    <w:rPr>
                      <w:rFonts w:hint="eastAsia"/>
                      <w:szCs w:val="21"/>
                      <w:u w:val="none"/>
                    </w:rPr>
                    <w:t>昼间</w:t>
                  </w:r>
                </w:p>
              </w:tc>
            </w:tr>
            <w:tr w14:paraId="1214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000" w:type="pct"/>
                  <w:gridSpan w:val="7"/>
                  <w:shd w:val="clear" w:color="FFFFFF" w:fill="auto"/>
                  <w:vAlign w:val="center"/>
                </w:tcPr>
                <w:p w14:paraId="6FDACA11">
                  <w:pPr>
                    <w:wordWrap w:val="0"/>
                    <w:snapToGrid w:val="0"/>
                    <w:rPr>
                      <w:szCs w:val="21"/>
                      <w:u w:val="none"/>
                    </w:rPr>
                  </w:pPr>
                  <w:r>
                    <w:rPr>
                      <w:rFonts w:eastAsiaTheme="minorEastAsia"/>
                      <w:bCs/>
                      <w:szCs w:val="21"/>
                      <w:u w:val="none"/>
                    </w:rPr>
                    <w:t>表中坐标以厂界中心（</w:t>
                  </w:r>
                  <w:bookmarkStart w:id="12" w:name="PO_6"/>
                  <w:r>
                    <w:rPr>
                      <w:rFonts w:eastAsiaTheme="minorEastAsia"/>
                      <w:bCs/>
                      <w:szCs w:val="21"/>
                      <w:u w:val="none"/>
                    </w:rPr>
                    <w:t>104.273811</w:t>
                  </w:r>
                  <w:r>
                    <w:rPr>
                      <w:rFonts w:hint="eastAsia" w:eastAsiaTheme="minorEastAsia"/>
                      <w:bCs/>
                      <w:szCs w:val="21"/>
                      <w:u w:val="none"/>
                    </w:rPr>
                    <w:t>，</w:t>
                  </w:r>
                  <w:r>
                    <w:rPr>
                      <w:rFonts w:eastAsiaTheme="minorEastAsia"/>
                      <w:bCs/>
                      <w:szCs w:val="21"/>
                      <w:u w:val="none"/>
                    </w:rPr>
                    <w:t>26.001871</w:t>
                  </w:r>
                  <w:bookmarkEnd w:id="12"/>
                  <w:r>
                    <w:rPr>
                      <w:rFonts w:eastAsiaTheme="minorEastAsia"/>
                      <w:bCs/>
                      <w:szCs w:val="21"/>
                      <w:u w:val="none"/>
                    </w:rPr>
                    <w:t>）为坐标原点</w:t>
                  </w:r>
                  <w:r>
                    <w:rPr>
                      <w:rFonts w:hint="eastAsia"/>
                      <w:szCs w:val="21"/>
                      <w:u w:val="none"/>
                    </w:rPr>
                    <w:t>，正东向为X轴正方向，正北向为Y轴正方向。</w:t>
                  </w:r>
                </w:p>
                <w:p w14:paraId="10C389A5">
                  <w:pPr>
                    <w:wordWrap w:val="0"/>
                    <w:snapToGrid w:val="0"/>
                    <w:jc w:val="center"/>
                    <w:rPr>
                      <w:szCs w:val="21"/>
                      <w:u w:val="none"/>
                    </w:rPr>
                  </w:pPr>
                </w:p>
              </w:tc>
            </w:tr>
          </w:tbl>
          <w:p w14:paraId="61E8A4AB">
            <w:pPr>
              <w:spacing w:line="360" w:lineRule="auto"/>
              <w:ind w:firstLine="480" w:firstLineChars="200"/>
              <w:rPr>
                <w:sz w:val="24"/>
                <w:u w:val="none"/>
              </w:rPr>
            </w:pPr>
          </w:p>
        </w:tc>
      </w:tr>
    </w:tbl>
    <w:p w14:paraId="05859C97">
      <w:pPr>
        <w:adjustRightInd w:val="0"/>
        <w:snapToGrid w:val="0"/>
        <w:jc w:val="center"/>
        <w:rPr>
          <w:bCs/>
          <w:sz w:val="24"/>
          <w:u w:val="none"/>
        </w:rPr>
        <w:sectPr>
          <w:pgSz w:w="11907" w:h="16840"/>
          <w:pgMar w:top="1701" w:right="1531" w:bottom="2127" w:left="1531" w:header="851" w:footer="851" w:gutter="0"/>
          <w:cols w:space="720" w:num="1"/>
          <w:docGrid w:linePitch="312" w:charSpace="0"/>
        </w:sectPr>
      </w:pPr>
    </w:p>
    <w:p w14:paraId="1C76699A">
      <w:pPr>
        <w:pStyle w:val="48"/>
        <w:adjustRightInd/>
        <w:spacing w:line="240" w:lineRule="auto"/>
        <w:rPr>
          <w:sz w:val="21"/>
          <w:szCs w:val="21"/>
          <w:u w:val="none"/>
        </w:rPr>
      </w:pPr>
      <w:r>
        <w:rPr>
          <w:sz w:val="21"/>
          <w:szCs w:val="21"/>
          <w:u w:val="none"/>
        </w:rPr>
        <w:t>表</w:t>
      </w:r>
      <w:r>
        <w:rPr>
          <w:rFonts w:hint="eastAsia"/>
          <w:sz w:val="21"/>
          <w:szCs w:val="21"/>
          <w:u w:val="none"/>
        </w:rPr>
        <w:t xml:space="preserve">4-8   </w:t>
      </w:r>
      <w:r>
        <w:rPr>
          <w:sz w:val="21"/>
          <w:szCs w:val="21"/>
          <w:u w:val="none"/>
        </w:rPr>
        <w:t>本项目运营期工业企业噪声源强调查清单（室内声源）</w:t>
      </w:r>
    </w:p>
    <w:tbl>
      <w:tblPr>
        <w:tblStyle w:val="37"/>
        <w:tblpPr w:leftFromText="180" w:rightFromText="180" w:vertAnchor="text" w:horzAnchor="page" w:tblpX="336" w:tblpY="323"/>
        <w:tblOverlap w:val="never"/>
        <w:tblW w:w="16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686"/>
        <w:gridCol w:w="654"/>
        <w:gridCol w:w="786"/>
        <w:gridCol w:w="671"/>
        <w:gridCol w:w="739"/>
        <w:gridCol w:w="739"/>
        <w:gridCol w:w="740"/>
        <w:gridCol w:w="613"/>
        <w:gridCol w:w="613"/>
        <w:gridCol w:w="613"/>
        <w:gridCol w:w="614"/>
        <w:gridCol w:w="605"/>
        <w:gridCol w:w="605"/>
        <w:gridCol w:w="605"/>
        <w:gridCol w:w="607"/>
        <w:gridCol w:w="525"/>
        <w:gridCol w:w="584"/>
        <w:gridCol w:w="584"/>
        <w:gridCol w:w="584"/>
        <w:gridCol w:w="584"/>
        <w:gridCol w:w="623"/>
        <w:gridCol w:w="623"/>
        <w:gridCol w:w="623"/>
        <w:gridCol w:w="624"/>
        <w:gridCol w:w="657"/>
      </w:tblGrid>
      <w:tr w14:paraId="743D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467" w:type="dxa"/>
            <w:vMerge w:val="restart"/>
            <w:vAlign w:val="center"/>
          </w:tcPr>
          <w:p w14:paraId="521586A9">
            <w:pPr>
              <w:jc w:val="center"/>
              <w:rPr>
                <w:szCs w:val="21"/>
                <w:u w:val="none"/>
              </w:rPr>
            </w:pPr>
            <w:bookmarkStart w:id="13" w:name="PT_6"/>
            <w:r>
              <w:rPr>
                <w:b/>
                <w:szCs w:val="21"/>
                <w:u w:val="none"/>
              </w:rPr>
              <w:t>序号</w:t>
            </w:r>
          </w:p>
        </w:tc>
        <w:tc>
          <w:tcPr>
            <w:tcW w:w="686" w:type="dxa"/>
            <w:vMerge w:val="restart"/>
            <w:vAlign w:val="center"/>
          </w:tcPr>
          <w:p w14:paraId="5313E77E">
            <w:pPr>
              <w:jc w:val="center"/>
              <w:rPr>
                <w:szCs w:val="21"/>
                <w:u w:val="none"/>
              </w:rPr>
            </w:pPr>
            <w:r>
              <w:rPr>
                <w:b/>
                <w:szCs w:val="21"/>
                <w:u w:val="none"/>
              </w:rPr>
              <w:t>建筑物名称</w:t>
            </w:r>
          </w:p>
        </w:tc>
        <w:tc>
          <w:tcPr>
            <w:tcW w:w="654" w:type="dxa"/>
            <w:vMerge w:val="restart"/>
            <w:vAlign w:val="center"/>
          </w:tcPr>
          <w:p w14:paraId="207CE294">
            <w:pPr>
              <w:jc w:val="center"/>
              <w:rPr>
                <w:szCs w:val="21"/>
                <w:u w:val="none"/>
              </w:rPr>
            </w:pPr>
            <w:r>
              <w:rPr>
                <w:b/>
                <w:szCs w:val="21"/>
                <w:u w:val="none"/>
              </w:rPr>
              <w:t>声源名称</w:t>
            </w:r>
          </w:p>
        </w:tc>
        <w:tc>
          <w:tcPr>
            <w:tcW w:w="786" w:type="dxa"/>
            <w:vAlign w:val="center"/>
          </w:tcPr>
          <w:p w14:paraId="1917AF3F">
            <w:pPr>
              <w:jc w:val="center"/>
              <w:rPr>
                <w:szCs w:val="21"/>
                <w:u w:val="none"/>
              </w:rPr>
            </w:pPr>
            <w:r>
              <w:rPr>
                <w:b/>
                <w:szCs w:val="21"/>
                <w:u w:val="none"/>
              </w:rPr>
              <w:t>声</w:t>
            </w:r>
            <w:r>
              <w:rPr>
                <w:b/>
                <w:szCs w:val="21"/>
                <w:u w:val="none" w:color="auto"/>
                <w:shd w:val="clear" w:fill="auto"/>
              </w:rPr>
              <w:t>源</w:t>
            </w:r>
            <w:r>
              <w:rPr>
                <w:b/>
                <w:szCs w:val="21"/>
                <w:u w:val="none"/>
              </w:rPr>
              <w:t>源强</w:t>
            </w:r>
          </w:p>
        </w:tc>
        <w:tc>
          <w:tcPr>
            <w:tcW w:w="671" w:type="dxa"/>
            <w:vMerge w:val="restart"/>
            <w:vAlign w:val="center"/>
          </w:tcPr>
          <w:p w14:paraId="0C3C22A2">
            <w:pPr>
              <w:jc w:val="center"/>
              <w:rPr>
                <w:szCs w:val="21"/>
                <w:u w:val="none"/>
              </w:rPr>
            </w:pPr>
            <w:r>
              <w:rPr>
                <w:b/>
                <w:szCs w:val="21"/>
                <w:u w:val="none"/>
              </w:rPr>
              <w:t>声源控制措施</w:t>
            </w:r>
          </w:p>
        </w:tc>
        <w:tc>
          <w:tcPr>
            <w:tcW w:w="2218" w:type="dxa"/>
            <w:gridSpan w:val="3"/>
            <w:vAlign w:val="center"/>
          </w:tcPr>
          <w:p w14:paraId="2705563A">
            <w:pPr>
              <w:jc w:val="center"/>
              <w:rPr>
                <w:szCs w:val="21"/>
                <w:u w:val="none"/>
              </w:rPr>
            </w:pPr>
            <w:r>
              <w:rPr>
                <w:b/>
                <w:szCs w:val="21"/>
                <w:u w:val="none"/>
              </w:rPr>
              <w:t>空间相对位置/m</w:t>
            </w:r>
          </w:p>
        </w:tc>
        <w:tc>
          <w:tcPr>
            <w:tcW w:w="2453" w:type="dxa"/>
            <w:gridSpan w:val="4"/>
            <w:vAlign w:val="center"/>
          </w:tcPr>
          <w:p w14:paraId="49CDBDCD">
            <w:pPr>
              <w:jc w:val="center"/>
              <w:rPr>
                <w:b/>
                <w:szCs w:val="21"/>
                <w:u w:val="none"/>
              </w:rPr>
            </w:pPr>
            <w:r>
              <w:rPr>
                <w:b/>
                <w:szCs w:val="21"/>
                <w:u w:val="none"/>
              </w:rPr>
              <w:t>距室内边界距离/m</w:t>
            </w:r>
          </w:p>
        </w:tc>
        <w:tc>
          <w:tcPr>
            <w:tcW w:w="2422" w:type="dxa"/>
            <w:gridSpan w:val="4"/>
            <w:vAlign w:val="center"/>
          </w:tcPr>
          <w:p w14:paraId="656E74A4">
            <w:pPr>
              <w:jc w:val="center"/>
              <w:rPr>
                <w:b/>
                <w:szCs w:val="21"/>
                <w:u w:val="none"/>
              </w:rPr>
            </w:pPr>
            <w:r>
              <w:rPr>
                <w:b/>
                <w:szCs w:val="21"/>
                <w:u w:val="none"/>
              </w:rPr>
              <w:t>室内边界声级/dB(A)</w:t>
            </w:r>
          </w:p>
        </w:tc>
        <w:tc>
          <w:tcPr>
            <w:tcW w:w="525" w:type="dxa"/>
            <w:vMerge w:val="restart"/>
            <w:vAlign w:val="center"/>
          </w:tcPr>
          <w:p w14:paraId="490419F1">
            <w:pPr>
              <w:jc w:val="center"/>
              <w:rPr>
                <w:szCs w:val="21"/>
                <w:u w:val="none"/>
              </w:rPr>
            </w:pPr>
            <w:r>
              <w:rPr>
                <w:b/>
                <w:szCs w:val="21"/>
                <w:u w:val="none"/>
              </w:rPr>
              <w:t>运行时段</w:t>
            </w:r>
          </w:p>
        </w:tc>
        <w:tc>
          <w:tcPr>
            <w:tcW w:w="2336" w:type="dxa"/>
            <w:gridSpan w:val="4"/>
            <w:vAlign w:val="center"/>
          </w:tcPr>
          <w:p w14:paraId="201FDA4D">
            <w:pPr>
              <w:jc w:val="center"/>
              <w:rPr>
                <w:b/>
                <w:szCs w:val="21"/>
                <w:u w:val="none"/>
              </w:rPr>
            </w:pPr>
            <w:r>
              <w:rPr>
                <w:b/>
                <w:szCs w:val="21"/>
                <w:u w:val="none"/>
              </w:rPr>
              <w:t>建筑物插入损失 / dB(A)</w:t>
            </w:r>
            <w:bookmarkStart w:id="14" w:name="PT_10"/>
            <w:bookmarkEnd w:id="14"/>
          </w:p>
        </w:tc>
        <w:tc>
          <w:tcPr>
            <w:tcW w:w="3150" w:type="dxa"/>
            <w:gridSpan w:val="5"/>
            <w:vAlign w:val="center"/>
          </w:tcPr>
          <w:p w14:paraId="3A4A5D2E">
            <w:pPr>
              <w:jc w:val="center"/>
              <w:rPr>
                <w:b/>
                <w:szCs w:val="21"/>
                <w:u w:val="none"/>
              </w:rPr>
            </w:pPr>
            <w:r>
              <w:rPr>
                <w:b/>
                <w:szCs w:val="21"/>
                <w:u w:val="none"/>
              </w:rPr>
              <w:t>建筑物外噪声声压级/dB(A)</w:t>
            </w:r>
          </w:p>
        </w:tc>
      </w:tr>
      <w:tr w14:paraId="3A5D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67" w:type="dxa"/>
            <w:vMerge w:val="continue"/>
            <w:shd w:val="clear" w:color="auto" w:fill="FFFFFF"/>
            <w:tcMar>
              <w:top w:w="0" w:type="dxa"/>
              <w:left w:w="0" w:type="dxa"/>
              <w:bottom w:w="0" w:type="dxa"/>
              <w:right w:w="0" w:type="dxa"/>
            </w:tcMar>
            <w:vAlign w:val="center"/>
          </w:tcPr>
          <w:p w14:paraId="0E40B29A">
            <w:pPr>
              <w:jc w:val="center"/>
              <w:rPr>
                <w:szCs w:val="21"/>
                <w:u w:val="none"/>
              </w:rPr>
            </w:pPr>
          </w:p>
        </w:tc>
        <w:tc>
          <w:tcPr>
            <w:tcW w:w="686" w:type="dxa"/>
            <w:vMerge w:val="continue"/>
            <w:shd w:val="clear" w:color="auto" w:fill="FFFFFF"/>
            <w:tcMar>
              <w:top w:w="0" w:type="dxa"/>
              <w:left w:w="0" w:type="dxa"/>
              <w:bottom w:w="0" w:type="dxa"/>
              <w:right w:w="0" w:type="dxa"/>
            </w:tcMar>
            <w:vAlign w:val="center"/>
          </w:tcPr>
          <w:p w14:paraId="4C83388D">
            <w:pPr>
              <w:jc w:val="center"/>
              <w:rPr>
                <w:szCs w:val="21"/>
                <w:u w:val="none"/>
              </w:rPr>
            </w:pPr>
          </w:p>
        </w:tc>
        <w:tc>
          <w:tcPr>
            <w:tcW w:w="654" w:type="dxa"/>
            <w:vMerge w:val="continue"/>
            <w:shd w:val="clear" w:color="auto" w:fill="FFFFFF"/>
            <w:tcMar>
              <w:top w:w="0" w:type="dxa"/>
              <w:left w:w="0" w:type="dxa"/>
              <w:bottom w:w="0" w:type="dxa"/>
              <w:right w:w="0" w:type="dxa"/>
            </w:tcMar>
            <w:vAlign w:val="center"/>
          </w:tcPr>
          <w:p w14:paraId="2D451826">
            <w:pPr>
              <w:jc w:val="center"/>
              <w:rPr>
                <w:szCs w:val="21"/>
                <w:u w:val="none"/>
              </w:rPr>
            </w:pPr>
          </w:p>
        </w:tc>
        <w:tc>
          <w:tcPr>
            <w:tcW w:w="786" w:type="dxa"/>
            <w:shd w:val="clear" w:color="auto" w:fill="FFFFFF"/>
            <w:tcMar>
              <w:top w:w="0" w:type="dxa"/>
              <w:left w:w="0" w:type="dxa"/>
              <w:bottom w:w="0" w:type="dxa"/>
              <w:right w:w="0" w:type="dxa"/>
            </w:tcMar>
            <w:vAlign w:val="center"/>
          </w:tcPr>
          <w:p w14:paraId="554046A4">
            <w:pPr>
              <w:jc w:val="center"/>
              <w:rPr>
                <w:szCs w:val="21"/>
                <w:u w:val="none"/>
              </w:rPr>
            </w:pPr>
            <w:r>
              <w:rPr>
                <w:szCs w:val="21"/>
                <w:u w:val="none"/>
              </w:rPr>
              <w:t>声功率级/dB(A)</w:t>
            </w:r>
          </w:p>
        </w:tc>
        <w:tc>
          <w:tcPr>
            <w:tcW w:w="671" w:type="dxa"/>
            <w:vMerge w:val="continue"/>
            <w:shd w:val="clear" w:color="auto" w:fill="FFFFFF"/>
            <w:tcMar>
              <w:top w:w="0" w:type="dxa"/>
              <w:left w:w="0" w:type="dxa"/>
              <w:bottom w:w="0" w:type="dxa"/>
              <w:right w:w="0" w:type="dxa"/>
            </w:tcMar>
            <w:vAlign w:val="center"/>
          </w:tcPr>
          <w:p w14:paraId="0379A52F">
            <w:pPr>
              <w:jc w:val="center"/>
              <w:rPr>
                <w:szCs w:val="21"/>
                <w:u w:val="none"/>
              </w:rPr>
            </w:pPr>
          </w:p>
        </w:tc>
        <w:tc>
          <w:tcPr>
            <w:tcW w:w="739" w:type="dxa"/>
            <w:shd w:val="clear" w:color="auto" w:fill="FFFFFF"/>
            <w:tcMar>
              <w:top w:w="0" w:type="dxa"/>
              <w:left w:w="0" w:type="dxa"/>
              <w:bottom w:w="0" w:type="dxa"/>
              <w:right w:w="0" w:type="dxa"/>
            </w:tcMar>
            <w:vAlign w:val="center"/>
          </w:tcPr>
          <w:p w14:paraId="212660BB">
            <w:pPr>
              <w:jc w:val="center"/>
              <w:rPr>
                <w:szCs w:val="21"/>
                <w:u w:val="none"/>
              </w:rPr>
            </w:pPr>
            <w:r>
              <w:rPr>
                <w:szCs w:val="21"/>
                <w:u w:val="none"/>
              </w:rPr>
              <w:t>X</w:t>
            </w:r>
          </w:p>
        </w:tc>
        <w:tc>
          <w:tcPr>
            <w:tcW w:w="739" w:type="dxa"/>
            <w:shd w:val="clear" w:color="auto" w:fill="FFFFFF"/>
            <w:tcMar>
              <w:top w:w="0" w:type="dxa"/>
              <w:left w:w="0" w:type="dxa"/>
              <w:bottom w:w="0" w:type="dxa"/>
              <w:right w:w="0" w:type="dxa"/>
            </w:tcMar>
            <w:vAlign w:val="center"/>
          </w:tcPr>
          <w:p w14:paraId="73FABA89">
            <w:pPr>
              <w:jc w:val="center"/>
              <w:rPr>
                <w:szCs w:val="21"/>
                <w:u w:val="none"/>
              </w:rPr>
            </w:pPr>
            <w:r>
              <w:rPr>
                <w:szCs w:val="21"/>
                <w:u w:val="none"/>
              </w:rPr>
              <w:t>Y</w:t>
            </w:r>
          </w:p>
        </w:tc>
        <w:tc>
          <w:tcPr>
            <w:tcW w:w="740" w:type="dxa"/>
            <w:shd w:val="clear" w:color="auto" w:fill="FFFFFF"/>
            <w:tcMar>
              <w:top w:w="0" w:type="dxa"/>
              <w:left w:w="0" w:type="dxa"/>
              <w:bottom w:w="0" w:type="dxa"/>
              <w:right w:w="0" w:type="dxa"/>
            </w:tcMar>
            <w:vAlign w:val="center"/>
          </w:tcPr>
          <w:p w14:paraId="359BA5E2">
            <w:pPr>
              <w:jc w:val="center"/>
              <w:rPr>
                <w:szCs w:val="21"/>
                <w:u w:val="none"/>
              </w:rPr>
            </w:pPr>
            <w:r>
              <w:rPr>
                <w:szCs w:val="21"/>
                <w:u w:val="none"/>
              </w:rPr>
              <w:t>Z</w:t>
            </w:r>
          </w:p>
        </w:tc>
        <w:tc>
          <w:tcPr>
            <w:tcW w:w="613" w:type="dxa"/>
            <w:shd w:val="clear" w:color="auto" w:fill="FFFFFF"/>
            <w:tcMar>
              <w:top w:w="0" w:type="dxa"/>
              <w:left w:w="0" w:type="dxa"/>
              <w:bottom w:w="0" w:type="dxa"/>
              <w:right w:w="0" w:type="dxa"/>
            </w:tcMar>
            <w:vAlign w:val="center"/>
          </w:tcPr>
          <w:p w14:paraId="6AF50953">
            <w:pPr>
              <w:jc w:val="center"/>
              <w:rPr>
                <w:szCs w:val="21"/>
                <w:u w:val="none"/>
              </w:rPr>
            </w:pPr>
            <w:r>
              <w:rPr>
                <w:szCs w:val="21"/>
                <w:u w:val="none"/>
              </w:rPr>
              <w:t>东</w:t>
            </w:r>
          </w:p>
        </w:tc>
        <w:tc>
          <w:tcPr>
            <w:tcW w:w="613" w:type="dxa"/>
            <w:shd w:val="clear" w:color="auto" w:fill="FFFFFF"/>
            <w:tcMar>
              <w:top w:w="0" w:type="dxa"/>
              <w:left w:w="0" w:type="dxa"/>
              <w:bottom w:w="0" w:type="dxa"/>
              <w:right w:w="0" w:type="dxa"/>
            </w:tcMar>
            <w:vAlign w:val="center"/>
          </w:tcPr>
          <w:p w14:paraId="4338072B">
            <w:pPr>
              <w:jc w:val="center"/>
              <w:rPr>
                <w:szCs w:val="21"/>
                <w:u w:val="none"/>
              </w:rPr>
            </w:pPr>
            <w:r>
              <w:rPr>
                <w:szCs w:val="21"/>
                <w:u w:val="none"/>
              </w:rPr>
              <w:t>南</w:t>
            </w:r>
          </w:p>
        </w:tc>
        <w:tc>
          <w:tcPr>
            <w:tcW w:w="613" w:type="dxa"/>
            <w:shd w:val="clear" w:color="auto" w:fill="FFFFFF"/>
            <w:tcMar>
              <w:top w:w="0" w:type="dxa"/>
              <w:left w:w="0" w:type="dxa"/>
              <w:bottom w:w="0" w:type="dxa"/>
              <w:right w:w="0" w:type="dxa"/>
            </w:tcMar>
            <w:vAlign w:val="center"/>
          </w:tcPr>
          <w:p w14:paraId="068FB2D5">
            <w:pPr>
              <w:jc w:val="center"/>
              <w:rPr>
                <w:szCs w:val="21"/>
                <w:u w:val="none"/>
              </w:rPr>
            </w:pPr>
            <w:r>
              <w:rPr>
                <w:szCs w:val="21"/>
                <w:u w:val="none"/>
              </w:rPr>
              <w:t>西</w:t>
            </w:r>
          </w:p>
        </w:tc>
        <w:tc>
          <w:tcPr>
            <w:tcW w:w="614" w:type="dxa"/>
            <w:shd w:val="clear" w:color="auto" w:fill="FFFFFF"/>
            <w:tcMar>
              <w:top w:w="0" w:type="dxa"/>
              <w:left w:w="0" w:type="dxa"/>
              <w:bottom w:w="0" w:type="dxa"/>
              <w:right w:w="0" w:type="dxa"/>
            </w:tcMar>
            <w:vAlign w:val="center"/>
          </w:tcPr>
          <w:p w14:paraId="265DDAA4">
            <w:pPr>
              <w:jc w:val="center"/>
              <w:rPr>
                <w:szCs w:val="21"/>
                <w:u w:val="none"/>
              </w:rPr>
            </w:pPr>
            <w:r>
              <w:rPr>
                <w:szCs w:val="21"/>
                <w:u w:val="none"/>
              </w:rPr>
              <w:t>北</w:t>
            </w:r>
          </w:p>
        </w:tc>
        <w:tc>
          <w:tcPr>
            <w:tcW w:w="605" w:type="dxa"/>
            <w:shd w:val="clear" w:color="auto" w:fill="FFFFFF"/>
            <w:tcMar>
              <w:top w:w="0" w:type="dxa"/>
              <w:left w:w="0" w:type="dxa"/>
              <w:bottom w:w="0" w:type="dxa"/>
              <w:right w:w="0" w:type="dxa"/>
            </w:tcMar>
            <w:vAlign w:val="center"/>
          </w:tcPr>
          <w:p w14:paraId="7F43F12C">
            <w:pPr>
              <w:jc w:val="center"/>
              <w:rPr>
                <w:szCs w:val="21"/>
                <w:u w:val="none"/>
              </w:rPr>
            </w:pPr>
            <w:r>
              <w:rPr>
                <w:szCs w:val="21"/>
                <w:u w:val="none"/>
              </w:rPr>
              <w:t>东</w:t>
            </w:r>
          </w:p>
        </w:tc>
        <w:tc>
          <w:tcPr>
            <w:tcW w:w="605" w:type="dxa"/>
            <w:shd w:val="clear" w:color="auto" w:fill="FFFFFF"/>
            <w:tcMar>
              <w:top w:w="0" w:type="dxa"/>
              <w:left w:w="0" w:type="dxa"/>
              <w:bottom w:w="0" w:type="dxa"/>
              <w:right w:w="0" w:type="dxa"/>
            </w:tcMar>
            <w:vAlign w:val="center"/>
          </w:tcPr>
          <w:p w14:paraId="49FEBF4A">
            <w:pPr>
              <w:jc w:val="center"/>
              <w:rPr>
                <w:szCs w:val="21"/>
                <w:u w:val="none"/>
              </w:rPr>
            </w:pPr>
            <w:r>
              <w:rPr>
                <w:szCs w:val="21"/>
                <w:u w:val="none"/>
              </w:rPr>
              <w:t>南</w:t>
            </w:r>
          </w:p>
        </w:tc>
        <w:tc>
          <w:tcPr>
            <w:tcW w:w="605" w:type="dxa"/>
            <w:shd w:val="clear" w:color="auto" w:fill="FFFFFF"/>
            <w:tcMar>
              <w:top w:w="0" w:type="dxa"/>
              <w:left w:w="0" w:type="dxa"/>
              <w:bottom w:w="0" w:type="dxa"/>
              <w:right w:w="0" w:type="dxa"/>
            </w:tcMar>
            <w:vAlign w:val="center"/>
          </w:tcPr>
          <w:p w14:paraId="66985782">
            <w:pPr>
              <w:jc w:val="center"/>
              <w:rPr>
                <w:szCs w:val="21"/>
                <w:u w:val="none"/>
              </w:rPr>
            </w:pPr>
            <w:r>
              <w:rPr>
                <w:szCs w:val="21"/>
                <w:u w:val="none"/>
              </w:rPr>
              <w:t>西</w:t>
            </w:r>
          </w:p>
        </w:tc>
        <w:tc>
          <w:tcPr>
            <w:tcW w:w="607" w:type="dxa"/>
            <w:shd w:val="clear" w:color="auto" w:fill="FFFFFF"/>
            <w:tcMar>
              <w:top w:w="0" w:type="dxa"/>
              <w:left w:w="0" w:type="dxa"/>
              <w:bottom w:w="0" w:type="dxa"/>
              <w:right w:w="0" w:type="dxa"/>
            </w:tcMar>
            <w:vAlign w:val="center"/>
          </w:tcPr>
          <w:p w14:paraId="11BEC1AF">
            <w:pPr>
              <w:jc w:val="center"/>
              <w:rPr>
                <w:szCs w:val="21"/>
                <w:u w:val="none"/>
              </w:rPr>
            </w:pPr>
            <w:r>
              <w:rPr>
                <w:szCs w:val="21"/>
                <w:u w:val="none"/>
              </w:rPr>
              <w:t>北</w:t>
            </w:r>
          </w:p>
        </w:tc>
        <w:tc>
          <w:tcPr>
            <w:tcW w:w="525" w:type="dxa"/>
            <w:vMerge w:val="continue"/>
            <w:shd w:val="clear" w:color="auto" w:fill="FFFFFF"/>
            <w:tcMar>
              <w:top w:w="0" w:type="dxa"/>
              <w:left w:w="0" w:type="dxa"/>
              <w:bottom w:w="0" w:type="dxa"/>
              <w:right w:w="0" w:type="dxa"/>
            </w:tcMar>
            <w:vAlign w:val="center"/>
          </w:tcPr>
          <w:p w14:paraId="03F982F2">
            <w:pPr>
              <w:jc w:val="center"/>
              <w:rPr>
                <w:szCs w:val="21"/>
                <w:u w:val="none"/>
              </w:rPr>
            </w:pPr>
          </w:p>
        </w:tc>
        <w:tc>
          <w:tcPr>
            <w:tcW w:w="584" w:type="dxa"/>
            <w:shd w:val="clear" w:color="auto" w:fill="FFFFFF"/>
            <w:tcMar>
              <w:top w:w="0" w:type="dxa"/>
              <w:left w:w="0" w:type="dxa"/>
              <w:bottom w:w="0" w:type="dxa"/>
              <w:right w:w="0" w:type="dxa"/>
            </w:tcMar>
            <w:vAlign w:val="center"/>
          </w:tcPr>
          <w:p w14:paraId="64F6702E">
            <w:pPr>
              <w:jc w:val="center"/>
              <w:rPr>
                <w:szCs w:val="21"/>
                <w:u w:val="none"/>
              </w:rPr>
            </w:pPr>
            <w:r>
              <w:rPr>
                <w:szCs w:val="21"/>
                <w:u w:val="none"/>
              </w:rPr>
              <w:t>东</w:t>
            </w:r>
          </w:p>
        </w:tc>
        <w:tc>
          <w:tcPr>
            <w:tcW w:w="584" w:type="dxa"/>
            <w:shd w:val="clear" w:color="auto" w:fill="FFFFFF"/>
            <w:tcMar>
              <w:top w:w="0" w:type="dxa"/>
              <w:left w:w="0" w:type="dxa"/>
              <w:bottom w:w="0" w:type="dxa"/>
              <w:right w:w="0" w:type="dxa"/>
            </w:tcMar>
            <w:vAlign w:val="center"/>
          </w:tcPr>
          <w:p w14:paraId="1F9963E3">
            <w:pPr>
              <w:jc w:val="center"/>
              <w:rPr>
                <w:szCs w:val="21"/>
                <w:u w:val="none"/>
              </w:rPr>
            </w:pPr>
            <w:r>
              <w:rPr>
                <w:szCs w:val="21"/>
                <w:u w:val="none"/>
              </w:rPr>
              <w:t>南</w:t>
            </w:r>
          </w:p>
        </w:tc>
        <w:tc>
          <w:tcPr>
            <w:tcW w:w="584" w:type="dxa"/>
            <w:shd w:val="clear" w:color="auto" w:fill="FFFFFF"/>
            <w:tcMar>
              <w:top w:w="0" w:type="dxa"/>
              <w:left w:w="0" w:type="dxa"/>
              <w:bottom w:w="0" w:type="dxa"/>
              <w:right w:w="0" w:type="dxa"/>
            </w:tcMar>
            <w:vAlign w:val="center"/>
          </w:tcPr>
          <w:p w14:paraId="70F4A5A4">
            <w:pPr>
              <w:jc w:val="center"/>
              <w:rPr>
                <w:szCs w:val="21"/>
                <w:u w:val="none"/>
              </w:rPr>
            </w:pPr>
            <w:r>
              <w:rPr>
                <w:szCs w:val="21"/>
                <w:u w:val="none"/>
              </w:rPr>
              <w:t>西</w:t>
            </w:r>
          </w:p>
        </w:tc>
        <w:tc>
          <w:tcPr>
            <w:tcW w:w="584" w:type="dxa"/>
            <w:shd w:val="clear" w:color="auto" w:fill="FFFFFF"/>
            <w:tcMar>
              <w:top w:w="0" w:type="dxa"/>
              <w:left w:w="0" w:type="dxa"/>
              <w:bottom w:w="0" w:type="dxa"/>
              <w:right w:w="0" w:type="dxa"/>
            </w:tcMar>
            <w:vAlign w:val="center"/>
          </w:tcPr>
          <w:p w14:paraId="7DDDDB76">
            <w:pPr>
              <w:jc w:val="center"/>
              <w:rPr>
                <w:szCs w:val="21"/>
                <w:u w:val="none"/>
              </w:rPr>
            </w:pPr>
            <w:r>
              <w:rPr>
                <w:szCs w:val="21"/>
                <w:u w:val="none"/>
              </w:rPr>
              <w:t>北</w:t>
            </w:r>
          </w:p>
        </w:tc>
        <w:tc>
          <w:tcPr>
            <w:tcW w:w="623" w:type="dxa"/>
            <w:shd w:val="clear" w:color="auto" w:fill="FFFFFF"/>
            <w:tcMar>
              <w:top w:w="0" w:type="dxa"/>
              <w:left w:w="0" w:type="dxa"/>
              <w:bottom w:w="0" w:type="dxa"/>
              <w:right w:w="0" w:type="dxa"/>
            </w:tcMar>
            <w:vAlign w:val="center"/>
          </w:tcPr>
          <w:p w14:paraId="53FD8593">
            <w:pPr>
              <w:jc w:val="center"/>
              <w:rPr>
                <w:szCs w:val="21"/>
                <w:u w:val="none"/>
              </w:rPr>
            </w:pPr>
            <w:r>
              <w:rPr>
                <w:szCs w:val="21"/>
                <w:u w:val="none"/>
              </w:rPr>
              <w:t>东</w:t>
            </w:r>
          </w:p>
        </w:tc>
        <w:tc>
          <w:tcPr>
            <w:tcW w:w="623" w:type="dxa"/>
            <w:shd w:val="clear" w:color="auto" w:fill="FFFFFF"/>
            <w:tcMar>
              <w:top w:w="0" w:type="dxa"/>
              <w:left w:w="0" w:type="dxa"/>
              <w:bottom w:w="0" w:type="dxa"/>
              <w:right w:w="0" w:type="dxa"/>
            </w:tcMar>
            <w:vAlign w:val="center"/>
          </w:tcPr>
          <w:p w14:paraId="5DB51127">
            <w:pPr>
              <w:jc w:val="center"/>
              <w:rPr>
                <w:szCs w:val="21"/>
                <w:u w:val="none"/>
              </w:rPr>
            </w:pPr>
            <w:r>
              <w:rPr>
                <w:szCs w:val="21"/>
                <w:u w:val="none"/>
              </w:rPr>
              <w:t>南</w:t>
            </w:r>
          </w:p>
        </w:tc>
        <w:tc>
          <w:tcPr>
            <w:tcW w:w="623" w:type="dxa"/>
            <w:shd w:val="clear" w:color="auto" w:fill="FFFFFF"/>
            <w:tcMar>
              <w:top w:w="0" w:type="dxa"/>
              <w:left w:w="0" w:type="dxa"/>
              <w:bottom w:w="0" w:type="dxa"/>
              <w:right w:w="0" w:type="dxa"/>
            </w:tcMar>
            <w:vAlign w:val="center"/>
          </w:tcPr>
          <w:p w14:paraId="18B3304F">
            <w:pPr>
              <w:jc w:val="center"/>
              <w:rPr>
                <w:szCs w:val="21"/>
                <w:u w:val="none"/>
              </w:rPr>
            </w:pPr>
            <w:r>
              <w:rPr>
                <w:szCs w:val="21"/>
                <w:u w:val="none"/>
              </w:rPr>
              <w:t>西</w:t>
            </w:r>
          </w:p>
        </w:tc>
        <w:tc>
          <w:tcPr>
            <w:tcW w:w="624" w:type="dxa"/>
            <w:shd w:val="clear" w:color="auto" w:fill="FFFFFF"/>
            <w:tcMar>
              <w:top w:w="0" w:type="dxa"/>
              <w:left w:w="0" w:type="dxa"/>
              <w:bottom w:w="0" w:type="dxa"/>
              <w:right w:w="0" w:type="dxa"/>
            </w:tcMar>
            <w:vAlign w:val="center"/>
          </w:tcPr>
          <w:p w14:paraId="323BDA63">
            <w:pPr>
              <w:jc w:val="center"/>
              <w:rPr>
                <w:szCs w:val="21"/>
                <w:u w:val="none"/>
              </w:rPr>
            </w:pPr>
            <w:r>
              <w:rPr>
                <w:szCs w:val="21"/>
                <w:u w:val="none"/>
              </w:rPr>
              <w:t>北</w:t>
            </w:r>
          </w:p>
        </w:tc>
        <w:tc>
          <w:tcPr>
            <w:tcW w:w="657" w:type="dxa"/>
            <w:shd w:val="clear" w:color="auto" w:fill="FFFFFF"/>
            <w:tcMar>
              <w:top w:w="0" w:type="dxa"/>
              <w:left w:w="0" w:type="dxa"/>
              <w:bottom w:w="0" w:type="dxa"/>
              <w:right w:w="0" w:type="dxa"/>
            </w:tcMar>
            <w:vAlign w:val="center"/>
          </w:tcPr>
          <w:p w14:paraId="3BB742DF">
            <w:pPr>
              <w:jc w:val="center"/>
              <w:rPr>
                <w:szCs w:val="21"/>
                <w:u w:val="none"/>
              </w:rPr>
            </w:pPr>
            <w:r>
              <w:rPr>
                <w:szCs w:val="21"/>
                <w:u w:val="none"/>
              </w:rPr>
              <w:t>建筑物</w:t>
            </w:r>
            <w:r>
              <w:rPr>
                <w:szCs w:val="21"/>
                <w:u w:val="none" w:color="auto"/>
                <w:shd w:val="clear" w:fill="auto"/>
              </w:rPr>
              <w:t>外</w:t>
            </w:r>
            <w:r>
              <w:rPr>
                <w:szCs w:val="21"/>
                <w:u w:val="none"/>
              </w:rPr>
              <w:t>距离</w:t>
            </w:r>
          </w:p>
        </w:tc>
      </w:tr>
      <w:tr w14:paraId="00CE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67" w:type="dxa"/>
            <w:shd w:val="clear" w:color="auto" w:fill="FFFFFF"/>
            <w:tcMar>
              <w:top w:w="0" w:type="dxa"/>
              <w:left w:w="0" w:type="dxa"/>
              <w:bottom w:w="0" w:type="dxa"/>
              <w:right w:w="0" w:type="dxa"/>
            </w:tcMar>
            <w:vAlign w:val="center"/>
          </w:tcPr>
          <w:p w14:paraId="121E4957">
            <w:pPr>
              <w:jc w:val="center"/>
              <w:rPr>
                <w:szCs w:val="21"/>
                <w:u w:val="none"/>
              </w:rPr>
            </w:pPr>
            <w:r>
              <w:rPr>
                <w:szCs w:val="21"/>
                <w:u w:val="none"/>
              </w:rPr>
              <w:t>1</w:t>
            </w:r>
          </w:p>
        </w:tc>
        <w:tc>
          <w:tcPr>
            <w:tcW w:w="686" w:type="dxa"/>
            <w:shd w:val="clear" w:color="auto" w:fill="FFFFFF"/>
            <w:tcMar>
              <w:top w:w="0" w:type="dxa"/>
              <w:left w:w="0" w:type="dxa"/>
              <w:bottom w:w="0" w:type="dxa"/>
              <w:right w:w="0" w:type="dxa"/>
            </w:tcMar>
            <w:vAlign w:val="center"/>
          </w:tcPr>
          <w:p w14:paraId="0E743297">
            <w:pPr>
              <w:jc w:val="center"/>
              <w:rPr>
                <w:szCs w:val="21"/>
                <w:u w:val="none"/>
              </w:rPr>
            </w:pPr>
            <w:r>
              <w:rPr>
                <w:szCs w:val="21"/>
                <w:u w:val="none"/>
              </w:rPr>
              <w:t>仓储大棚</w:t>
            </w:r>
          </w:p>
        </w:tc>
        <w:tc>
          <w:tcPr>
            <w:tcW w:w="654" w:type="dxa"/>
            <w:shd w:val="clear" w:color="auto" w:fill="FFFFFF"/>
            <w:tcMar>
              <w:top w:w="0" w:type="dxa"/>
              <w:left w:w="0" w:type="dxa"/>
              <w:bottom w:w="0" w:type="dxa"/>
              <w:right w:w="0" w:type="dxa"/>
            </w:tcMar>
            <w:vAlign w:val="center"/>
          </w:tcPr>
          <w:p w14:paraId="59BADC2D">
            <w:pPr>
              <w:jc w:val="center"/>
              <w:rPr>
                <w:szCs w:val="21"/>
                <w:u w:val="none"/>
              </w:rPr>
            </w:pPr>
            <w:r>
              <w:rPr>
                <w:szCs w:val="21"/>
                <w:u w:val="none"/>
              </w:rPr>
              <w:t>装载机1</w:t>
            </w:r>
          </w:p>
        </w:tc>
        <w:tc>
          <w:tcPr>
            <w:tcW w:w="786" w:type="dxa"/>
            <w:shd w:val="clear" w:color="auto" w:fill="FFFFFF"/>
            <w:tcMar>
              <w:top w:w="0" w:type="dxa"/>
              <w:left w:w="0" w:type="dxa"/>
              <w:bottom w:w="0" w:type="dxa"/>
              <w:right w:w="0" w:type="dxa"/>
            </w:tcMar>
            <w:vAlign w:val="center"/>
          </w:tcPr>
          <w:p w14:paraId="637A6F1B">
            <w:pPr>
              <w:jc w:val="center"/>
              <w:rPr>
                <w:szCs w:val="21"/>
                <w:u w:val="none"/>
              </w:rPr>
            </w:pPr>
            <w:r>
              <w:rPr>
                <w:szCs w:val="21"/>
                <w:u w:val="none"/>
              </w:rPr>
              <w:t>80</w:t>
            </w:r>
          </w:p>
        </w:tc>
        <w:tc>
          <w:tcPr>
            <w:tcW w:w="671" w:type="dxa"/>
            <w:vMerge w:val="restart"/>
            <w:shd w:val="clear" w:color="auto" w:fill="FFFFFF"/>
            <w:tcMar>
              <w:top w:w="0" w:type="dxa"/>
              <w:left w:w="0" w:type="dxa"/>
              <w:bottom w:w="0" w:type="dxa"/>
              <w:right w:w="0" w:type="dxa"/>
            </w:tcMar>
            <w:vAlign w:val="center"/>
          </w:tcPr>
          <w:p w14:paraId="047D2C49">
            <w:pPr>
              <w:jc w:val="center"/>
              <w:rPr>
                <w:szCs w:val="21"/>
                <w:u w:val="none"/>
              </w:rPr>
            </w:pPr>
            <w:r>
              <w:rPr>
                <w:szCs w:val="21"/>
                <w:u w:val="none"/>
              </w:rPr>
              <w:t>厂房隔声</w:t>
            </w:r>
          </w:p>
        </w:tc>
        <w:tc>
          <w:tcPr>
            <w:tcW w:w="739" w:type="dxa"/>
            <w:shd w:val="clear" w:color="auto" w:fill="FFFFFF"/>
            <w:tcMar>
              <w:top w:w="0" w:type="dxa"/>
              <w:left w:w="0" w:type="dxa"/>
              <w:bottom w:w="0" w:type="dxa"/>
              <w:right w:w="0" w:type="dxa"/>
            </w:tcMar>
            <w:vAlign w:val="center"/>
          </w:tcPr>
          <w:p w14:paraId="6A99466F">
            <w:pPr>
              <w:jc w:val="center"/>
              <w:rPr>
                <w:szCs w:val="21"/>
                <w:u w:val="none"/>
              </w:rPr>
            </w:pPr>
            <w:r>
              <w:rPr>
                <w:szCs w:val="21"/>
                <w:u w:val="none"/>
              </w:rPr>
              <w:t>-58.1</w:t>
            </w:r>
          </w:p>
        </w:tc>
        <w:tc>
          <w:tcPr>
            <w:tcW w:w="739" w:type="dxa"/>
            <w:shd w:val="clear" w:color="auto" w:fill="FFFFFF"/>
            <w:tcMar>
              <w:top w:w="0" w:type="dxa"/>
              <w:left w:w="0" w:type="dxa"/>
              <w:bottom w:w="0" w:type="dxa"/>
              <w:right w:w="0" w:type="dxa"/>
            </w:tcMar>
            <w:vAlign w:val="center"/>
          </w:tcPr>
          <w:p w14:paraId="0EC4F0AF">
            <w:pPr>
              <w:jc w:val="center"/>
              <w:rPr>
                <w:szCs w:val="21"/>
                <w:u w:val="none"/>
              </w:rPr>
            </w:pPr>
            <w:r>
              <w:rPr>
                <w:szCs w:val="21"/>
                <w:u w:val="none"/>
              </w:rPr>
              <w:t>-23.3</w:t>
            </w:r>
          </w:p>
        </w:tc>
        <w:tc>
          <w:tcPr>
            <w:tcW w:w="740" w:type="dxa"/>
            <w:shd w:val="clear" w:color="auto" w:fill="FFFFFF"/>
            <w:tcMar>
              <w:top w:w="0" w:type="dxa"/>
              <w:left w:w="0" w:type="dxa"/>
              <w:bottom w:w="0" w:type="dxa"/>
              <w:right w:w="0" w:type="dxa"/>
            </w:tcMar>
            <w:vAlign w:val="center"/>
          </w:tcPr>
          <w:p w14:paraId="6480EC26">
            <w:pPr>
              <w:jc w:val="center"/>
              <w:rPr>
                <w:szCs w:val="21"/>
                <w:u w:val="none"/>
              </w:rPr>
            </w:pPr>
            <w:r>
              <w:rPr>
                <w:szCs w:val="21"/>
                <w:u w:val="none"/>
              </w:rPr>
              <w:t>1.2</w:t>
            </w:r>
          </w:p>
        </w:tc>
        <w:tc>
          <w:tcPr>
            <w:tcW w:w="613" w:type="dxa"/>
            <w:shd w:val="clear" w:color="auto" w:fill="FFFFFF"/>
            <w:tcMar>
              <w:top w:w="0" w:type="dxa"/>
              <w:left w:w="0" w:type="dxa"/>
              <w:bottom w:w="0" w:type="dxa"/>
              <w:right w:w="0" w:type="dxa"/>
            </w:tcMar>
            <w:vAlign w:val="center"/>
          </w:tcPr>
          <w:p w14:paraId="09FC0272">
            <w:pPr>
              <w:jc w:val="center"/>
              <w:rPr>
                <w:szCs w:val="21"/>
                <w:u w:val="none"/>
              </w:rPr>
            </w:pPr>
            <w:r>
              <w:rPr>
                <w:szCs w:val="21"/>
                <w:u w:val="none"/>
              </w:rPr>
              <w:t>31.2</w:t>
            </w:r>
          </w:p>
        </w:tc>
        <w:tc>
          <w:tcPr>
            <w:tcW w:w="613" w:type="dxa"/>
            <w:shd w:val="clear" w:color="auto" w:fill="FFFFFF"/>
            <w:tcMar>
              <w:top w:w="0" w:type="dxa"/>
              <w:left w:w="0" w:type="dxa"/>
              <w:bottom w:w="0" w:type="dxa"/>
              <w:right w:w="0" w:type="dxa"/>
            </w:tcMar>
            <w:vAlign w:val="center"/>
          </w:tcPr>
          <w:p w14:paraId="0840D7F4">
            <w:pPr>
              <w:jc w:val="center"/>
              <w:rPr>
                <w:szCs w:val="21"/>
                <w:u w:val="none"/>
              </w:rPr>
            </w:pPr>
            <w:r>
              <w:rPr>
                <w:szCs w:val="21"/>
                <w:u w:val="none"/>
              </w:rPr>
              <w:t>70.9</w:t>
            </w:r>
          </w:p>
        </w:tc>
        <w:tc>
          <w:tcPr>
            <w:tcW w:w="613" w:type="dxa"/>
            <w:shd w:val="clear" w:color="auto" w:fill="FFFFFF"/>
            <w:tcMar>
              <w:top w:w="0" w:type="dxa"/>
              <w:left w:w="0" w:type="dxa"/>
              <w:bottom w:w="0" w:type="dxa"/>
              <w:right w:w="0" w:type="dxa"/>
            </w:tcMar>
            <w:vAlign w:val="center"/>
          </w:tcPr>
          <w:p w14:paraId="5D90D088">
            <w:pPr>
              <w:jc w:val="center"/>
              <w:rPr>
                <w:szCs w:val="21"/>
                <w:u w:val="none"/>
              </w:rPr>
            </w:pPr>
            <w:r>
              <w:rPr>
                <w:szCs w:val="21"/>
                <w:u w:val="none"/>
              </w:rPr>
              <w:t>11.5</w:t>
            </w:r>
          </w:p>
        </w:tc>
        <w:tc>
          <w:tcPr>
            <w:tcW w:w="614" w:type="dxa"/>
            <w:shd w:val="clear" w:color="auto" w:fill="FFFFFF"/>
            <w:tcMar>
              <w:top w:w="0" w:type="dxa"/>
              <w:left w:w="0" w:type="dxa"/>
              <w:bottom w:w="0" w:type="dxa"/>
              <w:right w:w="0" w:type="dxa"/>
            </w:tcMar>
            <w:vAlign w:val="center"/>
          </w:tcPr>
          <w:p w14:paraId="3603457C">
            <w:pPr>
              <w:jc w:val="center"/>
              <w:rPr>
                <w:szCs w:val="21"/>
                <w:u w:val="none"/>
              </w:rPr>
            </w:pPr>
            <w:r>
              <w:rPr>
                <w:szCs w:val="21"/>
                <w:u w:val="none"/>
              </w:rPr>
              <w:t>16.6</w:t>
            </w:r>
          </w:p>
        </w:tc>
        <w:tc>
          <w:tcPr>
            <w:tcW w:w="605" w:type="dxa"/>
            <w:shd w:val="clear" w:color="auto" w:fill="FFFFFF"/>
            <w:tcMar>
              <w:top w:w="0" w:type="dxa"/>
              <w:left w:w="0" w:type="dxa"/>
              <w:bottom w:w="0" w:type="dxa"/>
              <w:right w:w="0" w:type="dxa"/>
            </w:tcMar>
            <w:vAlign w:val="center"/>
          </w:tcPr>
          <w:p w14:paraId="12ADCA20">
            <w:pPr>
              <w:jc w:val="center"/>
              <w:rPr>
                <w:szCs w:val="21"/>
                <w:u w:val="none"/>
              </w:rPr>
            </w:pPr>
            <w:r>
              <w:rPr>
                <w:szCs w:val="21"/>
                <w:u w:val="none"/>
              </w:rPr>
              <w:t>63.0</w:t>
            </w:r>
          </w:p>
        </w:tc>
        <w:tc>
          <w:tcPr>
            <w:tcW w:w="605" w:type="dxa"/>
            <w:shd w:val="clear" w:color="auto" w:fill="FFFFFF"/>
            <w:tcMar>
              <w:top w:w="0" w:type="dxa"/>
              <w:left w:w="0" w:type="dxa"/>
              <w:bottom w:w="0" w:type="dxa"/>
              <w:right w:w="0" w:type="dxa"/>
            </w:tcMar>
            <w:vAlign w:val="center"/>
          </w:tcPr>
          <w:p w14:paraId="3638DEA8">
            <w:pPr>
              <w:jc w:val="center"/>
              <w:rPr>
                <w:szCs w:val="21"/>
                <w:u w:val="none"/>
              </w:rPr>
            </w:pPr>
            <w:r>
              <w:rPr>
                <w:szCs w:val="21"/>
                <w:u w:val="none"/>
              </w:rPr>
              <w:t>63.0</w:t>
            </w:r>
          </w:p>
        </w:tc>
        <w:tc>
          <w:tcPr>
            <w:tcW w:w="605" w:type="dxa"/>
            <w:shd w:val="clear" w:color="auto" w:fill="FFFFFF"/>
            <w:tcMar>
              <w:top w:w="0" w:type="dxa"/>
              <w:left w:w="0" w:type="dxa"/>
              <w:bottom w:w="0" w:type="dxa"/>
              <w:right w:w="0" w:type="dxa"/>
            </w:tcMar>
            <w:vAlign w:val="center"/>
          </w:tcPr>
          <w:p w14:paraId="2594F5F1">
            <w:pPr>
              <w:jc w:val="center"/>
              <w:rPr>
                <w:szCs w:val="21"/>
                <w:u w:val="none"/>
              </w:rPr>
            </w:pPr>
            <w:r>
              <w:rPr>
                <w:szCs w:val="21"/>
                <w:u w:val="none"/>
              </w:rPr>
              <w:t>63.2</w:t>
            </w:r>
          </w:p>
        </w:tc>
        <w:tc>
          <w:tcPr>
            <w:tcW w:w="607" w:type="dxa"/>
            <w:shd w:val="clear" w:color="auto" w:fill="FFFFFF"/>
            <w:tcMar>
              <w:top w:w="0" w:type="dxa"/>
              <w:left w:w="0" w:type="dxa"/>
              <w:bottom w:w="0" w:type="dxa"/>
              <w:right w:w="0" w:type="dxa"/>
            </w:tcMar>
            <w:vAlign w:val="center"/>
          </w:tcPr>
          <w:p w14:paraId="71777B2B">
            <w:pPr>
              <w:jc w:val="center"/>
              <w:rPr>
                <w:szCs w:val="21"/>
                <w:u w:val="none"/>
              </w:rPr>
            </w:pPr>
            <w:r>
              <w:rPr>
                <w:szCs w:val="21"/>
                <w:u w:val="none"/>
              </w:rPr>
              <w:t>63.1</w:t>
            </w:r>
          </w:p>
        </w:tc>
        <w:tc>
          <w:tcPr>
            <w:tcW w:w="525" w:type="dxa"/>
            <w:shd w:val="clear" w:color="auto" w:fill="FFFFFF"/>
            <w:tcMar>
              <w:top w:w="0" w:type="dxa"/>
              <w:left w:w="0" w:type="dxa"/>
              <w:bottom w:w="0" w:type="dxa"/>
              <w:right w:w="0" w:type="dxa"/>
            </w:tcMar>
            <w:vAlign w:val="center"/>
          </w:tcPr>
          <w:p w14:paraId="518063E3">
            <w:pPr>
              <w:jc w:val="center"/>
              <w:rPr>
                <w:szCs w:val="21"/>
                <w:u w:val="none"/>
              </w:rPr>
            </w:pPr>
            <w:r>
              <w:rPr>
                <w:kern w:val="0"/>
                <w:szCs w:val="21"/>
                <w:u w:val="none"/>
              </w:rPr>
              <w:t>昼间</w:t>
            </w:r>
          </w:p>
        </w:tc>
        <w:tc>
          <w:tcPr>
            <w:tcW w:w="584" w:type="dxa"/>
            <w:shd w:val="clear" w:color="auto" w:fill="FFFFFF"/>
            <w:tcMar>
              <w:top w:w="0" w:type="dxa"/>
              <w:left w:w="0" w:type="dxa"/>
              <w:bottom w:w="0" w:type="dxa"/>
              <w:right w:w="0" w:type="dxa"/>
            </w:tcMar>
            <w:vAlign w:val="center"/>
          </w:tcPr>
          <w:p w14:paraId="3C1DB9FF">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50BF06CF">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526F70D3">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4A98669E">
            <w:pPr>
              <w:jc w:val="center"/>
              <w:rPr>
                <w:szCs w:val="21"/>
                <w:u w:val="none"/>
              </w:rPr>
            </w:pPr>
            <w:r>
              <w:rPr>
                <w:szCs w:val="21"/>
                <w:u w:val="none"/>
              </w:rPr>
              <w:t>21.0</w:t>
            </w:r>
          </w:p>
        </w:tc>
        <w:tc>
          <w:tcPr>
            <w:tcW w:w="623" w:type="dxa"/>
            <w:shd w:val="clear" w:color="auto" w:fill="FFFFFF"/>
            <w:tcMar>
              <w:top w:w="0" w:type="dxa"/>
              <w:left w:w="0" w:type="dxa"/>
              <w:bottom w:w="0" w:type="dxa"/>
              <w:right w:w="0" w:type="dxa"/>
            </w:tcMar>
            <w:vAlign w:val="center"/>
          </w:tcPr>
          <w:p w14:paraId="04A81622">
            <w:pPr>
              <w:jc w:val="center"/>
              <w:rPr>
                <w:szCs w:val="21"/>
                <w:u w:val="none"/>
              </w:rPr>
            </w:pPr>
            <w:r>
              <w:rPr>
                <w:szCs w:val="21"/>
                <w:u w:val="none"/>
              </w:rPr>
              <w:t>42.0</w:t>
            </w:r>
          </w:p>
        </w:tc>
        <w:tc>
          <w:tcPr>
            <w:tcW w:w="623" w:type="dxa"/>
            <w:shd w:val="clear" w:color="auto" w:fill="FFFFFF"/>
            <w:tcMar>
              <w:top w:w="0" w:type="dxa"/>
              <w:left w:w="0" w:type="dxa"/>
              <w:bottom w:w="0" w:type="dxa"/>
              <w:right w:w="0" w:type="dxa"/>
            </w:tcMar>
            <w:vAlign w:val="center"/>
          </w:tcPr>
          <w:p w14:paraId="2F0C07B0">
            <w:pPr>
              <w:jc w:val="center"/>
              <w:rPr>
                <w:szCs w:val="21"/>
                <w:u w:val="none"/>
              </w:rPr>
            </w:pPr>
            <w:r>
              <w:rPr>
                <w:szCs w:val="21"/>
                <w:u w:val="none"/>
              </w:rPr>
              <w:t>42.0</w:t>
            </w:r>
          </w:p>
        </w:tc>
        <w:tc>
          <w:tcPr>
            <w:tcW w:w="623" w:type="dxa"/>
            <w:shd w:val="clear" w:color="auto" w:fill="FFFFFF"/>
            <w:tcMar>
              <w:top w:w="0" w:type="dxa"/>
              <w:left w:w="0" w:type="dxa"/>
              <w:bottom w:w="0" w:type="dxa"/>
              <w:right w:w="0" w:type="dxa"/>
            </w:tcMar>
            <w:vAlign w:val="center"/>
          </w:tcPr>
          <w:p w14:paraId="2D93F6C0">
            <w:pPr>
              <w:jc w:val="center"/>
              <w:rPr>
                <w:szCs w:val="21"/>
                <w:u w:val="none"/>
              </w:rPr>
            </w:pPr>
            <w:r>
              <w:rPr>
                <w:szCs w:val="21"/>
                <w:u w:val="none"/>
              </w:rPr>
              <w:t>42.2</w:t>
            </w:r>
          </w:p>
        </w:tc>
        <w:tc>
          <w:tcPr>
            <w:tcW w:w="624" w:type="dxa"/>
            <w:shd w:val="clear" w:color="auto" w:fill="FFFFFF"/>
            <w:tcMar>
              <w:top w:w="0" w:type="dxa"/>
              <w:left w:w="0" w:type="dxa"/>
              <w:bottom w:w="0" w:type="dxa"/>
              <w:right w:w="0" w:type="dxa"/>
            </w:tcMar>
            <w:vAlign w:val="center"/>
          </w:tcPr>
          <w:p w14:paraId="27DF063A">
            <w:pPr>
              <w:jc w:val="center"/>
              <w:rPr>
                <w:szCs w:val="21"/>
                <w:u w:val="none"/>
              </w:rPr>
            </w:pPr>
            <w:r>
              <w:rPr>
                <w:szCs w:val="21"/>
                <w:u w:val="none"/>
              </w:rPr>
              <w:t>42.1</w:t>
            </w:r>
          </w:p>
        </w:tc>
        <w:tc>
          <w:tcPr>
            <w:tcW w:w="657" w:type="dxa"/>
            <w:shd w:val="clear" w:color="auto" w:fill="FFFFFF"/>
            <w:tcMar>
              <w:top w:w="0" w:type="dxa"/>
              <w:left w:w="0" w:type="dxa"/>
              <w:bottom w:w="0" w:type="dxa"/>
              <w:right w:w="0" w:type="dxa"/>
            </w:tcMar>
            <w:vAlign w:val="center"/>
          </w:tcPr>
          <w:p w14:paraId="708DFDD5">
            <w:pPr>
              <w:jc w:val="center"/>
              <w:rPr>
                <w:szCs w:val="21"/>
                <w:u w:val="none"/>
              </w:rPr>
            </w:pPr>
            <w:r>
              <w:rPr>
                <w:szCs w:val="21"/>
                <w:u w:val="none"/>
              </w:rPr>
              <w:t>1</w:t>
            </w:r>
          </w:p>
        </w:tc>
      </w:tr>
      <w:tr w14:paraId="0DD2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67" w:type="dxa"/>
            <w:shd w:val="clear" w:color="auto" w:fill="FFFFFF"/>
            <w:tcMar>
              <w:top w:w="0" w:type="dxa"/>
              <w:left w:w="0" w:type="dxa"/>
              <w:bottom w:w="0" w:type="dxa"/>
              <w:right w:w="0" w:type="dxa"/>
            </w:tcMar>
            <w:vAlign w:val="center"/>
          </w:tcPr>
          <w:p w14:paraId="6F4E6038">
            <w:pPr>
              <w:jc w:val="center"/>
              <w:rPr>
                <w:szCs w:val="21"/>
                <w:u w:val="none"/>
              </w:rPr>
            </w:pPr>
            <w:r>
              <w:rPr>
                <w:szCs w:val="21"/>
                <w:u w:val="none"/>
              </w:rPr>
              <w:t>2</w:t>
            </w:r>
          </w:p>
        </w:tc>
        <w:tc>
          <w:tcPr>
            <w:tcW w:w="686" w:type="dxa"/>
            <w:shd w:val="clear" w:color="auto" w:fill="FFFFFF"/>
            <w:tcMar>
              <w:top w:w="0" w:type="dxa"/>
              <w:left w:w="0" w:type="dxa"/>
              <w:bottom w:w="0" w:type="dxa"/>
              <w:right w:w="0" w:type="dxa"/>
            </w:tcMar>
            <w:vAlign w:val="center"/>
          </w:tcPr>
          <w:p w14:paraId="5DE12368">
            <w:pPr>
              <w:jc w:val="center"/>
              <w:rPr>
                <w:szCs w:val="21"/>
                <w:u w:val="none"/>
              </w:rPr>
            </w:pPr>
            <w:r>
              <w:rPr>
                <w:szCs w:val="21"/>
                <w:u w:val="none"/>
              </w:rPr>
              <w:t>仓储大棚</w:t>
            </w:r>
          </w:p>
        </w:tc>
        <w:tc>
          <w:tcPr>
            <w:tcW w:w="654" w:type="dxa"/>
            <w:shd w:val="clear" w:color="auto" w:fill="FFFFFF"/>
            <w:tcMar>
              <w:top w:w="0" w:type="dxa"/>
              <w:left w:w="0" w:type="dxa"/>
              <w:bottom w:w="0" w:type="dxa"/>
              <w:right w:w="0" w:type="dxa"/>
            </w:tcMar>
            <w:vAlign w:val="center"/>
          </w:tcPr>
          <w:p w14:paraId="38A5EF22">
            <w:pPr>
              <w:jc w:val="center"/>
              <w:rPr>
                <w:szCs w:val="21"/>
                <w:u w:val="none"/>
              </w:rPr>
            </w:pPr>
            <w:r>
              <w:rPr>
                <w:szCs w:val="21"/>
                <w:u w:val="none"/>
              </w:rPr>
              <w:t>装载机2</w:t>
            </w:r>
          </w:p>
        </w:tc>
        <w:tc>
          <w:tcPr>
            <w:tcW w:w="786" w:type="dxa"/>
            <w:shd w:val="clear" w:color="auto" w:fill="FFFFFF"/>
            <w:tcMar>
              <w:top w:w="0" w:type="dxa"/>
              <w:left w:w="0" w:type="dxa"/>
              <w:bottom w:w="0" w:type="dxa"/>
              <w:right w:w="0" w:type="dxa"/>
            </w:tcMar>
            <w:vAlign w:val="center"/>
          </w:tcPr>
          <w:p w14:paraId="0E94C8AE">
            <w:pPr>
              <w:jc w:val="center"/>
              <w:rPr>
                <w:szCs w:val="21"/>
                <w:u w:val="none"/>
              </w:rPr>
            </w:pPr>
            <w:r>
              <w:rPr>
                <w:szCs w:val="21"/>
                <w:u w:val="none"/>
              </w:rPr>
              <w:t>80</w:t>
            </w:r>
          </w:p>
        </w:tc>
        <w:tc>
          <w:tcPr>
            <w:tcW w:w="671" w:type="dxa"/>
            <w:vMerge w:val="continue"/>
            <w:shd w:val="clear" w:color="auto" w:fill="FFFFFF"/>
            <w:tcMar>
              <w:top w:w="0" w:type="dxa"/>
              <w:left w:w="0" w:type="dxa"/>
              <w:bottom w:w="0" w:type="dxa"/>
              <w:right w:w="0" w:type="dxa"/>
            </w:tcMar>
            <w:vAlign w:val="center"/>
          </w:tcPr>
          <w:p w14:paraId="28F8F961">
            <w:pPr>
              <w:jc w:val="center"/>
              <w:rPr>
                <w:szCs w:val="21"/>
                <w:u w:val="none"/>
              </w:rPr>
            </w:pPr>
          </w:p>
        </w:tc>
        <w:tc>
          <w:tcPr>
            <w:tcW w:w="739" w:type="dxa"/>
            <w:shd w:val="clear" w:color="auto" w:fill="FFFFFF"/>
            <w:tcMar>
              <w:top w:w="0" w:type="dxa"/>
              <w:left w:w="0" w:type="dxa"/>
              <w:bottom w:w="0" w:type="dxa"/>
              <w:right w:w="0" w:type="dxa"/>
            </w:tcMar>
            <w:vAlign w:val="center"/>
          </w:tcPr>
          <w:p w14:paraId="1E80A020">
            <w:pPr>
              <w:jc w:val="center"/>
              <w:rPr>
                <w:szCs w:val="21"/>
                <w:u w:val="none"/>
              </w:rPr>
            </w:pPr>
            <w:r>
              <w:rPr>
                <w:szCs w:val="21"/>
                <w:u w:val="none"/>
              </w:rPr>
              <w:t>-22.7</w:t>
            </w:r>
          </w:p>
        </w:tc>
        <w:tc>
          <w:tcPr>
            <w:tcW w:w="739" w:type="dxa"/>
            <w:shd w:val="clear" w:color="auto" w:fill="FFFFFF"/>
            <w:tcMar>
              <w:top w:w="0" w:type="dxa"/>
              <w:left w:w="0" w:type="dxa"/>
              <w:bottom w:w="0" w:type="dxa"/>
              <w:right w:w="0" w:type="dxa"/>
            </w:tcMar>
            <w:vAlign w:val="center"/>
          </w:tcPr>
          <w:p w14:paraId="27FF2AFB">
            <w:pPr>
              <w:jc w:val="center"/>
              <w:rPr>
                <w:szCs w:val="21"/>
                <w:u w:val="none"/>
              </w:rPr>
            </w:pPr>
            <w:r>
              <w:rPr>
                <w:szCs w:val="21"/>
                <w:u w:val="none"/>
              </w:rPr>
              <w:t>-25.9</w:t>
            </w:r>
          </w:p>
        </w:tc>
        <w:tc>
          <w:tcPr>
            <w:tcW w:w="740" w:type="dxa"/>
            <w:shd w:val="clear" w:color="auto" w:fill="FFFFFF"/>
            <w:tcMar>
              <w:top w:w="0" w:type="dxa"/>
              <w:left w:w="0" w:type="dxa"/>
              <w:bottom w:w="0" w:type="dxa"/>
              <w:right w:w="0" w:type="dxa"/>
            </w:tcMar>
            <w:vAlign w:val="center"/>
          </w:tcPr>
          <w:p w14:paraId="25FDE3F1">
            <w:pPr>
              <w:jc w:val="center"/>
              <w:rPr>
                <w:szCs w:val="21"/>
                <w:u w:val="none"/>
              </w:rPr>
            </w:pPr>
            <w:r>
              <w:rPr>
                <w:szCs w:val="21"/>
                <w:u w:val="none"/>
              </w:rPr>
              <w:t>1.2</w:t>
            </w:r>
          </w:p>
        </w:tc>
        <w:tc>
          <w:tcPr>
            <w:tcW w:w="613" w:type="dxa"/>
            <w:shd w:val="clear" w:color="auto" w:fill="FFFFFF"/>
            <w:tcMar>
              <w:top w:w="0" w:type="dxa"/>
              <w:left w:w="0" w:type="dxa"/>
              <w:bottom w:w="0" w:type="dxa"/>
              <w:right w:w="0" w:type="dxa"/>
            </w:tcMar>
            <w:vAlign w:val="center"/>
          </w:tcPr>
          <w:p w14:paraId="34794B00">
            <w:pPr>
              <w:jc w:val="center"/>
              <w:rPr>
                <w:szCs w:val="21"/>
                <w:u w:val="none"/>
              </w:rPr>
            </w:pPr>
            <w:r>
              <w:rPr>
                <w:szCs w:val="21"/>
                <w:u w:val="none"/>
              </w:rPr>
              <w:t>18.1</w:t>
            </w:r>
          </w:p>
        </w:tc>
        <w:tc>
          <w:tcPr>
            <w:tcW w:w="613" w:type="dxa"/>
            <w:shd w:val="clear" w:color="auto" w:fill="FFFFFF"/>
            <w:tcMar>
              <w:top w:w="0" w:type="dxa"/>
              <w:left w:w="0" w:type="dxa"/>
              <w:bottom w:w="0" w:type="dxa"/>
              <w:right w:w="0" w:type="dxa"/>
            </w:tcMar>
            <w:vAlign w:val="center"/>
          </w:tcPr>
          <w:p w14:paraId="61F9D2E3">
            <w:pPr>
              <w:jc w:val="center"/>
              <w:rPr>
                <w:szCs w:val="21"/>
                <w:u w:val="none"/>
              </w:rPr>
            </w:pPr>
            <w:r>
              <w:rPr>
                <w:szCs w:val="21"/>
                <w:u w:val="none"/>
              </w:rPr>
              <w:t>46.5</w:t>
            </w:r>
          </w:p>
        </w:tc>
        <w:tc>
          <w:tcPr>
            <w:tcW w:w="613" w:type="dxa"/>
            <w:shd w:val="clear" w:color="auto" w:fill="FFFFFF"/>
            <w:tcMar>
              <w:top w:w="0" w:type="dxa"/>
              <w:left w:w="0" w:type="dxa"/>
              <w:bottom w:w="0" w:type="dxa"/>
              <w:right w:w="0" w:type="dxa"/>
            </w:tcMar>
            <w:vAlign w:val="center"/>
          </w:tcPr>
          <w:p w14:paraId="4EA58D54">
            <w:pPr>
              <w:jc w:val="center"/>
              <w:rPr>
                <w:szCs w:val="21"/>
                <w:u w:val="none"/>
              </w:rPr>
            </w:pPr>
            <w:r>
              <w:rPr>
                <w:szCs w:val="21"/>
                <w:u w:val="none"/>
              </w:rPr>
              <w:t>18.8</w:t>
            </w:r>
          </w:p>
        </w:tc>
        <w:tc>
          <w:tcPr>
            <w:tcW w:w="614" w:type="dxa"/>
            <w:shd w:val="clear" w:color="auto" w:fill="FFFFFF"/>
            <w:tcMar>
              <w:top w:w="0" w:type="dxa"/>
              <w:left w:w="0" w:type="dxa"/>
              <w:bottom w:w="0" w:type="dxa"/>
              <w:right w:w="0" w:type="dxa"/>
            </w:tcMar>
            <w:vAlign w:val="center"/>
          </w:tcPr>
          <w:p w14:paraId="052ED99D">
            <w:pPr>
              <w:jc w:val="center"/>
              <w:rPr>
                <w:szCs w:val="21"/>
                <w:u w:val="none"/>
              </w:rPr>
            </w:pPr>
            <w:r>
              <w:rPr>
                <w:szCs w:val="21"/>
                <w:u w:val="none"/>
              </w:rPr>
              <w:t>17.6</w:t>
            </w:r>
          </w:p>
        </w:tc>
        <w:tc>
          <w:tcPr>
            <w:tcW w:w="605" w:type="dxa"/>
            <w:shd w:val="clear" w:color="auto" w:fill="FFFFFF"/>
            <w:tcMar>
              <w:top w:w="0" w:type="dxa"/>
              <w:left w:w="0" w:type="dxa"/>
              <w:bottom w:w="0" w:type="dxa"/>
              <w:right w:w="0" w:type="dxa"/>
            </w:tcMar>
            <w:vAlign w:val="center"/>
          </w:tcPr>
          <w:p w14:paraId="42B60CF0">
            <w:pPr>
              <w:jc w:val="center"/>
              <w:rPr>
                <w:szCs w:val="21"/>
                <w:u w:val="none"/>
              </w:rPr>
            </w:pPr>
            <w:r>
              <w:rPr>
                <w:szCs w:val="21"/>
                <w:u w:val="none"/>
              </w:rPr>
              <w:t>63.1</w:t>
            </w:r>
          </w:p>
        </w:tc>
        <w:tc>
          <w:tcPr>
            <w:tcW w:w="605" w:type="dxa"/>
            <w:shd w:val="clear" w:color="auto" w:fill="FFFFFF"/>
            <w:tcMar>
              <w:top w:w="0" w:type="dxa"/>
              <w:left w:w="0" w:type="dxa"/>
              <w:bottom w:w="0" w:type="dxa"/>
              <w:right w:w="0" w:type="dxa"/>
            </w:tcMar>
            <w:vAlign w:val="center"/>
          </w:tcPr>
          <w:p w14:paraId="35B85C4F">
            <w:pPr>
              <w:jc w:val="center"/>
              <w:rPr>
                <w:szCs w:val="21"/>
                <w:u w:val="none"/>
              </w:rPr>
            </w:pPr>
            <w:r>
              <w:rPr>
                <w:szCs w:val="21"/>
                <w:u w:val="none"/>
              </w:rPr>
              <w:t>63.0</w:t>
            </w:r>
          </w:p>
        </w:tc>
        <w:tc>
          <w:tcPr>
            <w:tcW w:w="605" w:type="dxa"/>
            <w:shd w:val="clear" w:color="auto" w:fill="FFFFFF"/>
            <w:tcMar>
              <w:top w:w="0" w:type="dxa"/>
              <w:left w:w="0" w:type="dxa"/>
              <w:bottom w:w="0" w:type="dxa"/>
              <w:right w:w="0" w:type="dxa"/>
            </w:tcMar>
            <w:vAlign w:val="center"/>
          </w:tcPr>
          <w:p w14:paraId="00664A59">
            <w:pPr>
              <w:jc w:val="center"/>
              <w:rPr>
                <w:szCs w:val="21"/>
                <w:u w:val="none"/>
              </w:rPr>
            </w:pPr>
            <w:r>
              <w:rPr>
                <w:szCs w:val="21"/>
                <w:u w:val="none"/>
              </w:rPr>
              <w:t>63.1</w:t>
            </w:r>
          </w:p>
        </w:tc>
        <w:tc>
          <w:tcPr>
            <w:tcW w:w="607" w:type="dxa"/>
            <w:shd w:val="clear" w:color="auto" w:fill="FFFFFF"/>
            <w:tcMar>
              <w:top w:w="0" w:type="dxa"/>
              <w:left w:w="0" w:type="dxa"/>
              <w:bottom w:w="0" w:type="dxa"/>
              <w:right w:w="0" w:type="dxa"/>
            </w:tcMar>
            <w:vAlign w:val="center"/>
          </w:tcPr>
          <w:p w14:paraId="7F06232E">
            <w:pPr>
              <w:jc w:val="center"/>
              <w:rPr>
                <w:szCs w:val="21"/>
                <w:u w:val="none"/>
              </w:rPr>
            </w:pPr>
            <w:r>
              <w:rPr>
                <w:szCs w:val="21"/>
                <w:u w:val="none"/>
              </w:rPr>
              <w:t>63.1</w:t>
            </w:r>
          </w:p>
        </w:tc>
        <w:tc>
          <w:tcPr>
            <w:tcW w:w="525" w:type="dxa"/>
            <w:shd w:val="clear" w:color="auto" w:fill="FFFFFF"/>
            <w:tcMar>
              <w:top w:w="0" w:type="dxa"/>
              <w:left w:w="0" w:type="dxa"/>
              <w:bottom w:w="0" w:type="dxa"/>
              <w:right w:w="0" w:type="dxa"/>
            </w:tcMar>
            <w:vAlign w:val="center"/>
          </w:tcPr>
          <w:p w14:paraId="1A1CD6B9">
            <w:pPr>
              <w:jc w:val="center"/>
              <w:rPr>
                <w:szCs w:val="21"/>
                <w:u w:val="none"/>
              </w:rPr>
            </w:pPr>
            <w:r>
              <w:rPr>
                <w:kern w:val="0"/>
                <w:szCs w:val="21"/>
                <w:u w:val="none"/>
              </w:rPr>
              <w:t>昼间</w:t>
            </w:r>
          </w:p>
        </w:tc>
        <w:tc>
          <w:tcPr>
            <w:tcW w:w="584" w:type="dxa"/>
            <w:shd w:val="clear" w:color="auto" w:fill="FFFFFF"/>
            <w:tcMar>
              <w:top w:w="0" w:type="dxa"/>
              <w:left w:w="0" w:type="dxa"/>
              <w:bottom w:w="0" w:type="dxa"/>
              <w:right w:w="0" w:type="dxa"/>
            </w:tcMar>
            <w:vAlign w:val="center"/>
          </w:tcPr>
          <w:p w14:paraId="190703EE">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61AD4FEE">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1415DB6D">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1BA3D52C">
            <w:pPr>
              <w:jc w:val="center"/>
              <w:rPr>
                <w:szCs w:val="21"/>
                <w:u w:val="none"/>
              </w:rPr>
            </w:pPr>
            <w:r>
              <w:rPr>
                <w:szCs w:val="21"/>
                <w:u w:val="none"/>
              </w:rPr>
              <w:t>21.0</w:t>
            </w:r>
          </w:p>
        </w:tc>
        <w:tc>
          <w:tcPr>
            <w:tcW w:w="623" w:type="dxa"/>
            <w:shd w:val="clear" w:color="auto" w:fill="FFFFFF"/>
            <w:tcMar>
              <w:top w:w="0" w:type="dxa"/>
              <w:left w:w="0" w:type="dxa"/>
              <w:bottom w:w="0" w:type="dxa"/>
              <w:right w:w="0" w:type="dxa"/>
            </w:tcMar>
            <w:vAlign w:val="center"/>
          </w:tcPr>
          <w:p w14:paraId="1A419299">
            <w:pPr>
              <w:jc w:val="center"/>
              <w:rPr>
                <w:szCs w:val="21"/>
                <w:u w:val="none"/>
              </w:rPr>
            </w:pPr>
            <w:r>
              <w:rPr>
                <w:szCs w:val="21"/>
                <w:u w:val="none"/>
              </w:rPr>
              <w:t>42.1</w:t>
            </w:r>
          </w:p>
        </w:tc>
        <w:tc>
          <w:tcPr>
            <w:tcW w:w="623" w:type="dxa"/>
            <w:shd w:val="clear" w:color="auto" w:fill="FFFFFF"/>
            <w:tcMar>
              <w:top w:w="0" w:type="dxa"/>
              <w:left w:w="0" w:type="dxa"/>
              <w:bottom w:w="0" w:type="dxa"/>
              <w:right w:w="0" w:type="dxa"/>
            </w:tcMar>
            <w:vAlign w:val="center"/>
          </w:tcPr>
          <w:p w14:paraId="1A438E5C">
            <w:pPr>
              <w:jc w:val="center"/>
              <w:rPr>
                <w:szCs w:val="21"/>
                <w:u w:val="none"/>
              </w:rPr>
            </w:pPr>
            <w:r>
              <w:rPr>
                <w:szCs w:val="21"/>
                <w:u w:val="none"/>
              </w:rPr>
              <w:t>42.0</w:t>
            </w:r>
          </w:p>
        </w:tc>
        <w:tc>
          <w:tcPr>
            <w:tcW w:w="623" w:type="dxa"/>
            <w:shd w:val="clear" w:color="auto" w:fill="FFFFFF"/>
            <w:tcMar>
              <w:top w:w="0" w:type="dxa"/>
              <w:left w:w="0" w:type="dxa"/>
              <w:bottom w:w="0" w:type="dxa"/>
              <w:right w:w="0" w:type="dxa"/>
            </w:tcMar>
            <w:vAlign w:val="center"/>
          </w:tcPr>
          <w:p w14:paraId="2170C3D9">
            <w:pPr>
              <w:jc w:val="center"/>
              <w:rPr>
                <w:szCs w:val="21"/>
                <w:u w:val="none"/>
              </w:rPr>
            </w:pPr>
            <w:r>
              <w:rPr>
                <w:szCs w:val="21"/>
                <w:u w:val="none"/>
              </w:rPr>
              <w:t>42.1</w:t>
            </w:r>
          </w:p>
        </w:tc>
        <w:tc>
          <w:tcPr>
            <w:tcW w:w="624" w:type="dxa"/>
            <w:shd w:val="clear" w:color="auto" w:fill="FFFFFF"/>
            <w:tcMar>
              <w:top w:w="0" w:type="dxa"/>
              <w:left w:w="0" w:type="dxa"/>
              <w:bottom w:w="0" w:type="dxa"/>
              <w:right w:w="0" w:type="dxa"/>
            </w:tcMar>
            <w:vAlign w:val="center"/>
          </w:tcPr>
          <w:p w14:paraId="0DE15779">
            <w:pPr>
              <w:jc w:val="center"/>
              <w:rPr>
                <w:szCs w:val="21"/>
                <w:u w:val="none"/>
              </w:rPr>
            </w:pPr>
            <w:r>
              <w:rPr>
                <w:szCs w:val="21"/>
                <w:u w:val="none"/>
              </w:rPr>
              <w:t>42.1</w:t>
            </w:r>
          </w:p>
        </w:tc>
        <w:tc>
          <w:tcPr>
            <w:tcW w:w="657" w:type="dxa"/>
            <w:shd w:val="clear" w:color="auto" w:fill="FFFFFF"/>
            <w:tcMar>
              <w:top w:w="0" w:type="dxa"/>
              <w:left w:w="0" w:type="dxa"/>
              <w:bottom w:w="0" w:type="dxa"/>
              <w:right w:w="0" w:type="dxa"/>
            </w:tcMar>
            <w:vAlign w:val="center"/>
          </w:tcPr>
          <w:p w14:paraId="27AC3F07">
            <w:pPr>
              <w:jc w:val="center"/>
              <w:rPr>
                <w:szCs w:val="21"/>
                <w:u w:val="none"/>
              </w:rPr>
            </w:pPr>
            <w:r>
              <w:rPr>
                <w:szCs w:val="21"/>
                <w:u w:val="none"/>
              </w:rPr>
              <w:t>1</w:t>
            </w:r>
          </w:p>
        </w:tc>
      </w:tr>
      <w:tr w14:paraId="183E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467" w:type="dxa"/>
            <w:shd w:val="clear" w:color="auto" w:fill="FFFFFF"/>
            <w:tcMar>
              <w:top w:w="0" w:type="dxa"/>
              <w:left w:w="0" w:type="dxa"/>
              <w:bottom w:w="0" w:type="dxa"/>
              <w:right w:w="0" w:type="dxa"/>
            </w:tcMar>
            <w:vAlign w:val="center"/>
          </w:tcPr>
          <w:p w14:paraId="0394A340">
            <w:pPr>
              <w:jc w:val="center"/>
              <w:rPr>
                <w:szCs w:val="21"/>
                <w:u w:val="none"/>
              </w:rPr>
            </w:pPr>
            <w:r>
              <w:rPr>
                <w:szCs w:val="21"/>
                <w:u w:val="none"/>
              </w:rPr>
              <w:t>3</w:t>
            </w:r>
          </w:p>
        </w:tc>
        <w:tc>
          <w:tcPr>
            <w:tcW w:w="686" w:type="dxa"/>
            <w:shd w:val="clear" w:color="auto" w:fill="FFFFFF"/>
            <w:tcMar>
              <w:top w:w="0" w:type="dxa"/>
              <w:left w:w="0" w:type="dxa"/>
              <w:bottom w:w="0" w:type="dxa"/>
              <w:right w:w="0" w:type="dxa"/>
            </w:tcMar>
            <w:vAlign w:val="center"/>
          </w:tcPr>
          <w:p w14:paraId="5AFC3317">
            <w:pPr>
              <w:jc w:val="center"/>
              <w:rPr>
                <w:szCs w:val="21"/>
                <w:u w:val="none"/>
              </w:rPr>
            </w:pPr>
            <w:r>
              <w:rPr>
                <w:szCs w:val="21"/>
                <w:u w:val="none"/>
              </w:rPr>
              <w:t>仓储大棚</w:t>
            </w:r>
          </w:p>
        </w:tc>
        <w:tc>
          <w:tcPr>
            <w:tcW w:w="654" w:type="dxa"/>
            <w:shd w:val="clear" w:color="auto" w:fill="FFFFFF"/>
            <w:tcMar>
              <w:top w:w="0" w:type="dxa"/>
              <w:left w:w="0" w:type="dxa"/>
              <w:bottom w:w="0" w:type="dxa"/>
              <w:right w:w="0" w:type="dxa"/>
            </w:tcMar>
            <w:vAlign w:val="center"/>
          </w:tcPr>
          <w:p w14:paraId="539C356E">
            <w:pPr>
              <w:jc w:val="center"/>
              <w:rPr>
                <w:szCs w:val="21"/>
                <w:u w:val="none"/>
              </w:rPr>
            </w:pPr>
            <w:r>
              <w:rPr>
                <w:szCs w:val="21"/>
                <w:u w:val="none"/>
              </w:rPr>
              <w:t>装载机3</w:t>
            </w:r>
          </w:p>
        </w:tc>
        <w:tc>
          <w:tcPr>
            <w:tcW w:w="786" w:type="dxa"/>
            <w:shd w:val="clear" w:color="auto" w:fill="FFFFFF"/>
            <w:tcMar>
              <w:top w:w="0" w:type="dxa"/>
              <w:left w:w="0" w:type="dxa"/>
              <w:bottom w:w="0" w:type="dxa"/>
              <w:right w:w="0" w:type="dxa"/>
            </w:tcMar>
            <w:vAlign w:val="center"/>
          </w:tcPr>
          <w:p w14:paraId="17DD844B">
            <w:pPr>
              <w:jc w:val="center"/>
              <w:rPr>
                <w:szCs w:val="21"/>
                <w:u w:val="none"/>
              </w:rPr>
            </w:pPr>
            <w:r>
              <w:rPr>
                <w:szCs w:val="21"/>
                <w:u w:val="none"/>
              </w:rPr>
              <w:t>80</w:t>
            </w:r>
          </w:p>
        </w:tc>
        <w:tc>
          <w:tcPr>
            <w:tcW w:w="671" w:type="dxa"/>
            <w:vMerge w:val="continue"/>
            <w:shd w:val="clear" w:color="auto" w:fill="FFFFFF"/>
            <w:tcMar>
              <w:top w:w="0" w:type="dxa"/>
              <w:left w:w="0" w:type="dxa"/>
              <w:bottom w:w="0" w:type="dxa"/>
              <w:right w:w="0" w:type="dxa"/>
            </w:tcMar>
            <w:vAlign w:val="center"/>
          </w:tcPr>
          <w:p w14:paraId="41598AF2">
            <w:pPr>
              <w:jc w:val="center"/>
              <w:rPr>
                <w:szCs w:val="21"/>
                <w:u w:val="none"/>
              </w:rPr>
            </w:pPr>
          </w:p>
        </w:tc>
        <w:tc>
          <w:tcPr>
            <w:tcW w:w="739" w:type="dxa"/>
            <w:shd w:val="clear" w:color="auto" w:fill="FFFFFF"/>
            <w:tcMar>
              <w:top w:w="0" w:type="dxa"/>
              <w:left w:w="0" w:type="dxa"/>
              <w:bottom w:w="0" w:type="dxa"/>
              <w:right w:w="0" w:type="dxa"/>
            </w:tcMar>
            <w:vAlign w:val="center"/>
          </w:tcPr>
          <w:p w14:paraId="59C8BD37">
            <w:pPr>
              <w:jc w:val="center"/>
              <w:rPr>
                <w:szCs w:val="21"/>
                <w:u w:val="none"/>
              </w:rPr>
            </w:pPr>
            <w:r>
              <w:rPr>
                <w:szCs w:val="21"/>
                <w:u w:val="none"/>
              </w:rPr>
              <w:t>4.8</w:t>
            </w:r>
          </w:p>
        </w:tc>
        <w:tc>
          <w:tcPr>
            <w:tcW w:w="739" w:type="dxa"/>
            <w:shd w:val="clear" w:color="auto" w:fill="FFFFFF"/>
            <w:tcMar>
              <w:top w:w="0" w:type="dxa"/>
              <w:left w:w="0" w:type="dxa"/>
              <w:bottom w:w="0" w:type="dxa"/>
              <w:right w:w="0" w:type="dxa"/>
            </w:tcMar>
            <w:vAlign w:val="center"/>
          </w:tcPr>
          <w:p w14:paraId="51377E68">
            <w:pPr>
              <w:jc w:val="center"/>
              <w:rPr>
                <w:szCs w:val="21"/>
                <w:u w:val="none"/>
              </w:rPr>
            </w:pPr>
            <w:r>
              <w:rPr>
                <w:szCs w:val="21"/>
                <w:u w:val="none"/>
              </w:rPr>
              <w:t>-25.5</w:t>
            </w:r>
          </w:p>
        </w:tc>
        <w:tc>
          <w:tcPr>
            <w:tcW w:w="740" w:type="dxa"/>
            <w:shd w:val="clear" w:color="auto" w:fill="FFFFFF"/>
            <w:tcMar>
              <w:top w:w="0" w:type="dxa"/>
              <w:left w:w="0" w:type="dxa"/>
              <w:bottom w:w="0" w:type="dxa"/>
              <w:right w:w="0" w:type="dxa"/>
            </w:tcMar>
            <w:vAlign w:val="center"/>
          </w:tcPr>
          <w:p w14:paraId="669CB9FF">
            <w:pPr>
              <w:jc w:val="center"/>
              <w:rPr>
                <w:szCs w:val="21"/>
                <w:u w:val="none"/>
              </w:rPr>
            </w:pPr>
            <w:r>
              <w:rPr>
                <w:szCs w:val="21"/>
                <w:u w:val="none"/>
              </w:rPr>
              <w:t>1.2</w:t>
            </w:r>
          </w:p>
        </w:tc>
        <w:tc>
          <w:tcPr>
            <w:tcW w:w="613" w:type="dxa"/>
            <w:shd w:val="clear" w:color="auto" w:fill="FFFFFF"/>
            <w:tcMar>
              <w:top w:w="0" w:type="dxa"/>
              <w:left w:w="0" w:type="dxa"/>
              <w:bottom w:w="0" w:type="dxa"/>
              <w:right w:w="0" w:type="dxa"/>
            </w:tcMar>
            <w:vAlign w:val="center"/>
          </w:tcPr>
          <w:p w14:paraId="79351B47">
            <w:pPr>
              <w:jc w:val="center"/>
              <w:rPr>
                <w:szCs w:val="21"/>
                <w:u w:val="none"/>
              </w:rPr>
            </w:pPr>
            <w:r>
              <w:rPr>
                <w:szCs w:val="21"/>
                <w:u w:val="none"/>
              </w:rPr>
              <w:t>10.2</w:t>
            </w:r>
          </w:p>
        </w:tc>
        <w:tc>
          <w:tcPr>
            <w:tcW w:w="613" w:type="dxa"/>
            <w:shd w:val="clear" w:color="auto" w:fill="FFFFFF"/>
            <w:tcMar>
              <w:top w:w="0" w:type="dxa"/>
              <w:left w:w="0" w:type="dxa"/>
              <w:bottom w:w="0" w:type="dxa"/>
              <w:right w:w="0" w:type="dxa"/>
            </w:tcMar>
            <w:vAlign w:val="center"/>
          </w:tcPr>
          <w:p w14:paraId="7295894D">
            <w:pPr>
              <w:jc w:val="center"/>
              <w:rPr>
                <w:szCs w:val="21"/>
                <w:u w:val="none"/>
              </w:rPr>
            </w:pPr>
            <w:r>
              <w:rPr>
                <w:szCs w:val="21"/>
                <w:u w:val="none"/>
              </w:rPr>
              <w:t>25.9</w:t>
            </w:r>
          </w:p>
        </w:tc>
        <w:tc>
          <w:tcPr>
            <w:tcW w:w="613" w:type="dxa"/>
            <w:shd w:val="clear" w:color="auto" w:fill="FFFFFF"/>
            <w:tcMar>
              <w:top w:w="0" w:type="dxa"/>
              <w:left w:w="0" w:type="dxa"/>
              <w:bottom w:w="0" w:type="dxa"/>
              <w:right w:w="0" w:type="dxa"/>
            </w:tcMar>
            <w:vAlign w:val="center"/>
          </w:tcPr>
          <w:p w14:paraId="720F09FA">
            <w:pPr>
              <w:jc w:val="center"/>
              <w:rPr>
                <w:szCs w:val="21"/>
                <w:u w:val="none"/>
              </w:rPr>
            </w:pPr>
            <w:r>
              <w:rPr>
                <w:szCs w:val="21"/>
                <w:u w:val="none"/>
              </w:rPr>
              <w:t>23.0</w:t>
            </w:r>
          </w:p>
        </w:tc>
        <w:tc>
          <w:tcPr>
            <w:tcW w:w="614" w:type="dxa"/>
            <w:shd w:val="clear" w:color="auto" w:fill="FFFFFF"/>
            <w:tcMar>
              <w:top w:w="0" w:type="dxa"/>
              <w:left w:w="0" w:type="dxa"/>
              <w:bottom w:w="0" w:type="dxa"/>
              <w:right w:w="0" w:type="dxa"/>
            </w:tcMar>
            <w:vAlign w:val="center"/>
          </w:tcPr>
          <w:p w14:paraId="27CD9B21">
            <w:pPr>
              <w:jc w:val="center"/>
              <w:rPr>
                <w:szCs w:val="21"/>
                <w:u w:val="none"/>
              </w:rPr>
            </w:pPr>
            <w:r>
              <w:rPr>
                <w:szCs w:val="21"/>
                <w:u w:val="none"/>
              </w:rPr>
              <w:t>15.9</w:t>
            </w:r>
          </w:p>
        </w:tc>
        <w:tc>
          <w:tcPr>
            <w:tcW w:w="605" w:type="dxa"/>
            <w:shd w:val="clear" w:color="auto" w:fill="FFFFFF"/>
            <w:tcMar>
              <w:top w:w="0" w:type="dxa"/>
              <w:left w:w="0" w:type="dxa"/>
              <w:bottom w:w="0" w:type="dxa"/>
              <w:right w:w="0" w:type="dxa"/>
            </w:tcMar>
            <w:vAlign w:val="center"/>
          </w:tcPr>
          <w:p w14:paraId="58C3F3B5">
            <w:pPr>
              <w:jc w:val="center"/>
              <w:rPr>
                <w:szCs w:val="21"/>
                <w:u w:val="none"/>
              </w:rPr>
            </w:pPr>
            <w:r>
              <w:rPr>
                <w:szCs w:val="21"/>
                <w:u w:val="none"/>
              </w:rPr>
              <w:t>63.2</w:t>
            </w:r>
          </w:p>
        </w:tc>
        <w:tc>
          <w:tcPr>
            <w:tcW w:w="605" w:type="dxa"/>
            <w:shd w:val="clear" w:color="auto" w:fill="FFFFFF"/>
            <w:tcMar>
              <w:top w:w="0" w:type="dxa"/>
              <w:left w:w="0" w:type="dxa"/>
              <w:bottom w:w="0" w:type="dxa"/>
              <w:right w:w="0" w:type="dxa"/>
            </w:tcMar>
            <w:vAlign w:val="center"/>
          </w:tcPr>
          <w:p w14:paraId="788B9760">
            <w:pPr>
              <w:jc w:val="center"/>
              <w:rPr>
                <w:szCs w:val="21"/>
                <w:u w:val="none"/>
              </w:rPr>
            </w:pPr>
            <w:r>
              <w:rPr>
                <w:szCs w:val="21"/>
                <w:u w:val="none"/>
              </w:rPr>
              <w:t>63.0</w:t>
            </w:r>
          </w:p>
        </w:tc>
        <w:tc>
          <w:tcPr>
            <w:tcW w:w="605" w:type="dxa"/>
            <w:shd w:val="clear" w:color="auto" w:fill="FFFFFF"/>
            <w:tcMar>
              <w:top w:w="0" w:type="dxa"/>
              <w:left w:w="0" w:type="dxa"/>
              <w:bottom w:w="0" w:type="dxa"/>
              <w:right w:w="0" w:type="dxa"/>
            </w:tcMar>
            <w:vAlign w:val="center"/>
          </w:tcPr>
          <w:p w14:paraId="39C4439A">
            <w:pPr>
              <w:jc w:val="center"/>
              <w:rPr>
                <w:szCs w:val="21"/>
                <w:u w:val="none"/>
              </w:rPr>
            </w:pPr>
            <w:r>
              <w:rPr>
                <w:szCs w:val="21"/>
                <w:u w:val="none"/>
              </w:rPr>
              <w:t>63.1</w:t>
            </w:r>
          </w:p>
        </w:tc>
        <w:tc>
          <w:tcPr>
            <w:tcW w:w="607" w:type="dxa"/>
            <w:shd w:val="clear" w:color="auto" w:fill="FFFFFF"/>
            <w:tcMar>
              <w:top w:w="0" w:type="dxa"/>
              <w:left w:w="0" w:type="dxa"/>
              <w:bottom w:w="0" w:type="dxa"/>
              <w:right w:w="0" w:type="dxa"/>
            </w:tcMar>
            <w:vAlign w:val="center"/>
          </w:tcPr>
          <w:p w14:paraId="577786C2">
            <w:pPr>
              <w:jc w:val="center"/>
              <w:rPr>
                <w:szCs w:val="21"/>
                <w:u w:val="none"/>
              </w:rPr>
            </w:pPr>
            <w:r>
              <w:rPr>
                <w:szCs w:val="21"/>
                <w:u w:val="none"/>
              </w:rPr>
              <w:t>63.1</w:t>
            </w:r>
          </w:p>
        </w:tc>
        <w:tc>
          <w:tcPr>
            <w:tcW w:w="525" w:type="dxa"/>
            <w:shd w:val="clear" w:color="auto" w:fill="FFFFFF"/>
            <w:tcMar>
              <w:top w:w="0" w:type="dxa"/>
              <w:left w:w="0" w:type="dxa"/>
              <w:bottom w:w="0" w:type="dxa"/>
              <w:right w:w="0" w:type="dxa"/>
            </w:tcMar>
            <w:vAlign w:val="center"/>
          </w:tcPr>
          <w:p w14:paraId="00DCC533">
            <w:pPr>
              <w:jc w:val="center"/>
              <w:rPr>
                <w:szCs w:val="21"/>
                <w:u w:val="none"/>
              </w:rPr>
            </w:pPr>
            <w:r>
              <w:rPr>
                <w:kern w:val="0"/>
                <w:szCs w:val="21"/>
                <w:u w:val="none"/>
              </w:rPr>
              <w:t>昼间</w:t>
            </w:r>
          </w:p>
        </w:tc>
        <w:tc>
          <w:tcPr>
            <w:tcW w:w="584" w:type="dxa"/>
            <w:shd w:val="clear" w:color="auto" w:fill="FFFFFF"/>
            <w:tcMar>
              <w:top w:w="0" w:type="dxa"/>
              <w:left w:w="0" w:type="dxa"/>
              <w:bottom w:w="0" w:type="dxa"/>
              <w:right w:w="0" w:type="dxa"/>
            </w:tcMar>
            <w:vAlign w:val="center"/>
          </w:tcPr>
          <w:p w14:paraId="5B6DC637">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4536AD0B">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26F8AC62">
            <w:pPr>
              <w:jc w:val="center"/>
              <w:rPr>
                <w:szCs w:val="21"/>
                <w:u w:val="none"/>
              </w:rPr>
            </w:pPr>
            <w:r>
              <w:rPr>
                <w:szCs w:val="21"/>
                <w:u w:val="none"/>
              </w:rPr>
              <w:t>21.0</w:t>
            </w:r>
          </w:p>
        </w:tc>
        <w:tc>
          <w:tcPr>
            <w:tcW w:w="584" w:type="dxa"/>
            <w:shd w:val="clear" w:color="auto" w:fill="FFFFFF"/>
            <w:tcMar>
              <w:top w:w="0" w:type="dxa"/>
              <w:left w:w="0" w:type="dxa"/>
              <w:bottom w:w="0" w:type="dxa"/>
              <w:right w:w="0" w:type="dxa"/>
            </w:tcMar>
            <w:vAlign w:val="center"/>
          </w:tcPr>
          <w:p w14:paraId="79C25BF4">
            <w:pPr>
              <w:jc w:val="center"/>
              <w:rPr>
                <w:szCs w:val="21"/>
                <w:u w:val="none"/>
              </w:rPr>
            </w:pPr>
            <w:r>
              <w:rPr>
                <w:szCs w:val="21"/>
                <w:u w:val="none"/>
              </w:rPr>
              <w:t>21.0</w:t>
            </w:r>
          </w:p>
        </w:tc>
        <w:tc>
          <w:tcPr>
            <w:tcW w:w="623" w:type="dxa"/>
            <w:shd w:val="clear" w:color="auto" w:fill="FFFFFF"/>
            <w:tcMar>
              <w:top w:w="0" w:type="dxa"/>
              <w:left w:w="0" w:type="dxa"/>
              <w:bottom w:w="0" w:type="dxa"/>
              <w:right w:w="0" w:type="dxa"/>
            </w:tcMar>
            <w:vAlign w:val="center"/>
          </w:tcPr>
          <w:p w14:paraId="3EDF0C3E">
            <w:pPr>
              <w:jc w:val="center"/>
              <w:rPr>
                <w:szCs w:val="21"/>
                <w:u w:val="none"/>
              </w:rPr>
            </w:pPr>
            <w:r>
              <w:rPr>
                <w:szCs w:val="21"/>
                <w:u w:val="none"/>
              </w:rPr>
              <w:t>42.2</w:t>
            </w:r>
          </w:p>
        </w:tc>
        <w:tc>
          <w:tcPr>
            <w:tcW w:w="623" w:type="dxa"/>
            <w:shd w:val="clear" w:color="auto" w:fill="FFFFFF"/>
            <w:tcMar>
              <w:top w:w="0" w:type="dxa"/>
              <w:left w:w="0" w:type="dxa"/>
              <w:bottom w:w="0" w:type="dxa"/>
              <w:right w:w="0" w:type="dxa"/>
            </w:tcMar>
            <w:vAlign w:val="center"/>
          </w:tcPr>
          <w:p w14:paraId="3E27E175">
            <w:pPr>
              <w:jc w:val="center"/>
              <w:rPr>
                <w:szCs w:val="21"/>
                <w:u w:val="none"/>
              </w:rPr>
            </w:pPr>
            <w:r>
              <w:rPr>
                <w:szCs w:val="21"/>
                <w:u w:val="none"/>
              </w:rPr>
              <w:t>42.0</w:t>
            </w:r>
          </w:p>
        </w:tc>
        <w:tc>
          <w:tcPr>
            <w:tcW w:w="623" w:type="dxa"/>
            <w:shd w:val="clear" w:color="auto" w:fill="FFFFFF"/>
            <w:tcMar>
              <w:top w:w="0" w:type="dxa"/>
              <w:left w:w="0" w:type="dxa"/>
              <w:bottom w:w="0" w:type="dxa"/>
              <w:right w:w="0" w:type="dxa"/>
            </w:tcMar>
            <w:vAlign w:val="center"/>
          </w:tcPr>
          <w:p w14:paraId="05B9FFFA">
            <w:pPr>
              <w:jc w:val="center"/>
              <w:rPr>
                <w:szCs w:val="21"/>
                <w:u w:val="none"/>
              </w:rPr>
            </w:pPr>
            <w:r>
              <w:rPr>
                <w:szCs w:val="21"/>
                <w:u w:val="none"/>
              </w:rPr>
              <w:t>42.1</w:t>
            </w:r>
          </w:p>
        </w:tc>
        <w:tc>
          <w:tcPr>
            <w:tcW w:w="624" w:type="dxa"/>
            <w:shd w:val="clear" w:color="auto" w:fill="FFFFFF"/>
            <w:tcMar>
              <w:top w:w="0" w:type="dxa"/>
              <w:left w:w="0" w:type="dxa"/>
              <w:bottom w:w="0" w:type="dxa"/>
              <w:right w:w="0" w:type="dxa"/>
            </w:tcMar>
            <w:vAlign w:val="center"/>
          </w:tcPr>
          <w:p w14:paraId="6445F70F">
            <w:pPr>
              <w:jc w:val="center"/>
              <w:rPr>
                <w:szCs w:val="21"/>
                <w:u w:val="none"/>
              </w:rPr>
            </w:pPr>
            <w:r>
              <w:rPr>
                <w:szCs w:val="21"/>
                <w:u w:val="none"/>
              </w:rPr>
              <w:t>42.1</w:t>
            </w:r>
          </w:p>
        </w:tc>
        <w:tc>
          <w:tcPr>
            <w:tcW w:w="657" w:type="dxa"/>
            <w:shd w:val="clear" w:color="auto" w:fill="FFFFFF"/>
            <w:tcMar>
              <w:top w:w="0" w:type="dxa"/>
              <w:left w:w="0" w:type="dxa"/>
              <w:bottom w:w="0" w:type="dxa"/>
              <w:right w:w="0" w:type="dxa"/>
            </w:tcMar>
            <w:vAlign w:val="center"/>
          </w:tcPr>
          <w:p w14:paraId="128DE838">
            <w:pPr>
              <w:jc w:val="center"/>
              <w:rPr>
                <w:szCs w:val="21"/>
                <w:u w:val="none"/>
              </w:rPr>
            </w:pPr>
            <w:r>
              <w:rPr>
                <w:szCs w:val="21"/>
                <w:u w:val="none"/>
              </w:rPr>
              <w:t>1</w:t>
            </w:r>
          </w:p>
        </w:tc>
      </w:tr>
      <w:bookmarkEnd w:id="13"/>
    </w:tbl>
    <w:p w14:paraId="55F56D79">
      <w:pPr>
        <w:adjustRightInd w:val="0"/>
        <w:snapToGrid w:val="0"/>
        <w:jc w:val="center"/>
        <w:rPr>
          <w:bCs/>
          <w:sz w:val="24"/>
          <w:u w:val="none"/>
        </w:rPr>
        <w:sectPr>
          <w:pgSz w:w="16840" w:h="11907" w:orient="landscape"/>
          <w:pgMar w:top="1531" w:right="1701" w:bottom="1531" w:left="2127" w:header="851" w:footer="850" w:gutter="0"/>
          <w:cols w:space="0" w:num="1"/>
          <w:docGrid w:linePitch="312" w:charSpace="0"/>
        </w:sectPr>
      </w:pPr>
    </w:p>
    <w:tbl>
      <w:tblPr>
        <w:tblStyle w:val="37"/>
        <w:tblW w:w="93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618"/>
      </w:tblGrid>
      <w:tr w14:paraId="189EE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Mar>
              <w:left w:w="28" w:type="dxa"/>
              <w:right w:w="28" w:type="dxa"/>
            </w:tcMar>
            <w:vAlign w:val="center"/>
          </w:tcPr>
          <w:p w14:paraId="452DDDEB">
            <w:pPr>
              <w:adjustRightInd w:val="0"/>
              <w:snapToGrid w:val="0"/>
              <w:jc w:val="center"/>
              <w:rPr>
                <w:bCs/>
                <w:sz w:val="24"/>
                <w:u w:val="none"/>
              </w:rPr>
            </w:pPr>
            <w:r>
              <w:rPr>
                <w:bCs/>
                <w:sz w:val="24"/>
                <w:u w:val="none"/>
              </w:rPr>
              <w:t>运营期</w:t>
            </w:r>
            <w:r>
              <w:rPr>
                <w:bCs/>
                <w:sz w:val="24"/>
                <w:u w:val="thick" w:color="FFB03A"/>
                <w:shd w:val="clear" w:fill="FFEFD7"/>
              </w:rPr>
              <w:t>环境</w:t>
            </w:r>
            <w:r>
              <w:rPr>
                <w:bCs/>
                <w:sz w:val="24"/>
                <w:u w:val="none"/>
              </w:rPr>
              <w:t>影响和保护措施</w:t>
            </w:r>
            <w:bookmarkEnd w:id="10"/>
          </w:p>
        </w:tc>
        <w:tc>
          <w:tcPr>
            <w:tcW w:w="8618" w:type="dxa"/>
            <w:vAlign w:val="center"/>
          </w:tcPr>
          <w:p w14:paraId="75CB961F">
            <w:pPr>
              <w:pStyle w:val="15"/>
              <w:snapToGrid/>
              <w:spacing w:after="0" w:line="360" w:lineRule="auto"/>
              <w:ind w:firstLine="482" w:firstLineChars="200"/>
              <w:rPr>
                <w:b/>
                <w:bCs/>
                <w:kern w:val="2"/>
                <w:sz w:val="24"/>
                <w:szCs w:val="24"/>
                <w:u w:val="none"/>
              </w:rPr>
            </w:pPr>
            <w:r>
              <w:rPr>
                <w:rFonts w:hint="eastAsia"/>
                <w:b/>
                <w:bCs/>
                <w:kern w:val="2"/>
                <w:sz w:val="24"/>
                <w:szCs w:val="24"/>
                <w:u w:val="none"/>
              </w:rPr>
              <w:t>3.2</w:t>
            </w:r>
            <w:r>
              <w:rPr>
                <w:b/>
                <w:bCs/>
                <w:kern w:val="2"/>
                <w:sz w:val="24"/>
                <w:szCs w:val="24"/>
                <w:u w:val="none"/>
              </w:rPr>
              <w:t>、</w:t>
            </w:r>
            <w:r>
              <w:rPr>
                <w:rFonts w:hint="eastAsia"/>
                <w:b/>
                <w:bCs/>
                <w:kern w:val="2"/>
                <w:sz w:val="24"/>
                <w:szCs w:val="24"/>
                <w:u w:val="none"/>
              </w:rPr>
              <w:t>影响</w:t>
            </w:r>
            <w:r>
              <w:rPr>
                <w:rFonts w:hint="eastAsia"/>
                <w:b/>
                <w:bCs/>
                <w:kern w:val="2"/>
                <w:sz w:val="24"/>
                <w:szCs w:val="24"/>
                <w:u w:val="thick" w:color="FFB03A"/>
                <w:shd w:val="clear" w:fill="FFEFD7"/>
              </w:rPr>
              <w:t>分析</w:t>
            </w:r>
          </w:p>
          <w:p w14:paraId="59128008">
            <w:pPr>
              <w:wordWrap w:val="0"/>
              <w:spacing w:line="360" w:lineRule="auto"/>
              <w:ind w:firstLine="482" w:firstLineChars="200"/>
              <w:rPr>
                <w:b/>
                <w:bCs/>
                <w:sz w:val="24"/>
                <w:szCs w:val="20"/>
                <w:u w:val="none"/>
              </w:rPr>
            </w:pPr>
            <w:r>
              <w:rPr>
                <w:rFonts w:hint="eastAsia"/>
                <w:b/>
                <w:bCs/>
                <w:sz w:val="24"/>
                <w:szCs w:val="20"/>
                <w:u w:val="none"/>
              </w:rPr>
              <w:t>（</w:t>
            </w:r>
            <w:r>
              <w:rPr>
                <w:b/>
                <w:bCs/>
                <w:sz w:val="24"/>
                <w:szCs w:val="20"/>
                <w:u w:val="none"/>
              </w:rPr>
              <w:t>1）预测方法</w:t>
            </w:r>
          </w:p>
          <w:p w14:paraId="27070F31">
            <w:pPr>
              <w:wordWrap w:val="0"/>
              <w:spacing w:line="360" w:lineRule="auto"/>
              <w:ind w:firstLine="480" w:firstLineChars="200"/>
              <w:rPr>
                <w:sz w:val="24"/>
                <w:u w:val="none"/>
              </w:rPr>
            </w:pPr>
            <w:r>
              <w:rPr>
                <w:sz w:val="24"/>
                <w:u w:val="none"/>
              </w:rPr>
              <w:t>结合《环境影响评价技术导则 声环境》（HJ</w:t>
            </w:r>
            <w:r>
              <w:rPr>
                <w:rFonts w:hint="eastAsia"/>
                <w:sz w:val="24"/>
                <w:u w:val="none"/>
              </w:rPr>
              <w:t xml:space="preserve"> </w:t>
            </w:r>
            <w:r>
              <w:rPr>
                <w:sz w:val="24"/>
                <w:u w:val="none"/>
              </w:rPr>
              <w:t>2.4-2021）</w:t>
            </w:r>
            <w:r>
              <w:rPr>
                <w:rFonts w:hint="eastAsia"/>
                <w:sz w:val="24"/>
                <w:u w:val="none"/>
              </w:rPr>
              <w:t>“</w:t>
            </w:r>
            <w:r>
              <w:rPr>
                <w:sz w:val="24"/>
                <w:u w:val="none"/>
              </w:rPr>
              <w:t>B.1.3 室内声源等效室外声源声功率级计算方法</w:t>
            </w:r>
            <w:r>
              <w:rPr>
                <w:rFonts w:hint="eastAsia"/>
                <w:sz w:val="24"/>
                <w:u w:val="none"/>
              </w:rPr>
              <w:t>”“</w:t>
            </w:r>
            <w:r>
              <w:rPr>
                <w:sz w:val="24"/>
                <w:u w:val="none"/>
              </w:rPr>
              <w:t>A.2户外声传播衰减</w:t>
            </w:r>
            <w:r>
              <w:rPr>
                <w:rFonts w:hint="eastAsia"/>
                <w:sz w:val="24"/>
                <w:u w:val="none"/>
              </w:rPr>
              <w:t>”“</w:t>
            </w:r>
            <w:r>
              <w:rPr>
                <w:sz w:val="24"/>
                <w:u w:val="none"/>
              </w:rPr>
              <w:t>A.3.1.1点声源的几何发散衰减</w:t>
            </w:r>
            <w:r>
              <w:rPr>
                <w:rFonts w:hint="eastAsia"/>
                <w:sz w:val="24"/>
                <w:u w:val="none"/>
              </w:rPr>
              <w:t>”</w:t>
            </w:r>
            <w:r>
              <w:rPr>
                <w:sz w:val="24"/>
                <w:u w:val="none"/>
              </w:rPr>
              <w:t>及正文式（3）推荐的叠加公式对厂界贡献值，声环境保护目标贡献值及预测值进行计算。</w:t>
            </w:r>
          </w:p>
          <w:p w14:paraId="220A4D6E">
            <w:pPr>
              <w:numPr>
                <w:ilvl w:val="0"/>
                <w:numId w:val="6"/>
              </w:numPr>
              <w:wordWrap w:val="0"/>
              <w:spacing w:line="360" w:lineRule="auto"/>
              <w:ind w:firstLine="480" w:firstLineChars="200"/>
              <w:rPr>
                <w:sz w:val="24"/>
                <w:szCs w:val="20"/>
                <w:u w:val="none"/>
              </w:rPr>
            </w:pPr>
            <w:r>
              <w:rPr>
                <w:sz w:val="24"/>
                <w:szCs w:val="20"/>
                <w:u w:val="none"/>
              </w:rPr>
              <w:t>室内声源等效室外声源声功率级计算方法</w:t>
            </w:r>
          </w:p>
          <w:p w14:paraId="2377C67F">
            <w:pPr>
              <w:pStyle w:val="15"/>
              <w:wordWrap w:val="0"/>
              <w:spacing w:line="360" w:lineRule="auto"/>
              <w:ind w:firstLine="480" w:firstLineChars="200"/>
              <w:rPr>
                <w:sz w:val="24"/>
                <w:u w:val="none"/>
              </w:rPr>
            </w:pPr>
            <w:r>
              <w:rPr>
                <w:sz w:val="24"/>
                <w:u w:val="none"/>
              </w:rPr>
              <w:t>根据《环境影响评价技术导则 声环境》（HJ</w:t>
            </w:r>
            <w:r>
              <w:rPr>
                <w:rFonts w:hint="eastAsia"/>
                <w:sz w:val="24"/>
                <w:u w:val="none"/>
              </w:rPr>
              <w:t xml:space="preserve"> </w:t>
            </w:r>
            <w:r>
              <w:rPr>
                <w:sz w:val="24"/>
                <w:u w:val="none"/>
              </w:rPr>
              <w:t>2.4-2021）附录</w:t>
            </w:r>
            <w:r>
              <w:rPr>
                <w:sz w:val="24"/>
                <w:szCs w:val="24"/>
                <w:u w:val="none"/>
              </w:rPr>
              <w:t>B.1.3 室内声源等效室外声源声功率级计算方法</w:t>
            </w:r>
            <w:r>
              <w:rPr>
                <w:sz w:val="24"/>
                <w:u w:val="none"/>
              </w:rPr>
              <w:t>：声源位于室内，室内声源可采用等效室外声源声功率级法进行计算。设靠近开口处</w:t>
            </w:r>
            <w:r>
              <w:rPr>
                <w:rFonts w:hint="eastAsia"/>
                <w:sz w:val="24"/>
                <w:u w:val="none"/>
              </w:rPr>
              <w:t>（</w:t>
            </w:r>
            <w:r>
              <w:rPr>
                <w:sz w:val="24"/>
                <w:u w:val="none"/>
              </w:rPr>
              <w:t>或窗户</w:t>
            </w:r>
            <w:r>
              <w:rPr>
                <w:rFonts w:hint="eastAsia"/>
                <w:sz w:val="24"/>
                <w:u w:val="none"/>
              </w:rPr>
              <w:t>）</w:t>
            </w:r>
            <w:r>
              <w:rPr>
                <w:sz w:val="24"/>
                <w:u w:val="none"/>
              </w:rPr>
              <w:t>室内、室外某倍频带的声压级或A声级分别为Lp</w:t>
            </w:r>
            <w:r>
              <w:rPr>
                <w:sz w:val="24"/>
                <w:u w:val="none"/>
                <w:vertAlign w:val="subscript"/>
              </w:rPr>
              <w:t>1</w:t>
            </w:r>
            <w:r>
              <w:rPr>
                <w:sz w:val="24"/>
                <w:u w:val="none"/>
              </w:rPr>
              <w:t>和 Lp</w:t>
            </w:r>
            <w:r>
              <w:rPr>
                <w:sz w:val="24"/>
                <w:u w:val="none"/>
                <w:vertAlign w:val="subscript"/>
              </w:rPr>
              <w:t>2</w:t>
            </w:r>
            <w:r>
              <w:rPr>
                <w:sz w:val="24"/>
                <w:u w:val="none"/>
              </w:rPr>
              <w:t>。若声源所在室内声场为近似扩散声场，则室外的倍频带声压级可按以下公式近似求出。</w:t>
            </w:r>
          </w:p>
          <w:p w14:paraId="62FCB791">
            <w:pPr>
              <w:pStyle w:val="15"/>
              <w:wordWrap w:val="0"/>
              <w:spacing w:line="360" w:lineRule="auto"/>
              <w:ind w:firstLine="480" w:firstLineChars="200"/>
              <w:jc w:val="center"/>
              <w:rPr>
                <w:sz w:val="24"/>
                <w:u w:val="none"/>
              </w:rPr>
            </w:pPr>
            <w:r>
              <w:rPr>
                <w:sz w:val="24"/>
                <w:u w:val="none"/>
              </w:rPr>
              <w:t>Lp</w:t>
            </w:r>
            <w:r>
              <w:rPr>
                <w:sz w:val="24"/>
                <w:u w:val="none"/>
                <w:vertAlign w:val="subscript"/>
              </w:rPr>
              <w:t>2</w:t>
            </w:r>
            <w:r>
              <w:rPr>
                <w:sz w:val="24"/>
                <w:u w:val="none"/>
              </w:rPr>
              <w:t>=Lp</w:t>
            </w:r>
            <w:r>
              <w:rPr>
                <w:sz w:val="24"/>
                <w:u w:val="none"/>
                <w:vertAlign w:val="subscript"/>
              </w:rPr>
              <w:t>1</w:t>
            </w:r>
            <w:r>
              <w:rPr>
                <w:sz w:val="24"/>
                <w:u w:val="none"/>
              </w:rPr>
              <w:t>-</w:t>
            </w:r>
            <w:r>
              <w:rPr>
                <w:rFonts w:hint="eastAsia"/>
                <w:sz w:val="24"/>
                <w:u w:val="none"/>
              </w:rPr>
              <w:t>（</w:t>
            </w:r>
            <w:r>
              <w:rPr>
                <w:sz w:val="24"/>
                <w:u w:val="none"/>
              </w:rPr>
              <w:t>TL+6</w:t>
            </w:r>
            <w:r>
              <w:rPr>
                <w:rFonts w:hint="eastAsia"/>
                <w:sz w:val="24"/>
                <w:u w:val="none"/>
              </w:rPr>
              <w:t>）</w:t>
            </w:r>
          </w:p>
          <w:p w14:paraId="7DBF892E">
            <w:pPr>
              <w:wordWrap w:val="0"/>
              <w:spacing w:line="360" w:lineRule="auto"/>
              <w:ind w:firstLine="480" w:firstLineChars="200"/>
              <w:rPr>
                <w:sz w:val="24"/>
                <w:szCs w:val="20"/>
                <w:u w:val="none"/>
              </w:rPr>
            </w:pPr>
            <w:r>
              <w:rPr>
                <w:sz w:val="24"/>
                <w:szCs w:val="20"/>
                <w:u w:val="none"/>
              </w:rPr>
              <w:t>式中： Lp</w:t>
            </w:r>
            <w:r>
              <w:rPr>
                <w:sz w:val="24"/>
                <w:szCs w:val="20"/>
                <w:u w:val="none"/>
                <w:vertAlign w:val="subscript"/>
              </w:rPr>
              <w:t>1</w:t>
            </w:r>
            <w:r>
              <w:rPr>
                <w:rFonts w:hint="eastAsia"/>
                <w:sz w:val="24"/>
                <w:szCs w:val="20"/>
                <w:u w:val="none"/>
              </w:rPr>
              <w:t>－</w:t>
            </w:r>
            <w:r>
              <w:rPr>
                <w:sz w:val="24"/>
                <w:szCs w:val="20"/>
                <w:u w:val="none"/>
              </w:rPr>
              <w:t>靠近开口处（或窗户）室内某倍频带的声压级或A声级，dB（A）；</w:t>
            </w:r>
          </w:p>
          <w:p w14:paraId="3A1FB2E3">
            <w:pPr>
              <w:wordWrap w:val="0"/>
              <w:spacing w:line="360" w:lineRule="auto"/>
              <w:ind w:left="1197" w:leftChars="570"/>
              <w:rPr>
                <w:sz w:val="24"/>
                <w:szCs w:val="20"/>
                <w:u w:val="none"/>
              </w:rPr>
            </w:pPr>
            <w:r>
              <w:rPr>
                <w:sz w:val="24"/>
                <w:szCs w:val="20"/>
                <w:u w:val="none"/>
              </w:rPr>
              <w:t>Lp</w:t>
            </w:r>
            <w:r>
              <w:rPr>
                <w:sz w:val="24"/>
                <w:szCs w:val="20"/>
                <w:u w:val="none"/>
                <w:vertAlign w:val="subscript"/>
              </w:rPr>
              <w:t>2</w:t>
            </w:r>
            <w:r>
              <w:rPr>
                <w:rFonts w:hint="eastAsia"/>
                <w:sz w:val="24"/>
                <w:szCs w:val="20"/>
                <w:u w:val="none"/>
              </w:rPr>
              <w:t>－</w:t>
            </w:r>
            <w:r>
              <w:rPr>
                <w:sz w:val="24"/>
                <w:szCs w:val="20"/>
                <w:u w:val="none"/>
              </w:rPr>
              <w:t>靠近开口处（或窗户）室外某倍频带的声压级或A声级，dB（A）；</w:t>
            </w:r>
          </w:p>
          <w:p w14:paraId="706D3738">
            <w:pPr>
              <w:wordWrap w:val="0"/>
              <w:spacing w:line="360" w:lineRule="auto"/>
              <w:ind w:left="1197" w:leftChars="570"/>
              <w:rPr>
                <w:sz w:val="24"/>
                <w:szCs w:val="20"/>
                <w:u w:val="none"/>
              </w:rPr>
            </w:pPr>
            <w:r>
              <w:rPr>
                <w:sz w:val="24"/>
                <w:szCs w:val="20"/>
                <w:u w:val="none"/>
              </w:rPr>
              <w:t>TL</w:t>
            </w:r>
            <w:r>
              <w:rPr>
                <w:rFonts w:hint="eastAsia"/>
                <w:sz w:val="24"/>
                <w:szCs w:val="20"/>
                <w:u w:val="none"/>
              </w:rPr>
              <w:t>－</w:t>
            </w:r>
            <w:r>
              <w:rPr>
                <w:sz w:val="24"/>
                <w:szCs w:val="20"/>
                <w:u w:val="none"/>
              </w:rPr>
              <w:t>隔墙</w:t>
            </w:r>
            <w:r>
              <w:rPr>
                <w:rFonts w:hint="eastAsia"/>
                <w:sz w:val="24"/>
                <w:szCs w:val="20"/>
                <w:u w:val="none"/>
              </w:rPr>
              <w:t>（</w:t>
            </w:r>
            <w:r>
              <w:rPr>
                <w:sz w:val="24"/>
                <w:szCs w:val="20"/>
                <w:u w:val="none"/>
              </w:rPr>
              <w:t>或窗户</w:t>
            </w:r>
            <w:r>
              <w:rPr>
                <w:rFonts w:hint="eastAsia"/>
                <w:sz w:val="24"/>
                <w:szCs w:val="20"/>
                <w:u w:val="none"/>
              </w:rPr>
              <w:t>）</w:t>
            </w:r>
            <w:r>
              <w:rPr>
                <w:sz w:val="24"/>
                <w:szCs w:val="20"/>
                <w:u w:val="none"/>
              </w:rPr>
              <w:t>倍频带或 A 声级的隔声量，dB（A）。</w:t>
            </w:r>
          </w:p>
          <w:p w14:paraId="6F6B1FA2">
            <w:pPr>
              <w:numPr>
                <w:ilvl w:val="0"/>
                <w:numId w:val="6"/>
              </w:numPr>
              <w:wordWrap w:val="0"/>
              <w:spacing w:line="360" w:lineRule="auto"/>
              <w:ind w:firstLine="480" w:firstLineChars="200"/>
              <w:rPr>
                <w:sz w:val="24"/>
                <w:szCs w:val="20"/>
                <w:u w:val="none"/>
              </w:rPr>
            </w:pPr>
            <w:r>
              <w:rPr>
                <w:sz w:val="24"/>
                <w:szCs w:val="20"/>
                <w:u w:val="none"/>
              </w:rPr>
              <w:t>户外传播衰减</w:t>
            </w:r>
          </w:p>
          <w:p w14:paraId="3D6B200D">
            <w:pPr>
              <w:wordWrap w:val="0"/>
              <w:spacing w:line="360" w:lineRule="auto"/>
              <w:ind w:firstLine="480" w:firstLineChars="200"/>
              <w:rPr>
                <w:sz w:val="24"/>
                <w:szCs w:val="20"/>
                <w:u w:val="none"/>
              </w:rPr>
            </w:pPr>
            <w:r>
              <w:rPr>
                <w:sz w:val="24"/>
                <w:szCs w:val="20"/>
                <w:u w:val="none"/>
              </w:rPr>
              <w:t>根据《环境影响评价技术导则 声环境》（HJ</w:t>
            </w:r>
            <w:r>
              <w:rPr>
                <w:rFonts w:hint="eastAsia"/>
                <w:sz w:val="24"/>
                <w:szCs w:val="20"/>
                <w:u w:val="none"/>
              </w:rPr>
              <w:t xml:space="preserve"> </w:t>
            </w:r>
            <w:r>
              <w:rPr>
                <w:sz w:val="24"/>
                <w:szCs w:val="20"/>
                <w:u w:val="none"/>
              </w:rPr>
              <w:t>2.4-2021）附录A.2户外声传播衰减包括几何发散</w:t>
            </w:r>
            <w:r>
              <w:rPr>
                <w:rFonts w:hint="eastAsia"/>
                <w:sz w:val="24"/>
                <w:szCs w:val="20"/>
                <w:u w:val="none"/>
              </w:rPr>
              <w:t>（</w:t>
            </w:r>
            <w:r>
              <w:rPr>
                <w:sz w:val="24"/>
                <w:szCs w:val="20"/>
                <w:u w:val="none"/>
              </w:rPr>
              <w:t>Adi</w:t>
            </w:r>
            <w:r>
              <w:rPr>
                <w:rFonts w:hint="eastAsia"/>
                <w:sz w:val="24"/>
                <w:szCs w:val="20"/>
                <w:u w:val="none"/>
              </w:rPr>
              <w:t>）</w:t>
            </w:r>
            <w:r>
              <w:rPr>
                <w:sz w:val="24"/>
                <w:szCs w:val="20"/>
                <w:u w:val="none"/>
              </w:rPr>
              <w:t>、大气吸收</w:t>
            </w:r>
            <w:r>
              <w:rPr>
                <w:rFonts w:hint="eastAsia"/>
                <w:sz w:val="24"/>
                <w:szCs w:val="20"/>
                <w:u w:val="none"/>
              </w:rPr>
              <w:t>（</w:t>
            </w:r>
            <w:r>
              <w:rPr>
                <w:sz w:val="24"/>
                <w:szCs w:val="20"/>
                <w:u w:val="none"/>
              </w:rPr>
              <w:t>Aam</w:t>
            </w:r>
            <w:r>
              <w:rPr>
                <w:rFonts w:hint="eastAsia"/>
                <w:sz w:val="24"/>
                <w:szCs w:val="20"/>
                <w:u w:val="none"/>
              </w:rPr>
              <w:t>）</w:t>
            </w:r>
            <w:r>
              <w:rPr>
                <w:sz w:val="24"/>
                <w:szCs w:val="20"/>
                <w:u w:val="none"/>
              </w:rPr>
              <w:t>、地面效应</w:t>
            </w:r>
            <w:r>
              <w:rPr>
                <w:rFonts w:hint="eastAsia"/>
                <w:sz w:val="24"/>
                <w:szCs w:val="20"/>
                <w:u w:val="none"/>
              </w:rPr>
              <w:t>（</w:t>
            </w:r>
            <w:r>
              <w:rPr>
                <w:sz w:val="24"/>
                <w:szCs w:val="20"/>
                <w:u w:val="none"/>
              </w:rPr>
              <w:t>A</w:t>
            </w:r>
            <w:r>
              <w:rPr>
                <w:rFonts w:hint="eastAsia"/>
                <w:sz w:val="24"/>
                <w:szCs w:val="20"/>
                <w:u w:val="none"/>
              </w:rPr>
              <w:t>）</w:t>
            </w:r>
            <w:r>
              <w:rPr>
                <w:sz w:val="24"/>
                <w:szCs w:val="20"/>
                <w:u w:val="none"/>
              </w:rPr>
              <w:t>、障碍物屏</w:t>
            </w:r>
            <w:r>
              <w:rPr>
                <w:rFonts w:hint="eastAsia"/>
                <w:sz w:val="24"/>
                <w:szCs w:val="20"/>
                <w:u w:val="none"/>
              </w:rPr>
              <w:t>（</w:t>
            </w:r>
            <w:r>
              <w:rPr>
                <w:sz w:val="24"/>
                <w:szCs w:val="20"/>
                <w:u w:val="none"/>
              </w:rPr>
              <w:t>Aba</w:t>
            </w:r>
            <w:r>
              <w:rPr>
                <w:rFonts w:hint="eastAsia"/>
                <w:sz w:val="24"/>
                <w:szCs w:val="20"/>
                <w:u w:val="none"/>
              </w:rPr>
              <w:t>）</w:t>
            </w:r>
            <w:r>
              <w:rPr>
                <w:sz w:val="24"/>
                <w:szCs w:val="20"/>
                <w:u w:val="none"/>
              </w:rPr>
              <w:t>、其他多方面效应</w:t>
            </w:r>
            <w:r>
              <w:rPr>
                <w:rFonts w:hint="eastAsia"/>
                <w:sz w:val="24"/>
                <w:szCs w:val="20"/>
                <w:u w:val="none"/>
              </w:rPr>
              <w:t>（</w:t>
            </w:r>
            <w:r>
              <w:rPr>
                <w:sz w:val="24"/>
                <w:szCs w:val="20"/>
                <w:u w:val="none"/>
              </w:rPr>
              <w:t>Amisc</w:t>
            </w:r>
            <w:r>
              <w:rPr>
                <w:rFonts w:hint="eastAsia"/>
                <w:sz w:val="24"/>
                <w:szCs w:val="20"/>
                <w:u w:val="none"/>
              </w:rPr>
              <w:t>）</w:t>
            </w:r>
            <w:r>
              <w:rPr>
                <w:sz w:val="24"/>
                <w:szCs w:val="20"/>
                <w:u w:val="none"/>
              </w:rPr>
              <w:t>引起的衰减。</w:t>
            </w:r>
            <w:r>
              <w:rPr>
                <w:rFonts w:hint="eastAsia"/>
                <w:sz w:val="24"/>
                <w:szCs w:val="20"/>
                <w:u w:val="none"/>
              </w:rPr>
              <w:t>声环境影响评价</w:t>
            </w:r>
            <w:r>
              <w:rPr>
                <w:sz w:val="24"/>
                <w:szCs w:val="20"/>
                <w:u w:val="none"/>
              </w:rPr>
              <w:t>中，应根据声源声功率级或参考位置处的声压级、户外声传播衰减，计算预测点的声级，其公式如下：</w:t>
            </w:r>
          </w:p>
          <w:p w14:paraId="05003DF1">
            <w:pPr>
              <w:pStyle w:val="15"/>
              <w:wordWrap w:val="0"/>
              <w:jc w:val="center"/>
              <w:rPr>
                <w:u w:val="none"/>
              </w:rPr>
            </w:pPr>
            <w:r>
              <w:rPr>
                <w:u w:val="none"/>
              </w:rPr>
              <w:drawing>
                <wp:inline distT="0" distB="0" distL="114300" distR="114300">
                  <wp:extent cx="3289300" cy="240665"/>
                  <wp:effectExtent l="0" t="0" r="6350" b="698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9"/>
                          <a:stretch>
                            <a:fillRect/>
                          </a:stretch>
                        </pic:blipFill>
                        <pic:spPr>
                          <a:xfrm>
                            <a:off x="0" y="0"/>
                            <a:ext cx="3289300" cy="240665"/>
                          </a:xfrm>
                          <a:prstGeom prst="rect">
                            <a:avLst/>
                          </a:prstGeom>
                          <a:noFill/>
                          <a:ln>
                            <a:noFill/>
                          </a:ln>
                        </pic:spPr>
                      </pic:pic>
                    </a:graphicData>
                  </a:graphic>
                </wp:inline>
              </w:drawing>
            </w:r>
          </w:p>
          <w:p w14:paraId="0C3D411B">
            <w:pPr>
              <w:wordWrap w:val="0"/>
              <w:spacing w:line="360" w:lineRule="auto"/>
              <w:ind w:firstLine="480" w:firstLineChars="200"/>
              <w:rPr>
                <w:u w:val="none"/>
              </w:rPr>
            </w:pPr>
            <w:r>
              <w:rPr>
                <w:sz w:val="24"/>
                <w:szCs w:val="20"/>
                <w:u w:val="none"/>
              </w:rPr>
              <w:t>式中：Lp（r）</w:t>
            </w:r>
            <w:r>
              <w:rPr>
                <w:rFonts w:hint="eastAsia"/>
                <w:sz w:val="24"/>
                <w:szCs w:val="20"/>
                <w:u w:val="none"/>
              </w:rPr>
              <w:t>－</w:t>
            </w:r>
            <w:r>
              <w:rPr>
                <w:sz w:val="24"/>
                <w:szCs w:val="20"/>
                <w:u w:val="none"/>
              </w:rPr>
              <w:t>预测点处声压级，dB（A）；</w:t>
            </w:r>
          </w:p>
          <w:p w14:paraId="5EBC4C5F">
            <w:pPr>
              <w:wordWrap w:val="0"/>
              <w:spacing w:line="360" w:lineRule="auto"/>
              <w:ind w:firstLine="1200" w:firstLineChars="500"/>
              <w:rPr>
                <w:sz w:val="24"/>
                <w:szCs w:val="20"/>
                <w:u w:val="none"/>
              </w:rPr>
            </w:pPr>
            <w:r>
              <w:rPr>
                <w:sz w:val="24"/>
                <w:szCs w:val="20"/>
                <w:u w:val="none"/>
              </w:rPr>
              <w:t>Lw</w:t>
            </w:r>
            <w:r>
              <w:rPr>
                <w:rFonts w:hint="eastAsia"/>
                <w:sz w:val="24"/>
                <w:szCs w:val="20"/>
                <w:u w:val="none"/>
              </w:rPr>
              <w:t>－</w:t>
            </w:r>
            <w:r>
              <w:rPr>
                <w:sz w:val="24"/>
                <w:szCs w:val="20"/>
                <w:u w:val="none"/>
              </w:rPr>
              <w:t xml:space="preserve">由点声源产生的声功率级 </w:t>
            </w:r>
            <w:r>
              <w:rPr>
                <w:rFonts w:hint="eastAsia"/>
                <w:sz w:val="24"/>
                <w:szCs w:val="20"/>
                <w:u w:val="none"/>
              </w:rPr>
              <w:t>（</w:t>
            </w:r>
            <w:r>
              <w:rPr>
                <w:sz w:val="24"/>
                <w:szCs w:val="20"/>
                <w:u w:val="none"/>
              </w:rPr>
              <w:t>A计权或倍频带</w:t>
            </w:r>
            <w:r>
              <w:rPr>
                <w:rFonts w:hint="eastAsia"/>
                <w:sz w:val="24"/>
                <w:szCs w:val="20"/>
                <w:u w:val="none"/>
              </w:rPr>
              <w:t>）</w:t>
            </w:r>
            <w:r>
              <w:rPr>
                <w:sz w:val="24"/>
                <w:szCs w:val="20"/>
                <w:u w:val="none"/>
              </w:rPr>
              <w:t xml:space="preserve"> ，dB（A）；</w:t>
            </w:r>
          </w:p>
          <w:p w14:paraId="62419AA9">
            <w:pPr>
              <w:wordWrap w:val="0"/>
              <w:spacing w:line="360" w:lineRule="auto"/>
              <w:ind w:left="479" w:leftChars="228" w:firstLine="720" w:firstLineChars="300"/>
              <w:rPr>
                <w:sz w:val="24"/>
                <w:szCs w:val="20"/>
                <w:u w:val="none"/>
              </w:rPr>
            </w:pPr>
            <w:r>
              <w:rPr>
                <w:sz w:val="24"/>
                <w:szCs w:val="20"/>
                <w:u w:val="none"/>
              </w:rPr>
              <w:t>Dc</w:t>
            </w:r>
            <w:r>
              <w:rPr>
                <w:rFonts w:hint="eastAsia"/>
                <w:sz w:val="24"/>
                <w:szCs w:val="20"/>
                <w:u w:val="none"/>
              </w:rPr>
              <w:t>－</w:t>
            </w:r>
            <w:r>
              <w:rPr>
                <w:sz w:val="24"/>
                <w:szCs w:val="20"/>
                <w:u w:val="none"/>
              </w:rPr>
              <w:t>指向性校正，它描述点声源的</w:t>
            </w:r>
            <w:r>
              <w:rPr>
                <w:sz w:val="24"/>
                <w:szCs w:val="20"/>
                <w:u w:val="thick" w:color="FFB03A"/>
                <w:shd w:val="clear" w:fill="FFEFD7"/>
              </w:rPr>
              <w:t>等效连续声压级</w:t>
            </w:r>
            <w:r>
              <w:rPr>
                <w:sz w:val="24"/>
                <w:szCs w:val="20"/>
                <w:u w:val="none"/>
              </w:rPr>
              <w:t>与产生声功率级Lw的全向点声源在规定方向的声级的偏差程度，dB（A）；</w:t>
            </w:r>
          </w:p>
          <w:p w14:paraId="27B98BFB">
            <w:pPr>
              <w:wordWrap w:val="0"/>
              <w:spacing w:line="360" w:lineRule="auto"/>
              <w:ind w:firstLine="1200" w:firstLineChars="500"/>
              <w:rPr>
                <w:sz w:val="24"/>
                <w:szCs w:val="20"/>
                <w:u w:val="none"/>
              </w:rPr>
            </w:pPr>
            <w:r>
              <w:rPr>
                <w:sz w:val="24"/>
                <w:szCs w:val="20"/>
                <w:u w:val="none"/>
              </w:rPr>
              <w:t>Adiv</w:t>
            </w:r>
            <w:r>
              <w:rPr>
                <w:rFonts w:hint="eastAsia"/>
                <w:sz w:val="24"/>
                <w:szCs w:val="20"/>
                <w:u w:val="none"/>
              </w:rPr>
              <w:t>－</w:t>
            </w:r>
            <w:r>
              <w:rPr>
                <w:sz w:val="24"/>
                <w:szCs w:val="20"/>
                <w:u w:val="none"/>
              </w:rPr>
              <w:t>几何发散引起的衰减，dB（A）；</w:t>
            </w:r>
          </w:p>
          <w:p w14:paraId="0442FE33">
            <w:pPr>
              <w:wordWrap w:val="0"/>
              <w:spacing w:line="360" w:lineRule="auto"/>
              <w:ind w:firstLine="1200" w:firstLineChars="500"/>
              <w:rPr>
                <w:sz w:val="24"/>
                <w:szCs w:val="20"/>
                <w:u w:val="none"/>
              </w:rPr>
            </w:pPr>
            <w:r>
              <w:rPr>
                <w:sz w:val="24"/>
                <w:szCs w:val="20"/>
                <w:u w:val="none"/>
              </w:rPr>
              <w:t>Aatm</w:t>
            </w:r>
            <w:r>
              <w:rPr>
                <w:rFonts w:hint="eastAsia"/>
                <w:sz w:val="24"/>
                <w:szCs w:val="20"/>
                <w:u w:val="none"/>
              </w:rPr>
              <w:t>－</w:t>
            </w:r>
            <w:r>
              <w:rPr>
                <w:sz w:val="24"/>
                <w:szCs w:val="20"/>
                <w:u w:val="none"/>
              </w:rPr>
              <w:t>大气吸收引起的衰减，dB（A）；</w:t>
            </w:r>
          </w:p>
          <w:p w14:paraId="5881CA25">
            <w:pPr>
              <w:wordWrap w:val="0"/>
              <w:spacing w:line="360" w:lineRule="auto"/>
              <w:ind w:firstLine="1200" w:firstLineChars="500"/>
              <w:rPr>
                <w:sz w:val="24"/>
                <w:szCs w:val="20"/>
                <w:u w:val="none"/>
              </w:rPr>
            </w:pPr>
            <w:r>
              <w:rPr>
                <w:sz w:val="24"/>
                <w:szCs w:val="20"/>
                <w:u w:val="none"/>
              </w:rPr>
              <w:t>Agr</w:t>
            </w:r>
            <w:r>
              <w:rPr>
                <w:rFonts w:hint="eastAsia"/>
                <w:sz w:val="24"/>
                <w:szCs w:val="20"/>
                <w:u w:val="none"/>
              </w:rPr>
              <w:t>－</w:t>
            </w:r>
            <w:r>
              <w:rPr>
                <w:sz w:val="24"/>
                <w:szCs w:val="20"/>
                <w:u w:val="none"/>
              </w:rPr>
              <w:t>地面效应引起的衰减，dB（A）；</w:t>
            </w:r>
          </w:p>
          <w:p w14:paraId="697DED30">
            <w:pPr>
              <w:wordWrap w:val="0"/>
              <w:spacing w:line="360" w:lineRule="auto"/>
              <w:ind w:firstLine="1200" w:firstLineChars="500"/>
              <w:rPr>
                <w:sz w:val="24"/>
                <w:szCs w:val="20"/>
                <w:u w:val="none"/>
              </w:rPr>
            </w:pPr>
            <w:r>
              <w:rPr>
                <w:sz w:val="24"/>
                <w:szCs w:val="20"/>
                <w:u w:val="none"/>
              </w:rPr>
              <w:t>Abar</w:t>
            </w:r>
            <w:r>
              <w:rPr>
                <w:rFonts w:hint="eastAsia"/>
                <w:sz w:val="24"/>
                <w:szCs w:val="20"/>
                <w:u w:val="none"/>
              </w:rPr>
              <w:t>－</w:t>
            </w:r>
            <w:r>
              <w:rPr>
                <w:sz w:val="24"/>
                <w:szCs w:val="20"/>
                <w:u w:val="none"/>
              </w:rPr>
              <w:t>障碍物屏蔽引起的衰减，dB（A）；</w:t>
            </w:r>
          </w:p>
          <w:p w14:paraId="2040D4B7">
            <w:pPr>
              <w:wordWrap w:val="0"/>
              <w:spacing w:line="360" w:lineRule="auto"/>
              <w:ind w:firstLine="1200" w:firstLineChars="500"/>
              <w:rPr>
                <w:sz w:val="24"/>
                <w:szCs w:val="20"/>
                <w:u w:val="none"/>
              </w:rPr>
            </w:pPr>
            <w:r>
              <w:rPr>
                <w:sz w:val="24"/>
                <w:szCs w:val="20"/>
                <w:u w:val="none"/>
              </w:rPr>
              <w:t>Amisc</w:t>
            </w:r>
            <w:r>
              <w:rPr>
                <w:rFonts w:hint="eastAsia"/>
                <w:sz w:val="24"/>
                <w:szCs w:val="20"/>
                <w:u w:val="none"/>
              </w:rPr>
              <w:t>－</w:t>
            </w:r>
            <w:r>
              <w:rPr>
                <w:sz w:val="24"/>
                <w:szCs w:val="20"/>
                <w:u w:val="none"/>
              </w:rPr>
              <w:t>其他多方面效应引起的衰减，dB（A）。</w:t>
            </w:r>
          </w:p>
          <w:p w14:paraId="431ECE74">
            <w:pPr>
              <w:wordWrap w:val="0"/>
              <w:spacing w:line="360" w:lineRule="auto"/>
              <w:ind w:firstLine="480" w:firstLineChars="200"/>
              <w:rPr>
                <w:sz w:val="24"/>
                <w:u w:val="none"/>
              </w:rPr>
            </w:pPr>
            <w:r>
              <w:rPr>
                <w:sz w:val="24"/>
                <w:szCs w:val="20"/>
                <w:u w:val="none"/>
              </w:rPr>
              <w:t>此次环评不予考虑空气吸收、地面效应、屏障屏蔽、其他多方面效应引起的</w:t>
            </w:r>
            <w:r>
              <w:rPr>
                <w:sz w:val="24"/>
                <w:u w:val="none"/>
              </w:rPr>
              <w:t>衰减，故Aatm、Agr、Abar、Amisc取值为0。</w:t>
            </w:r>
          </w:p>
          <w:p w14:paraId="4A62F867">
            <w:pPr>
              <w:numPr>
                <w:ilvl w:val="0"/>
                <w:numId w:val="6"/>
              </w:numPr>
              <w:wordWrap w:val="0"/>
              <w:spacing w:line="360" w:lineRule="auto"/>
              <w:ind w:firstLine="480" w:firstLineChars="200"/>
              <w:rPr>
                <w:sz w:val="24"/>
                <w:szCs w:val="20"/>
                <w:u w:val="none"/>
              </w:rPr>
            </w:pPr>
            <w:r>
              <w:rPr>
                <w:sz w:val="24"/>
                <w:szCs w:val="20"/>
                <w:u w:val="none"/>
              </w:rPr>
              <w:t>声压级合成模式</w:t>
            </w:r>
          </w:p>
          <w:p w14:paraId="5BF9DB59">
            <w:pPr>
              <w:wordWrap w:val="0"/>
              <w:spacing w:line="360" w:lineRule="auto"/>
              <w:jc w:val="center"/>
              <w:rPr>
                <w:sz w:val="24"/>
                <w:u w:val="none"/>
              </w:rPr>
            </w:pPr>
            <w:r>
              <w:rPr>
                <w:sz w:val="24"/>
                <w:u w:val="none"/>
              </w:rPr>
              <w:drawing>
                <wp:inline distT="0" distB="0" distL="114300" distR="114300">
                  <wp:extent cx="1456055" cy="416560"/>
                  <wp:effectExtent l="0" t="0" r="10795" b="254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20"/>
                          <a:stretch>
                            <a:fillRect/>
                          </a:stretch>
                        </pic:blipFill>
                        <pic:spPr>
                          <a:xfrm>
                            <a:off x="0" y="0"/>
                            <a:ext cx="1456055" cy="416560"/>
                          </a:xfrm>
                          <a:prstGeom prst="rect">
                            <a:avLst/>
                          </a:prstGeom>
                          <a:noFill/>
                          <a:ln>
                            <a:noFill/>
                          </a:ln>
                        </pic:spPr>
                      </pic:pic>
                    </a:graphicData>
                  </a:graphic>
                </wp:inline>
              </w:drawing>
            </w:r>
          </w:p>
          <w:p w14:paraId="0A2F400A">
            <w:pPr>
              <w:widowControl/>
              <w:wordWrap w:val="0"/>
              <w:spacing w:line="360" w:lineRule="auto"/>
              <w:ind w:firstLine="480" w:firstLineChars="200"/>
              <w:jc w:val="left"/>
              <w:rPr>
                <w:kern w:val="0"/>
                <w:sz w:val="24"/>
                <w:u w:val="none"/>
                <w:lang w:bidi="ar"/>
              </w:rPr>
            </w:pPr>
            <w:r>
              <w:rPr>
                <w:kern w:val="0"/>
                <w:sz w:val="24"/>
                <w:u w:val="none"/>
                <w:lang w:bidi="ar"/>
              </w:rPr>
              <w:t>式中：Leq</w:t>
            </w:r>
            <w:r>
              <w:rPr>
                <w:rFonts w:hint="eastAsia"/>
                <w:sz w:val="24"/>
                <w:szCs w:val="20"/>
                <w:u w:val="none"/>
              </w:rPr>
              <w:t>－</w:t>
            </w:r>
            <w:r>
              <w:rPr>
                <w:kern w:val="0"/>
                <w:sz w:val="24"/>
                <w:u w:val="none"/>
                <w:lang w:bidi="ar"/>
              </w:rPr>
              <w:t xml:space="preserve">预测点总声压级，dB（A）； </w:t>
            </w:r>
          </w:p>
          <w:p w14:paraId="5D356ED7">
            <w:pPr>
              <w:widowControl/>
              <w:wordWrap w:val="0"/>
              <w:spacing w:line="360" w:lineRule="auto"/>
              <w:ind w:firstLine="1200" w:firstLineChars="500"/>
              <w:jc w:val="left"/>
              <w:rPr>
                <w:kern w:val="0"/>
                <w:sz w:val="24"/>
                <w:u w:val="none"/>
                <w:lang w:bidi="ar"/>
              </w:rPr>
            </w:pPr>
            <w:r>
              <w:rPr>
                <w:kern w:val="0"/>
                <w:sz w:val="24"/>
                <w:u w:val="none"/>
                <w:lang w:bidi="ar"/>
              </w:rPr>
              <w:t>Li</w:t>
            </w:r>
            <w:r>
              <w:rPr>
                <w:rFonts w:hint="eastAsia"/>
                <w:sz w:val="24"/>
                <w:szCs w:val="20"/>
                <w:u w:val="none"/>
              </w:rPr>
              <w:t>－</w:t>
            </w:r>
            <w:r>
              <w:rPr>
                <w:kern w:val="0"/>
                <w:sz w:val="24"/>
                <w:u w:val="none"/>
                <w:lang w:bidi="ar"/>
              </w:rPr>
              <w:t>第i个点声源在预测点产生的 A 声压级，dB（A）；</w:t>
            </w:r>
          </w:p>
          <w:p w14:paraId="689739FF">
            <w:pPr>
              <w:wordWrap w:val="0"/>
              <w:spacing w:line="360" w:lineRule="auto"/>
              <w:ind w:firstLine="1200" w:firstLineChars="500"/>
              <w:rPr>
                <w:sz w:val="24"/>
                <w:szCs w:val="20"/>
                <w:u w:val="none"/>
              </w:rPr>
            </w:pPr>
            <w:r>
              <w:rPr>
                <w:sz w:val="24"/>
                <w:szCs w:val="20"/>
                <w:u w:val="none"/>
              </w:rPr>
              <w:t>N</w:t>
            </w:r>
            <w:r>
              <w:rPr>
                <w:rFonts w:hint="eastAsia"/>
                <w:sz w:val="24"/>
                <w:szCs w:val="20"/>
                <w:u w:val="none"/>
              </w:rPr>
              <w:t>－</w:t>
            </w:r>
            <w:r>
              <w:rPr>
                <w:sz w:val="24"/>
                <w:szCs w:val="20"/>
                <w:u w:val="none"/>
              </w:rPr>
              <w:t>声源个数。</w:t>
            </w:r>
          </w:p>
          <w:p w14:paraId="71D4D696">
            <w:pPr>
              <w:numPr>
                <w:ilvl w:val="0"/>
                <w:numId w:val="6"/>
              </w:numPr>
              <w:wordWrap w:val="0"/>
              <w:spacing w:line="360" w:lineRule="auto"/>
              <w:ind w:firstLine="480" w:firstLineChars="200"/>
              <w:rPr>
                <w:sz w:val="24"/>
                <w:szCs w:val="20"/>
                <w:u w:val="none"/>
              </w:rPr>
            </w:pPr>
            <w:r>
              <w:rPr>
                <w:sz w:val="24"/>
                <w:szCs w:val="20"/>
                <w:u w:val="none"/>
              </w:rPr>
              <w:t>噪声预测值</w:t>
            </w:r>
          </w:p>
          <w:p w14:paraId="0C449DED">
            <w:pPr>
              <w:wordWrap w:val="0"/>
              <w:spacing w:line="360" w:lineRule="auto"/>
              <w:ind w:firstLine="480" w:firstLineChars="200"/>
              <w:rPr>
                <w:sz w:val="24"/>
                <w:szCs w:val="20"/>
                <w:u w:val="none"/>
              </w:rPr>
            </w:pPr>
            <w:r>
              <w:rPr>
                <w:sz w:val="24"/>
                <w:szCs w:val="20"/>
                <w:u w:val="none"/>
              </w:rPr>
              <w:t>噪声预测值为预测点的贡献值和背景值按能量叠加方法计算得到的声级。</w:t>
            </w:r>
          </w:p>
          <w:p w14:paraId="35773E7E">
            <w:pPr>
              <w:pStyle w:val="15"/>
              <w:wordWrap w:val="0"/>
              <w:spacing w:line="360" w:lineRule="auto"/>
              <w:jc w:val="center"/>
              <w:rPr>
                <w:u w:val="none"/>
              </w:rPr>
            </w:pPr>
            <w:r>
              <w:rPr>
                <w:u w:val="none"/>
              </w:rPr>
              <w:drawing>
                <wp:inline distT="0" distB="0" distL="114300" distR="114300">
                  <wp:extent cx="2602865" cy="431800"/>
                  <wp:effectExtent l="0" t="0" r="6985" b="635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1"/>
                          <a:stretch>
                            <a:fillRect/>
                          </a:stretch>
                        </pic:blipFill>
                        <pic:spPr>
                          <a:xfrm>
                            <a:off x="0" y="0"/>
                            <a:ext cx="2602865" cy="431800"/>
                          </a:xfrm>
                          <a:prstGeom prst="rect">
                            <a:avLst/>
                          </a:prstGeom>
                          <a:noFill/>
                          <a:ln>
                            <a:noFill/>
                          </a:ln>
                        </pic:spPr>
                      </pic:pic>
                    </a:graphicData>
                  </a:graphic>
                </wp:inline>
              </w:drawing>
            </w:r>
          </w:p>
          <w:p w14:paraId="73FE8CC6">
            <w:pPr>
              <w:wordWrap w:val="0"/>
              <w:spacing w:line="360" w:lineRule="auto"/>
              <w:ind w:firstLine="720" w:firstLineChars="300"/>
              <w:rPr>
                <w:kern w:val="0"/>
                <w:sz w:val="24"/>
                <w:u w:val="none"/>
                <w:lang w:bidi="ar"/>
              </w:rPr>
            </w:pPr>
            <w:r>
              <w:rPr>
                <w:kern w:val="0"/>
                <w:sz w:val="24"/>
                <w:u w:val="none"/>
                <w:lang w:bidi="ar"/>
              </w:rPr>
              <w:t>式中：Leq</w:t>
            </w:r>
            <w:r>
              <w:rPr>
                <w:rFonts w:hint="eastAsia"/>
                <w:sz w:val="24"/>
                <w:szCs w:val="20"/>
                <w:u w:val="none"/>
              </w:rPr>
              <w:t>－</w:t>
            </w:r>
            <w:r>
              <w:rPr>
                <w:kern w:val="0"/>
                <w:sz w:val="24"/>
                <w:u w:val="none"/>
                <w:lang w:bidi="ar"/>
              </w:rPr>
              <w:t>预测点的噪声预测值，dB（A）；</w:t>
            </w:r>
          </w:p>
          <w:p w14:paraId="5CCB84F7">
            <w:pPr>
              <w:wordWrap w:val="0"/>
              <w:spacing w:line="360" w:lineRule="auto"/>
              <w:ind w:firstLine="1440" w:firstLineChars="600"/>
              <w:rPr>
                <w:kern w:val="0"/>
                <w:sz w:val="24"/>
                <w:u w:val="none"/>
                <w:lang w:bidi="ar"/>
              </w:rPr>
            </w:pPr>
            <w:r>
              <w:rPr>
                <w:kern w:val="0"/>
                <w:sz w:val="24"/>
                <w:u w:val="none"/>
                <w:lang w:bidi="ar"/>
              </w:rPr>
              <w:t>Leqg</w:t>
            </w:r>
            <w:r>
              <w:rPr>
                <w:rFonts w:hint="eastAsia"/>
                <w:sz w:val="24"/>
                <w:szCs w:val="20"/>
                <w:u w:val="none"/>
              </w:rPr>
              <w:t>－</w:t>
            </w:r>
            <w:r>
              <w:rPr>
                <w:sz w:val="24"/>
                <w:u w:val="none"/>
              </w:rPr>
              <w:t>建设项目声源在预测点产生的噪声贡献值，</w:t>
            </w:r>
            <w:r>
              <w:rPr>
                <w:kern w:val="0"/>
                <w:sz w:val="24"/>
                <w:u w:val="none"/>
                <w:lang w:bidi="ar"/>
              </w:rPr>
              <w:t>dB（A）；</w:t>
            </w:r>
          </w:p>
          <w:p w14:paraId="6AFE9B3D">
            <w:pPr>
              <w:widowControl/>
              <w:wordWrap w:val="0"/>
              <w:spacing w:line="360" w:lineRule="auto"/>
              <w:ind w:firstLine="1440" w:firstLineChars="600"/>
              <w:jc w:val="left"/>
              <w:rPr>
                <w:u w:val="none"/>
              </w:rPr>
            </w:pPr>
            <w:r>
              <w:rPr>
                <w:kern w:val="0"/>
                <w:sz w:val="24"/>
                <w:u w:val="none"/>
                <w:lang w:bidi="ar"/>
              </w:rPr>
              <w:t>Leqb</w:t>
            </w:r>
            <w:r>
              <w:rPr>
                <w:rFonts w:hint="eastAsia"/>
                <w:sz w:val="24"/>
                <w:szCs w:val="20"/>
                <w:u w:val="none"/>
              </w:rPr>
              <w:t>－</w:t>
            </w:r>
            <w:r>
              <w:rPr>
                <w:sz w:val="24"/>
                <w:u w:val="none"/>
              </w:rPr>
              <w:t>预测点的背景噪声值，</w:t>
            </w:r>
            <w:r>
              <w:rPr>
                <w:kern w:val="0"/>
                <w:sz w:val="24"/>
                <w:u w:val="none"/>
                <w:lang w:bidi="ar"/>
              </w:rPr>
              <w:t>dB（A）。</w:t>
            </w:r>
          </w:p>
          <w:p w14:paraId="16CCD1C8">
            <w:pPr>
              <w:wordWrap w:val="0"/>
              <w:snapToGrid w:val="0"/>
              <w:spacing w:line="360" w:lineRule="auto"/>
              <w:ind w:firstLine="480" w:firstLineChars="200"/>
              <w:rPr>
                <w:sz w:val="24"/>
                <w:u w:val="none"/>
              </w:rPr>
            </w:pPr>
            <w:r>
              <w:rPr>
                <w:sz w:val="24"/>
                <w:u w:val="none"/>
              </w:rPr>
              <w:t>本项目噪声预测基础数据见下表。</w:t>
            </w:r>
          </w:p>
          <w:p w14:paraId="1BC7826F">
            <w:pPr>
              <w:pStyle w:val="43"/>
              <w:jc w:val="center"/>
              <w:rPr>
                <w:rFonts w:ascii="Times New Roman" w:hAnsi="Times New Roman" w:cs="Times New Roman"/>
                <w:b/>
                <w:bCs/>
                <w:color w:val="auto"/>
                <w:sz w:val="21"/>
                <w:szCs w:val="21"/>
                <w:u w:val="none"/>
              </w:rPr>
            </w:pPr>
            <w:r>
              <w:rPr>
                <w:rFonts w:ascii="Times New Roman" w:hAnsi="Times New Roman" w:cs="Times New Roman"/>
                <w:b/>
                <w:bCs/>
                <w:color w:val="auto"/>
                <w:sz w:val="21"/>
                <w:szCs w:val="21"/>
                <w:u w:val="none"/>
              </w:rPr>
              <w:t>表4-</w:t>
            </w:r>
            <w:r>
              <w:rPr>
                <w:rFonts w:hint="eastAsia" w:ascii="Times New Roman" w:hAnsi="Times New Roman" w:cs="Times New Roman"/>
                <w:b/>
                <w:bCs/>
                <w:color w:val="auto"/>
                <w:sz w:val="21"/>
                <w:szCs w:val="21"/>
                <w:u w:val="none"/>
              </w:rPr>
              <w:t>9</w:t>
            </w:r>
            <w:r>
              <w:rPr>
                <w:rFonts w:ascii="Times New Roman" w:hAnsi="Times New Roman" w:cs="Times New Roman"/>
                <w:b/>
                <w:bCs/>
                <w:color w:val="auto"/>
                <w:sz w:val="21"/>
                <w:szCs w:val="21"/>
                <w:u w:val="none"/>
              </w:rPr>
              <w:t xml:space="preserve">  项目噪声环境影响预测基础数据表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2230"/>
              <w:gridCol w:w="2787"/>
              <w:gridCol w:w="2012"/>
            </w:tblGrid>
            <w:tr w14:paraId="39A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4A5BF2CC">
                  <w:pPr>
                    <w:adjustRightInd w:val="0"/>
                    <w:snapToGrid w:val="0"/>
                    <w:jc w:val="center"/>
                    <w:rPr>
                      <w:bCs/>
                      <w:szCs w:val="21"/>
                      <w:u w:val="none"/>
                    </w:rPr>
                  </w:pPr>
                  <w:r>
                    <w:rPr>
                      <w:bCs/>
                      <w:szCs w:val="21"/>
                      <w:u w:val="none"/>
                    </w:rPr>
                    <w:t>序号</w:t>
                  </w:r>
                </w:p>
              </w:tc>
              <w:tc>
                <w:tcPr>
                  <w:tcW w:w="2268" w:type="dxa"/>
                  <w:vAlign w:val="center"/>
                </w:tcPr>
                <w:p w14:paraId="75290A0C">
                  <w:pPr>
                    <w:adjustRightInd w:val="0"/>
                    <w:snapToGrid w:val="0"/>
                    <w:jc w:val="center"/>
                    <w:rPr>
                      <w:szCs w:val="21"/>
                      <w:u w:val="none"/>
                    </w:rPr>
                  </w:pPr>
                  <w:r>
                    <w:rPr>
                      <w:szCs w:val="21"/>
                      <w:u w:val="none"/>
                    </w:rPr>
                    <w:t>名称</w:t>
                  </w:r>
                </w:p>
              </w:tc>
              <w:tc>
                <w:tcPr>
                  <w:tcW w:w="2835" w:type="dxa"/>
                  <w:vAlign w:val="center"/>
                </w:tcPr>
                <w:p w14:paraId="690F716E">
                  <w:pPr>
                    <w:adjustRightInd w:val="0"/>
                    <w:snapToGrid w:val="0"/>
                    <w:jc w:val="center"/>
                    <w:rPr>
                      <w:szCs w:val="21"/>
                      <w:u w:val="none"/>
                    </w:rPr>
                  </w:pPr>
                  <w:r>
                    <w:rPr>
                      <w:szCs w:val="21"/>
                      <w:u w:val="none"/>
                    </w:rPr>
                    <w:t>单位</w:t>
                  </w:r>
                </w:p>
              </w:tc>
              <w:tc>
                <w:tcPr>
                  <w:tcW w:w="2042" w:type="dxa"/>
                  <w:vAlign w:val="center"/>
                </w:tcPr>
                <w:p w14:paraId="3EEEEF02">
                  <w:pPr>
                    <w:adjustRightInd w:val="0"/>
                    <w:snapToGrid w:val="0"/>
                    <w:jc w:val="center"/>
                    <w:rPr>
                      <w:szCs w:val="21"/>
                      <w:u w:val="none"/>
                    </w:rPr>
                  </w:pPr>
                  <w:r>
                    <w:rPr>
                      <w:szCs w:val="21"/>
                      <w:u w:val="none"/>
                    </w:rPr>
                    <w:t>数据</w:t>
                  </w:r>
                </w:p>
              </w:tc>
            </w:tr>
            <w:tr w14:paraId="4C4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65454D5F">
                  <w:pPr>
                    <w:adjustRightInd w:val="0"/>
                    <w:snapToGrid w:val="0"/>
                    <w:jc w:val="center"/>
                    <w:rPr>
                      <w:szCs w:val="21"/>
                      <w:u w:val="none"/>
                    </w:rPr>
                  </w:pPr>
                  <w:r>
                    <w:rPr>
                      <w:szCs w:val="21"/>
                      <w:u w:val="none"/>
                    </w:rPr>
                    <w:t>1</w:t>
                  </w:r>
                </w:p>
              </w:tc>
              <w:tc>
                <w:tcPr>
                  <w:tcW w:w="2268" w:type="dxa"/>
                  <w:vAlign w:val="center"/>
                </w:tcPr>
                <w:p w14:paraId="2DF38A5E">
                  <w:pPr>
                    <w:adjustRightInd w:val="0"/>
                    <w:snapToGrid w:val="0"/>
                    <w:jc w:val="center"/>
                    <w:rPr>
                      <w:szCs w:val="21"/>
                      <w:u w:val="none"/>
                    </w:rPr>
                  </w:pPr>
                  <w:r>
                    <w:rPr>
                      <w:szCs w:val="21"/>
                      <w:u w:val="none"/>
                    </w:rPr>
                    <w:t>年平均风速</w:t>
                  </w:r>
                </w:p>
              </w:tc>
              <w:tc>
                <w:tcPr>
                  <w:tcW w:w="2835" w:type="dxa"/>
                  <w:vAlign w:val="center"/>
                </w:tcPr>
                <w:p w14:paraId="1C663538">
                  <w:pPr>
                    <w:adjustRightInd w:val="0"/>
                    <w:snapToGrid w:val="0"/>
                    <w:jc w:val="center"/>
                    <w:rPr>
                      <w:szCs w:val="21"/>
                      <w:u w:val="none"/>
                    </w:rPr>
                  </w:pPr>
                  <w:r>
                    <w:rPr>
                      <w:szCs w:val="21"/>
                      <w:u w:val="none"/>
                    </w:rPr>
                    <w:t>m/s</w:t>
                  </w:r>
                </w:p>
              </w:tc>
              <w:tc>
                <w:tcPr>
                  <w:tcW w:w="2042" w:type="dxa"/>
                  <w:vAlign w:val="center"/>
                </w:tcPr>
                <w:p w14:paraId="7643143E">
                  <w:pPr>
                    <w:adjustRightInd w:val="0"/>
                    <w:snapToGrid w:val="0"/>
                    <w:jc w:val="center"/>
                    <w:rPr>
                      <w:szCs w:val="21"/>
                      <w:u w:val="none"/>
                    </w:rPr>
                  </w:pPr>
                  <w:r>
                    <w:rPr>
                      <w:rFonts w:hint="eastAsia"/>
                      <w:szCs w:val="21"/>
                      <w:u w:val="none"/>
                    </w:rPr>
                    <w:t>3.4</w:t>
                  </w:r>
                </w:p>
              </w:tc>
            </w:tr>
            <w:tr w14:paraId="629A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15B644F0">
                  <w:pPr>
                    <w:adjustRightInd w:val="0"/>
                    <w:snapToGrid w:val="0"/>
                    <w:jc w:val="center"/>
                    <w:rPr>
                      <w:szCs w:val="21"/>
                      <w:u w:val="none"/>
                    </w:rPr>
                  </w:pPr>
                  <w:r>
                    <w:rPr>
                      <w:szCs w:val="21"/>
                      <w:u w:val="none"/>
                    </w:rPr>
                    <w:t>2</w:t>
                  </w:r>
                </w:p>
              </w:tc>
              <w:tc>
                <w:tcPr>
                  <w:tcW w:w="2268" w:type="dxa"/>
                  <w:vAlign w:val="center"/>
                </w:tcPr>
                <w:p w14:paraId="498C0063">
                  <w:pPr>
                    <w:adjustRightInd w:val="0"/>
                    <w:snapToGrid w:val="0"/>
                    <w:jc w:val="center"/>
                    <w:rPr>
                      <w:szCs w:val="21"/>
                      <w:u w:val="none"/>
                    </w:rPr>
                  </w:pPr>
                  <w:r>
                    <w:rPr>
                      <w:szCs w:val="21"/>
                      <w:u w:val="none"/>
                    </w:rPr>
                    <w:t>主导风向</w:t>
                  </w:r>
                </w:p>
              </w:tc>
              <w:tc>
                <w:tcPr>
                  <w:tcW w:w="2835" w:type="dxa"/>
                  <w:vAlign w:val="center"/>
                </w:tcPr>
                <w:p w14:paraId="6E3E4B46">
                  <w:pPr>
                    <w:adjustRightInd w:val="0"/>
                    <w:snapToGrid w:val="0"/>
                    <w:jc w:val="center"/>
                    <w:rPr>
                      <w:szCs w:val="21"/>
                      <w:u w:val="none"/>
                    </w:rPr>
                  </w:pPr>
                  <w:r>
                    <w:rPr>
                      <w:szCs w:val="21"/>
                      <w:u w:val="none"/>
                    </w:rPr>
                    <w:t>/</w:t>
                  </w:r>
                </w:p>
              </w:tc>
              <w:tc>
                <w:tcPr>
                  <w:tcW w:w="2042" w:type="dxa"/>
                  <w:vAlign w:val="center"/>
                </w:tcPr>
                <w:p w14:paraId="4A0BA5AC">
                  <w:pPr>
                    <w:adjustRightInd w:val="0"/>
                    <w:snapToGrid w:val="0"/>
                    <w:jc w:val="center"/>
                    <w:rPr>
                      <w:szCs w:val="21"/>
                      <w:u w:val="none"/>
                    </w:rPr>
                  </w:pPr>
                  <w:r>
                    <w:rPr>
                      <w:szCs w:val="21"/>
                      <w:u w:val="none"/>
                    </w:rPr>
                    <w:t>西南风</w:t>
                  </w:r>
                </w:p>
              </w:tc>
            </w:tr>
            <w:tr w14:paraId="09FC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55329980">
                  <w:pPr>
                    <w:adjustRightInd w:val="0"/>
                    <w:snapToGrid w:val="0"/>
                    <w:jc w:val="center"/>
                    <w:rPr>
                      <w:szCs w:val="21"/>
                      <w:u w:val="none"/>
                    </w:rPr>
                  </w:pPr>
                  <w:r>
                    <w:rPr>
                      <w:szCs w:val="21"/>
                      <w:u w:val="none"/>
                    </w:rPr>
                    <w:t>3</w:t>
                  </w:r>
                </w:p>
              </w:tc>
              <w:tc>
                <w:tcPr>
                  <w:tcW w:w="2268" w:type="dxa"/>
                  <w:vAlign w:val="center"/>
                </w:tcPr>
                <w:p w14:paraId="4D221183">
                  <w:pPr>
                    <w:adjustRightInd w:val="0"/>
                    <w:snapToGrid w:val="0"/>
                    <w:jc w:val="center"/>
                    <w:rPr>
                      <w:szCs w:val="21"/>
                      <w:u w:val="none"/>
                    </w:rPr>
                  </w:pPr>
                  <w:r>
                    <w:rPr>
                      <w:szCs w:val="21"/>
                      <w:u w:val="none"/>
                    </w:rPr>
                    <w:t>年平均气温</w:t>
                  </w:r>
                </w:p>
              </w:tc>
              <w:tc>
                <w:tcPr>
                  <w:tcW w:w="2835" w:type="dxa"/>
                  <w:vAlign w:val="center"/>
                </w:tcPr>
                <w:p w14:paraId="74021ABE">
                  <w:pPr>
                    <w:adjustRightInd w:val="0"/>
                    <w:snapToGrid w:val="0"/>
                    <w:jc w:val="center"/>
                    <w:rPr>
                      <w:szCs w:val="21"/>
                      <w:u w:val="none"/>
                    </w:rPr>
                  </w:pPr>
                  <w:r>
                    <w:rPr>
                      <w:rFonts w:hint="eastAsia" w:ascii="宋体" w:hAnsi="宋体" w:cs="宋体"/>
                      <w:szCs w:val="21"/>
                      <w:u w:val="none"/>
                    </w:rPr>
                    <w:t>℃</w:t>
                  </w:r>
                </w:p>
              </w:tc>
              <w:tc>
                <w:tcPr>
                  <w:tcW w:w="2042" w:type="dxa"/>
                  <w:vAlign w:val="center"/>
                </w:tcPr>
                <w:p w14:paraId="3F7BDCBD">
                  <w:pPr>
                    <w:adjustRightInd w:val="0"/>
                    <w:snapToGrid w:val="0"/>
                    <w:jc w:val="center"/>
                    <w:rPr>
                      <w:szCs w:val="21"/>
                      <w:u w:val="none"/>
                    </w:rPr>
                  </w:pPr>
                  <w:r>
                    <w:rPr>
                      <w:rFonts w:hint="eastAsia"/>
                      <w:szCs w:val="21"/>
                      <w:u w:val="none"/>
                    </w:rPr>
                    <w:t>15.9</w:t>
                  </w:r>
                </w:p>
              </w:tc>
            </w:tr>
            <w:tr w14:paraId="583E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5D9BDED5">
                  <w:pPr>
                    <w:adjustRightInd w:val="0"/>
                    <w:snapToGrid w:val="0"/>
                    <w:jc w:val="center"/>
                    <w:rPr>
                      <w:szCs w:val="21"/>
                      <w:u w:val="none"/>
                    </w:rPr>
                  </w:pPr>
                  <w:r>
                    <w:rPr>
                      <w:szCs w:val="21"/>
                      <w:u w:val="none"/>
                    </w:rPr>
                    <w:t>4</w:t>
                  </w:r>
                </w:p>
              </w:tc>
              <w:tc>
                <w:tcPr>
                  <w:tcW w:w="2268" w:type="dxa"/>
                  <w:vAlign w:val="center"/>
                </w:tcPr>
                <w:p w14:paraId="23832DCA">
                  <w:pPr>
                    <w:adjustRightInd w:val="0"/>
                    <w:snapToGrid w:val="0"/>
                    <w:jc w:val="center"/>
                    <w:rPr>
                      <w:szCs w:val="21"/>
                      <w:u w:val="none"/>
                    </w:rPr>
                  </w:pPr>
                  <w:r>
                    <w:rPr>
                      <w:szCs w:val="21"/>
                      <w:u w:val="none"/>
                    </w:rPr>
                    <w:t>年平均相对湿度</w:t>
                  </w:r>
                </w:p>
              </w:tc>
              <w:tc>
                <w:tcPr>
                  <w:tcW w:w="2835" w:type="dxa"/>
                  <w:vAlign w:val="center"/>
                </w:tcPr>
                <w:p w14:paraId="28EBA6EB">
                  <w:pPr>
                    <w:adjustRightInd w:val="0"/>
                    <w:snapToGrid w:val="0"/>
                    <w:jc w:val="center"/>
                    <w:rPr>
                      <w:szCs w:val="21"/>
                      <w:u w:val="none"/>
                    </w:rPr>
                  </w:pPr>
                  <w:r>
                    <w:rPr>
                      <w:szCs w:val="21"/>
                      <w:u w:val="none"/>
                    </w:rPr>
                    <w:t>%</w:t>
                  </w:r>
                </w:p>
              </w:tc>
              <w:tc>
                <w:tcPr>
                  <w:tcW w:w="2042" w:type="dxa"/>
                  <w:vAlign w:val="center"/>
                </w:tcPr>
                <w:p w14:paraId="7FEDBD6D">
                  <w:pPr>
                    <w:adjustRightInd w:val="0"/>
                    <w:snapToGrid w:val="0"/>
                    <w:jc w:val="center"/>
                    <w:rPr>
                      <w:szCs w:val="21"/>
                      <w:u w:val="none"/>
                    </w:rPr>
                  </w:pPr>
                  <w:r>
                    <w:rPr>
                      <w:rFonts w:hint="eastAsia"/>
                      <w:szCs w:val="21"/>
                      <w:u w:val="none"/>
                    </w:rPr>
                    <w:t>69.8</w:t>
                  </w:r>
                </w:p>
              </w:tc>
            </w:tr>
            <w:tr w14:paraId="4D0E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83" w:type="dxa"/>
                  <w:vAlign w:val="center"/>
                </w:tcPr>
                <w:p w14:paraId="7D108BB2">
                  <w:pPr>
                    <w:adjustRightInd w:val="0"/>
                    <w:snapToGrid w:val="0"/>
                    <w:jc w:val="center"/>
                    <w:rPr>
                      <w:szCs w:val="21"/>
                      <w:u w:val="none"/>
                    </w:rPr>
                  </w:pPr>
                  <w:r>
                    <w:rPr>
                      <w:szCs w:val="21"/>
                      <w:u w:val="none"/>
                    </w:rPr>
                    <w:t>5</w:t>
                  </w:r>
                </w:p>
              </w:tc>
              <w:tc>
                <w:tcPr>
                  <w:tcW w:w="2268" w:type="dxa"/>
                  <w:vAlign w:val="center"/>
                </w:tcPr>
                <w:p w14:paraId="59AD9D1B">
                  <w:pPr>
                    <w:adjustRightInd w:val="0"/>
                    <w:snapToGrid w:val="0"/>
                    <w:jc w:val="center"/>
                    <w:rPr>
                      <w:szCs w:val="21"/>
                      <w:u w:val="none"/>
                    </w:rPr>
                  </w:pPr>
                  <w:r>
                    <w:rPr>
                      <w:szCs w:val="21"/>
                      <w:u w:val="none"/>
                    </w:rPr>
                    <w:t>大气压强</w:t>
                  </w:r>
                </w:p>
              </w:tc>
              <w:tc>
                <w:tcPr>
                  <w:tcW w:w="2835" w:type="dxa"/>
                  <w:vAlign w:val="center"/>
                </w:tcPr>
                <w:p w14:paraId="253A7928">
                  <w:pPr>
                    <w:adjustRightInd w:val="0"/>
                    <w:snapToGrid w:val="0"/>
                    <w:jc w:val="center"/>
                    <w:rPr>
                      <w:szCs w:val="21"/>
                      <w:u w:val="none"/>
                    </w:rPr>
                  </w:pPr>
                  <w:r>
                    <w:rPr>
                      <w:szCs w:val="21"/>
                      <w:u w:val="none"/>
                    </w:rPr>
                    <w:t>atm</w:t>
                  </w:r>
                </w:p>
              </w:tc>
              <w:tc>
                <w:tcPr>
                  <w:tcW w:w="2042" w:type="dxa"/>
                  <w:vAlign w:val="center"/>
                </w:tcPr>
                <w:p w14:paraId="3D435C45">
                  <w:pPr>
                    <w:adjustRightInd w:val="0"/>
                    <w:snapToGrid w:val="0"/>
                    <w:jc w:val="center"/>
                    <w:rPr>
                      <w:szCs w:val="21"/>
                      <w:u w:val="none"/>
                    </w:rPr>
                  </w:pPr>
                  <w:r>
                    <w:rPr>
                      <w:szCs w:val="21"/>
                      <w:u w:val="none"/>
                    </w:rPr>
                    <w:t>1</w:t>
                  </w:r>
                </w:p>
              </w:tc>
            </w:tr>
          </w:tbl>
          <w:p w14:paraId="77DFF992">
            <w:pPr>
              <w:pStyle w:val="168"/>
              <w:wordWrap w:val="0"/>
              <w:topLinePunct/>
              <w:autoSpaceDE w:val="0"/>
              <w:autoSpaceDN w:val="0"/>
              <w:ind w:firstLine="480"/>
              <w:rPr>
                <w:rFonts w:cs="Times New Roman"/>
                <w:u w:val="none"/>
              </w:rPr>
            </w:pPr>
            <w:r>
              <w:rPr>
                <w:rFonts w:cs="Times New Roman"/>
                <w:u w:val="none"/>
              </w:rPr>
              <w:t>根据噪声源强以及点源衰减预测模式，项目建成后主要噪声源对厂界影响预测结果详见下表。</w:t>
            </w:r>
          </w:p>
          <w:p w14:paraId="2F4EFFA4">
            <w:pPr>
              <w:pStyle w:val="169"/>
              <w:wordWrap w:val="0"/>
              <w:topLinePunct/>
              <w:autoSpaceDE w:val="0"/>
              <w:autoSpaceDN w:val="0"/>
              <w:rPr>
                <w:u w:val="none"/>
              </w:rPr>
            </w:pPr>
            <w:r>
              <w:rPr>
                <w:u w:val="none"/>
              </w:rPr>
              <w:t>表4-</w:t>
            </w:r>
            <w:r>
              <w:rPr>
                <w:rFonts w:hint="eastAsia"/>
                <w:u w:val="none"/>
              </w:rPr>
              <w:t>10</w:t>
            </w:r>
            <w:r>
              <w:rPr>
                <w:u w:val="none"/>
              </w:rPr>
              <w:t xml:space="preserve">    厂界噪声预测结果与达标分析表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auto"/>
              <w:tblLayout w:type="autofit"/>
              <w:tblCellMar>
                <w:top w:w="0" w:type="dxa"/>
                <w:left w:w="108" w:type="dxa"/>
                <w:bottom w:w="0" w:type="dxa"/>
                <w:right w:w="108" w:type="dxa"/>
              </w:tblCellMar>
            </w:tblPr>
            <w:tblGrid>
              <w:gridCol w:w="1077"/>
              <w:gridCol w:w="796"/>
              <w:gridCol w:w="798"/>
              <w:gridCol w:w="792"/>
              <w:gridCol w:w="974"/>
              <w:gridCol w:w="1396"/>
              <w:gridCol w:w="1397"/>
              <w:gridCol w:w="1162"/>
            </w:tblGrid>
            <w:tr w14:paraId="4B5C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FFFFFF" w:fill="auto"/>
                <w:tblCellMar>
                  <w:top w:w="0" w:type="dxa"/>
                  <w:left w:w="108" w:type="dxa"/>
                  <w:bottom w:w="0" w:type="dxa"/>
                  <w:right w:w="108" w:type="dxa"/>
                </w:tblCellMar>
              </w:tblPrEx>
              <w:trPr>
                <w:trHeight w:val="510" w:hRule="exact"/>
                <w:jc w:val="center"/>
              </w:trPr>
              <w:tc>
                <w:tcPr>
                  <w:tcW w:w="1101" w:type="dxa"/>
                  <w:vMerge w:val="restart"/>
                  <w:shd w:val="clear" w:color="FFFFFF" w:fill="auto"/>
                  <w:vAlign w:val="center"/>
                </w:tcPr>
                <w:p w14:paraId="15A16850">
                  <w:pPr>
                    <w:jc w:val="center"/>
                    <w:rPr>
                      <w:szCs w:val="21"/>
                      <w:u w:val="none"/>
                    </w:rPr>
                  </w:pPr>
                  <w:r>
                    <w:rPr>
                      <w:b/>
                      <w:szCs w:val="21"/>
                      <w:u w:val="none"/>
                    </w:rPr>
                    <w:t>预测方位</w:t>
                  </w:r>
                </w:p>
              </w:tc>
              <w:tc>
                <w:tcPr>
                  <w:tcW w:w="2409" w:type="dxa"/>
                  <w:gridSpan w:val="3"/>
                  <w:shd w:val="clear" w:color="FFFFFF" w:fill="auto"/>
                  <w:vAlign w:val="center"/>
                </w:tcPr>
                <w:p w14:paraId="10350886">
                  <w:pPr>
                    <w:jc w:val="center"/>
                    <w:rPr>
                      <w:szCs w:val="21"/>
                      <w:u w:val="none"/>
                    </w:rPr>
                  </w:pPr>
                  <w:r>
                    <w:rPr>
                      <w:b/>
                      <w:szCs w:val="21"/>
                      <w:u w:val="none"/>
                    </w:rPr>
                    <w:t>最大值点空间相对位置/m</w:t>
                  </w:r>
                </w:p>
              </w:tc>
              <w:tc>
                <w:tcPr>
                  <w:tcW w:w="993" w:type="dxa"/>
                  <w:vMerge w:val="restart"/>
                  <w:shd w:val="clear" w:color="FFFFFF" w:fill="auto"/>
                  <w:vAlign w:val="center"/>
                </w:tcPr>
                <w:p w14:paraId="41CDB545">
                  <w:pPr>
                    <w:jc w:val="center"/>
                    <w:rPr>
                      <w:szCs w:val="21"/>
                      <w:u w:val="none"/>
                    </w:rPr>
                  </w:pPr>
                  <w:r>
                    <w:rPr>
                      <w:b/>
                      <w:szCs w:val="21"/>
                      <w:u w:val="none"/>
                    </w:rPr>
                    <w:t>时段</w:t>
                  </w:r>
                </w:p>
              </w:tc>
              <w:tc>
                <w:tcPr>
                  <w:tcW w:w="1417" w:type="dxa"/>
                  <w:vMerge w:val="restart"/>
                  <w:shd w:val="clear" w:color="FFFFFF" w:fill="auto"/>
                  <w:vAlign w:val="center"/>
                </w:tcPr>
                <w:p w14:paraId="5343623F">
                  <w:pPr>
                    <w:jc w:val="center"/>
                    <w:rPr>
                      <w:b/>
                      <w:szCs w:val="21"/>
                      <w:u w:val="none"/>
                    </w:rPr>
                  </w:pPr>
                  <w:r>
                    <w:rPr>
                      <w:b/>
                      <w:szCs w:val="21"/>
                      <w:u w:val="none"/>
                    </w:rPr>
                    <w:t>贡献值</w:t>
                  </w:r>
                </w:p>
                <w:p w14:paraId="2109C85F">
                  <w:pPr>
                    <w:jc w:val="center"/>
                    <w:rPr>
                      <w:szCs w:val="21"/>
                      <w:u w:val="none"/>
                    </w:rPr>
                  </w:pPr>
                  <w:r>
                    <w:rPr>
                      <w:b/>
                      <w:szCs w:val="21"/>
                      <w:u w:val="none"/>
                    </w:rPr>
                    <w:t>dB</w:t>
                  </w:r>
                  <w:r>
                    <w:rPr>
                      <w:rFonts w:hint="eastAsia"/>
                      <w:b/>
                      <w:szCs w:val="21"/>
                      <w:u w:val="none"/>
                    </w:rPr>
                    <w:t>（</w:t>
                  </w:r>
                  <w:r>
                    <w:rPr>
                      <w:b/>
                      <w:szCs w:val="21"/>
                      <w:u w:val="none"/>
                    </w:rPr>
                    <w:t>A</w:t>
                  </w:r>
                  <w:r>
                    <w:rPr>
                      <w:rFonts w:hint="eastAsia"/>
                      <w:b/>
                      <w:szCs w:val="21"/>
                      <w:u w:val="none"/>
                    </w:rPr>
                    <w:t>）</w:t>
                  </w:r>
                </w:p>
              </w:tc>
              <w:tc>
                <w:tcPr>
                  <w:tcW w:w="1418" w:type="dxa"/>
                  <w:vMerge w:val="restart"/>
                  <w:shd w:val="clear" w:color="FFFFFF" w:fill="auto"/>
                  <w:vAlign w:val="center"/>
                </w:tcPr>
                <w:p w14:paraId="56476BBC">
                  <w:pPr>
                    <w:jc w:val="center"/>
                    <w:rPr>
                      <w:b/>
                      <w:szCs w:val="21"/>
                      <w:u w:val="none"/>
                    </w:rPr>
                  </w:pPr>
                  <w:r>
                    <w:rPr>
                      <w:b/>
                      <w:szCs w:val="21"/>
                      <w:u w:val="none"/>
                    </w:rPr>
                    <w:t>标准限值</w:t>
                  </w:r>
                </w:p>
                <w:p w14:paraId="3935AE40">
                  <w:pPr>
                    <w:jc w:val="center"/>
                    <w:rPr>
                      <w:szCs w:val="21"/>
                      <w:u w:val="none"/>
                    </w:rPr>
                  </w:pPr>
                  <w:r>
                    <w:rPr>
                      <w:b/>
                      <w:szCs w:val="21"/>
                      <w:u w:val="none"/>
                    </w:rPr>
                    <w:t>dB</w:t>
                  </w:r>
                  <w:r>
                    <w:rPr>
                      <w:rFonts w:hint="eastAsia"/>
                      <w:b/>
                      <w:szCs w:val="21"/>
                      <w:u w:val="none"/>
                    </w:rPr>
                    <w:t>（</w:t>
                  </w:r>
                  <w:r>
                    <w:rPr>
                      <w:b/>
                      <w:szCs w:val="21"/>
                      <w:u w:val="none"/>
                    </w:rPr>
                    <w:t>A</w:t>
                  </w:r>
                  <w:r>
                    <w:rPr>
                      <w:rFonts w:hint="eastAsia"/>
                      <w:b/>
                      <w:szCs w:val="21"/>
                      <w:u w:val="none"/>
                    </w:rPr>
                    <w:t>）</w:t>
                  </w:r>
                </w:p>
              </w:tc>
              <w:tc>
                <w:tcPr>
                  <w:tcW w:w="1188" w:type="dxa"/>
                  <w:vMerge w:val="restart"/>
                  <w:shd w:val="clear" w:color="FFFFFF" w:fill="auto"/>
                  <w:vAlign w:val="center"/>
                </w:tcPr>
                <w:p w14:paraId="3E8CCE25">
                  <w:pPr>
                    <w:jc w:val="center"/>
                    <w:rPr>
                      <w:szCs w:val="21"/>
                      <w:u w:val="none"/>
                    </w:rPr>
                  </w:pPr>
                  <w:r>
                    <w:rPr>
                      <w:b/>
                      <w:szCs w:val="21"/>
                      <w:u w:val="none"/>
                    </w:rPr>
                    <w:t>达标情况</w:t>
                  </w:r>
                </w:p>
              </w:tc>
            </w:tr>
            <w:tr w14:paraId="3628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1" w:type="dxa"/>
                  <w:vMerge w:val="continue"/>
                  <w:shd w:val="clear" w:color="FFFFFF" w:fill="auto"/>
                  <w:vAlign w:val="center"/>
                </w:tcPr>
                <w:p w14:paraId="41B2142C">
                  <w:pPr>
                    <w:jc w:val="center"/>
                    <w:rPr>
                      <w:szCs w:val="21"/>
                      <w:u w:val="none"/>
                    </w:rPr>
                  </w:pPr>
                </w:p>
              </w:tc>
              <w:tc>
                <w:tcPr>
                  <w:tcW w:w="803" w:type="dxa"/>
                  <w:shd w:val="clear" w:color="FFFFFF" w:fill="auto"/>
                  <w:vAlign w:val="center"/>
                </w:tcPr>
                <w:p w14:paraId="28A8C883">
                  <w:pPr>
                    <w:jc w:val="center"/>
                    <w:rPr>
                      <w:szCs w:val="21"/>
                      <w:u w:val="none"/>
                    </w:rPr>
                  </w:pPr>
                  <w:r>
                    <w:rPr>
                      <w:szCs w:val="21"/>
                      <w:u w:val="none"/>
                    </w:rPr>
                    <w:t>X</w:t>
                  </w:r>
                </w:p>
              </w:tc>
              <w:tc>
                <w:tcPr>
                  <w:tcW w:w="803" w:type="dxa"/>
                  <w:shd w:val="clear" w:color="FFFFFF" w:fill="auto"/>
                  <w:vAlign w:val="center"/>
                </w:tcPr>
                <w:p w14:paraId="3F43138C">
                  <w:pPr>
                    <w:jc w:val="center"/>
                    <w:rPr>
                      <w:szCs w:val="21"/>
                      <w:u w:val="none"/>
                    </w:rPr>
                  </w:pPr>
                  <w:r>
                    <w:rPr>
                      <w:szCs w:val="21"/>
                      <w:u w:val="none"/>
                    </w:rPr>
                    <w:t>Y</w:t>
                  </w:r>
                </w:p>
              </w:tc>
              <w:tc>
                <w:tcPr>
                  <w:tcW w:w="803" w:type="dxa"/>
                  <w:shd w:val="clear" w:color="FFFFFF" w:fill="auto"/>
                  <w:vAlign w:val="center"/>
                </w:tcPr>
                <w:p w14:paraId="37748154">
                  <w:pPr>
                    <w:jc w:val="center"/>
                    <w:rPr>
                      <w:szCs w:val="21"/>
                      <w:u w:val="none"/>
                    </w:rPr>
                  </w:pPr>
                  <w:r>
                    <w:rPr>
                      <w:szCs w:val="21"/>
                      <w:u w:val="none"/>
                    </w:rPr>
                    <w:t>Z</w:t>
                  </w:r>
                </w:p>
              </w:tc>
              <w:tc>
                <w:tcPr>
                  <w:tcW w:w="993" w:type="dxa"/>
                  <w:vMerge w:val="continue"/>
                  <w:shd w:val="clear" w:color="FFFFFF" w:fill="auto"/>
                  <w:vAlign w:val="center"/>
                </w:tcPr>
                <w:p w14:paraId="74C07DA1">
                  <w:pPr>
                    <w:jc w:val="center"/>
                    <w:rPr>
                      <w:szCs w:val="21"/>
                      <w:u w:val="none"/>
                    </w:rPr>
                  </w:pPr>
                </w:p>
              </w:tc>
              <w:tc>
                <w:tcPr>
                  <w:tcW w:w="1417" w:type="dxa"/>
                  <w:vMerge w:val="continue"/>
                  <w:shd w:val="clear" w:color="FFFFFF" w:fill="auto"/>
                  <w:vAlign w:val="center"/>
                </w:tcPr>
                <w:p w14:paraId="18428387">
                  <w:pPr>
                    <w:jc w:val="center"/>
                    <w:rPr>
                      <w:szCs w:val="21"/>
                      <w:u w:val="none"/>
                    </w:rPr>
                  </w:pPr>
                </w:p>
              </w:tc>
              <w:tc>
                <w:tcPr>
                  <w:tcW w:w="1418" w:type="dxa"/>
                  <w:vMerge w:val="continue"/>
                  <w:shd w:val="clear" w:color="FFFFFF" w:fill="auto"/>
                  <w:vAlign w:val="center"/>
                </w:tcPr>
                <w:p w14:paraId="324EF84D">
                  <w:pPr>
                    <w:jc w:val="center"/>
                    <w:rPr>
                      <w:szCs w:val="21"/>
                      <w:u w:val="none"/>
                    </w:rPr>
                  </w:pPr>
                </w:p>
              </w:tc>
              <w:tc>
                <w:tcPr>
                  <w:tcW w:w="1188" w:type="dxa"/>
                  <w:vMerge w:val="continue"/>
                  <w:shd w:val="clear" w:color="FFFFFF" w:fill="auto"/>
                  <w:vAlign w:val="center"/>
                </w:tcPr>
                <w:p w14:paraId="2D8FA545">
                  <w:pPr>
                    <w:jc w:val="center"/>
                    <w:rPr>
                      <w:szCs w:val="21"/>
                      <w:u w:val="none"/>
                    </w:rPr>
                  </w:pPr>
                </w:p>
              </w:tc>
            </w:tr>
            <w:tr w14:paraId="3FDA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101" w:type="dxa"/>
                  <w:shd w:val="clear" w:color="FFFFFF" w:fill="auto"/>
                  <w:vAlign w:val="center"/>
                </w:tcPr>
                <w:p w14:paraId="4233DA61">
                  <w:pPr>
                    <w:jc w:val="center"/>
                    <w:rPr>
                      <w:szCs w:val="21"/>
                      <w:u w:val="none"/>
                    </w:rPr>
                  </w:pPr>
                  <w:r>
                    <w:rPr>
                      <w:szCs w:val="21"/>
                      <w:u w:val="none"/>
                    </w:rPr>
                    <w:t>东侧</w:t>
                  </w:r>
                </w:p>
              </w:tc>
              <w:tc>
                <w:tcPr>
                  <w:tcW w:w="803" w:type="dxa"/>
                  <w:shd w:val="clear" w:color="FFFFFF" w:fill="auto"/>
                  <w:vAlign w:val="center"/>
                </w:tcPr>
                <w:p w14:paraId="263A94AD">
                  <w:pPr>
                    <w:jc w:val="center"/>
                    <w:rPr>
                      <w:szCs w:val="21"/>
                      <w:u w:val="none"/>
                    </w:rPr>
                  </w:pPr>
                  <w:r>
                    <w:rPr>
                      <w:szCs w:val="21"/>
                      <w:u w:val="none"/>
                    </w:rPr>
                    <w:t>47.4</w:t>
                  </w:r>
                </w:p>
              </w:tc>
              <w:tc>
                <w:tcPr>
                  <w:tcW w:w="803" w:type="dxa"/>
                  <w:shd w:val="clear" w:color="FFFFFF" w:fill="auto"/>
                  <w:vAlign w:val="center"/>
                </w:tcPr>
                <w:p w14:paraId="45D4044D">
                  <w:pPr>
                    <w:jc w:val="center"/>
                    <w:rPr>
                      <w:szCs w:val="21"/>
                      <w:u w:val="none"/>
                    </w:rPr>
                  </w:pPr>
                  <w:r>
                    <w:rPr>
                      <w:szCs w:val="21"/>
                      <w:u w:val="none"/>
                    </w:rPr>
                    <w:t>-22.8</w:t>
                  </w:r>
                </w:p>
              </w:tc>
              <w:tc>
                <w:tcPr>
                  <w:tcW w:w="803" w:type="dxa"/>
                  <w:shd w:val="clear" w:color="FFFFFF" w:fill="auto"/>
                  <w:vAlign w:val="center"/>
                </w:tcPr>
                <w:p w14:paraId="0E5563F2">
                  <w:pPr>
                    <w:jc w:val="center"/>
                    <w:rPr>
                      <w:szCs w:val="21"/>
                      <w:u w:val="none"/>
                    </w:rPr>
                  </w:pPr>
                  <w:r>
                    <w:rPr>
                      <w:szCs w:val="21"/>
                      <w:u w:val="none"/>
                    </w:rPr>
                    <w:t>1.2</w:t>
                  </w:r>
                </w:p>
              </w:tc>
              <w:tc>
                <w:tcPr>
                  <w:tcW w:w="993" w:type="dxa"/>
                  <w:shd w:val="clear" w:color="FFFFFF" w:fill="auto"/>
                  <w:vAlign w:val="center"/>
                </w:tcPr>
                <w:p w14:paraId="664D5EF9">
                  <w:pPr>
                    <w:jc w:val="center"/>
                    <w:rPr>
                      <w:szCs w:val="21"/>
                      <w:u w:val="none"/>
                    </w:rPr>
                  </w:pPr>
                  <w:r>
                    <w:rPr>
                      <w:szCs w:val="21"/>
                      <w:u w:val="none"/>
                    </w:rPr>
                    <w:t>昼间</w:t>
                  </w:r>
                </w:p>
              </w:tc>
              <w:tc>
                <w:tcPr>
                  <w:tcW w:w="1417" w:type="dxa"/>
                  <w:shd w:val="clear" w:color="FFFFFF" w:fill="auto"/>
                  <w:vAlign w:val="center"/>
                </w:tcPr>
                <w:p w14:paraId="521ABCE6">
                  <w:pPr>
                    <w:jc w:val="center"/>
                    <w:rPr>
                      <w:szCs w:val="21"/>
                      <w:u w:val="none"/>
                    </w:rPr>
                  </w:pPr>
                  <w:r>
                    <w:rPr>
                      <w:szCs w:val="21"/>
                      <w:u w:val="none"/>
                    </w:rPr>
                    <w:t>50.9</w:t>
                  </w:r>
                </w:p>
              </w:tc>
              <w:tc>
                <w:tcPr>
                  <w:tcW w:w="1418" w:type="dxa"/>
                  <w:shd w:val="clear" w:color="FFFFFF" w:fill="auto"/>
                  <w:vAlign w:val="center"/>
                </w:tcPr>
                <w:p w14:paraId="4BCDEABC">
                  <w:pPr>
                    <w:jc w:val="center"/>
                    <w:rPr>
                      <w:szCs w:val="21"/>
                      <w:u w:val="none"/>
                    </w:rPr>
                  </w:pPr>
                  <w:r>
                    <w:rPr>
                      <w:szCs w:val="21"/>
                      <w:u w:val="none"/>
                    </w:rPr>
                    <w:t>65</w:t>
                  </w:r>
                </w:p>
              </w:tc>
              <w:tc>
                <w:tcPr>
                  <w:tcW w:w="1188" w:type="dxa"/>
                  <w:shd w:val="clear" w:color="FFFFFF" w:fill="auto"/>
                  <w:vAlign w:val="center"/>
                </w:tcPr>
                <w:p w14:paraId="759233BE">
                  <w:pPr>
                    <w:jc w:val="center"/>
                    <w:rPr>
                      <w:szCs w:val="21"/>
                      <w:u w:val="none"/>
                    </w:rPr>
                  </w:pPr>
                  <w:r>
                    <w:rPr>
                      <w:szCs w:val="21"/>
                      <w:u w:val="none"/>
                    </w:rPr>
                    <w:t>达标</w:t>
                  </w:r>
                </w:p>
              </w:tc>
            </w:tr>
            <w:tr w14:paraId="58E0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01" w:type="dxa"/>
                  <w:shd w:val="clear" w:color="FFFFFF" w:fill="auto"/>
                  <w:vAlign w:val="center"/>
                </w:tcPr>
                <w:p w14:paraId="604A5E10">
                  <w:pPr>
                    <w:jc w:val="center"/>
                    <w:rPr>
                      <w:szCs w:val="21"/>
                      <w:u w:val="none"/>
                    </w:rPr>
                  </w:pPr>
                  <w:r>
                    <w:rPr>
                      <w:szCs w:val="21"/>
                      <w:u w:val="none"/>
                    </w:rPr>
                    <w:t>南侧</w:t>
                  </w:r>
                </w:p>
              </w:tc>
              <w:tc>
                <w:tcPr>
                  <w:tcW w:w="803" w:type="dxa"/>
                  <w:shd w:val="clear" w:color="auto" w:fill="FFFFFF"/>
                  <w:vAlign w:val="center"/>
                </w:tcPr>
                <w:p w14:paraId="217EA66A">
                  <w:pPr>
                    <w:jc w:val="center"/>
                    <w:rPr>
                      <w:szCs w:val="21"/>
                      <w:u w:val="none"/>
                    </w:rPr>
                  </w:pPr>
                  <w:r>
                    <w:rPr>
                      <w:szCs w:val="21"/>
                      <w:u w:val="none"/>
                    </w:rPr>
                    <w:t>5.9</w:t>
                  </w:r>
                </w:p>
              </w:tc>
              <w:tc>
                <w:tcPr>
                  <w:tcW w:w="803" w:type="dxa"/>
                  <w:shd w:val="clear" w:color="auto" w:fill="FFFFFF"/>
                  <w:vAlign w:val="center"/>
                </w:tcPr>
                <w:p w14:paraId="24AF3B6E">
                  <w:pPr>
                    <w:jc w:val="center"/>
                    <w:rPr>
                      <w:szCs w:val="21"/>
                      <w:u w:val="none"/>
                    </w:rPr>
                  </w:pPr>
                  <w:r>
                    <w:rPr>
                      <w:szCs w:val="21"/>
                      <w:u w:val="none"/>
                    </w:rPr>
                    <w:t>-37.5</w:t>
                  </w:r>
                </w:p>
              </w:tc>
              <w:tc>
                <w:tcPr>
                  <w:tcW w:w="803" w:type="dxa"/>
                  <w:shd w:val="clear" w:color="auto" w:fill="FFFFFF"/>
                  <w:vAlign w:val="center"/>
                </w:tcPr>
                <w:p w14:paraId="004EF813">
                  <w:pPr>
                    <w:jc w:val="center"/>
                    <w:rPr>
                      <w:szCs w:val="21"/>
                      <w:u w:val="none"/>
                    </w:rPr>
                  </w:pPr>
                  <w:r>
                    <w:rPr>
                      <w:szCs w:val="21"/>
                      <w:u w:val="none"/>
                    </w:rPr>
                    <w:t>1.2</w:t>
                  </w:r>
                </w:p>
              </w:tc>
              <w:tc>
                <w:tcPr>
                  <w:tcW w:w="993" w:type="dxa"/>
                  <w:shd w:val="clear" w:color="FFFFFF" w:fill="auto"/>
                  <w:vAlign w:val="center"/>
                </w:tcPr>
                <w:p w14:paraId="69263862">
                  <w:pPr>
                    <w:jc w:val="center"/>
                    <w:rPr>
                      <w:szCs w:val="21"/>
                      <w:u w:val="none"/>
                    </w:rPr>
                  </w:pPr>
                  <w:r>
                    <w:rPr>
                      <w:szCs w:val="21"/>
                      <w:u w:val="none"/>
                    </w:rPr>
                    <w:t>昼间</w:t>
                  </w:r>
                </w:p>
              </w:tc>
              <w:tc>
                <w:tcPr>
                  <w:tcW w:w="1417" w:type="dxa"/>
                  <w:shd w:val="clear" w:color="FFFFFF" w:fill="auto"/>
                  <w:vAlign w:val="center"/>
                </w:tcPr>
                <w:p w14:paraId="73701220">
                  <w:pPr>
                    <w:jc w:val="center"/>
                    <w:rPr>
                      <w:szCs w:val="21"/>
                      <w:u w:val="none"/>
                    </w:rPr>
                  </w:pPr>
                  <w:r>
                    <w:rPr>
                      <w:szCs w:val="21"/>
                      <w:u w:val="none"/>
                    </w:rPr>
                    <w:t>49.9</w:t>
                  </w:r>
                </w:p>
              </w:tc>
              <w:tc>
                <w:tcPr>
                  <w:tcW w:w="1418" w:type="dxa"/>
                  <w:shd w:val="clear" w:color="FFFFFF" w:fill="auto"/>
                  <w:vAlign w:val="center"/>
                </w:tcPr>
                <w:p w14:paraId="3D737EC3">
                  <w:pPr>
                    <w:jc w:val="center"/>
                    <w:rPr>
                      <w:szCs w:val="21"/>
                      <w:u w:val="none"/>
                    </w:rPr>
                  </w:pPr>
                  <w:r>
                    <w:rPr>
                      <w:szCs w:val="21"/>
                      <w:u w:val="none"/>
                    </w:rPr>
                    <w:t>65</w:t>
                  </w:r>
                </w:p>
              </w:tc>
              <w:tc>
                <w:tcPr>
                  <w:tcW w:w="1188" w:type="dxa"/>
                  <w:shd w:val="clear" w:color="FFFFFF" w:fill="auto"/>
                  <w:vAlign w:val="center"/>
                </w:tcPr>
                <w:p w14:paraId="4D71A187">
                  <w:pPr>
                    <w:jc w:val="center"/>
                    <w:rPr>
                      <w:szCs w:val="21"/>
                      <w:u w:val="none"/>
                    </w:rPr>
                  </w:pPr>
                  <w:r>
                    <w:rPr>
                      <w:szCs w:val="21"/>
                      <w:u w:val="none"/>
                    </w:rPr>
                    <w:t>达标</w:t>
                  </w:r>
                </w:p>
              </w:tc>
            </w:tr>
            <w:tr w14:paraId="3809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101" w:type="dxa"/>
                  <w:shd w:val="clear" w:color="FFFFFF" w:fill="auto"/>
                  <w:vAlign w:val="center"/>
                </w:tcPr>
                <w:p w14:paraId="0BD17E78">
                  <w:pPr>
                    <w:jc w:val="center"/>
                    <w:rPr>
                      <w:szCs w:val="21"/>
                      <w:u w:val="none"/>
                    </w:rPr>
                  </w:pPr>
                  <w:r>
                    <w:rPr>
                      <w:szCs w:val="21"/>
                      <w:u w:val="none"/>
                    </w:rPr>
                    <w:t>西侧</w:t>
                  </w:r>
                </w:p>
              </w:tc>
              <w:tc>
                <w:tcPr>
                  <w:tcW w:w="803" w:type="dxa"/>
                  <w:shd w:val="clear" w:color="auto" w:fill="FFFFFF"/>
                  <w:vAlign w:val="center"/>
                </w:tcPr>
                <w:p w14:paraId="48D5F2DD">
                  <w:pPr>
                    <w:jc w:val="center"/>
                    <w:rPr>
                      <w:szCs w:val="21"/>
                      <w:u w:val="none"/>
                    </w:rPr>
                  </w:pPr>
                  <w:r>
                    <w:rPr>
                      <w:szCs w:val="21"/>
                      <w:u w:val="none"/>
                    </w:rPr>
                    <w:t>0</w:t>
                  </w:r>
                </w:p>
              </w:tc>
              <w:tc>
                <w:tcPr>
                  <w:tcW w:w="803" w:type="dxa"/>
                  <w:shd w:val="clear" w:color="auto" w:fill="FFFFFF"/>
                  <w:vAlign w:val="center"/>
                </w:tcPr>
                <w:p w14:paraId="4BEE3162">
                  <w:pPr>
                    <w:jc w:val="center"/>
                    <w:rPr>
                      <w:szCs w:val="21"/>
                      <w:u w:val="none"/>
                    </w:rPr>
                  </w:pPr>
                  <w:r>
                    <w:rPr>
                      <w:szCs w:val="21"/>
                      <w:u w:val="none"/>
                    </w:rPr>
                    <w:t>0</w:t>
                  </w:r>
                </w:p>
              </w:tc>
              <w:tc>
                <w:tcPr>
                  <w:tcW w:w="803" w:type="dxa"/>
                  <w:shd w:val="clear" w:color="auto" w:fill="FFFFFF"/>
                  <w:vAlign w:val="center"/>
                </w:tcPr>
                <w:p w14:paraId="200CEF94">
                  <w:pPr>
                    <w:jc w:val="center"/>
                    <w:rPr>
                      <w:szCs w:val="21"/>
                      <w:u w:val="none"/>
                    </w:rPr>
                  </w:pPr>
                  <w:r>
                    <w:rPr>
                      <w:szCs w:val="21"/>
                      <w:u w:val="none"/>
                    </w:rPr>
                    <w:t>1.2</w:t>
                  </w:r>
                </w:p>
              </w:tc>
              <w:tc>
                <w:tcPr>
                  <w:tcW w:w="993" w:type="dxa"/>
                  <w:shd w:val="clear" w:color="FFFFFF" w:fill="auto"/>
                  <w:vAlign w:val="center"/>
                </w:tcPr>
                <w:p w14:paraId="595DBE8F">
                  <w:pPr>
                    <w:jc w:val="center"/>
                    <w:rPr>
                      <w:szCs w:val="21"/>
                      <w:u w:val="none"/>
                    </w:rPr>
                  </w:pPr>
                  <w:r>
                    <w:rPr>
                      <w:szCs w:val="21"/>
                      <w:u w:val="none"/>
                    </w:rPr>
                    <w:t>昼间</w:t>
                  </w:r>
                </w:p>
              </w:tc>
              <w:tc>
                <w:tcPr>
                  <w:tcW w:w="1417" w:type="dxa"/>
                  <w:shd w:val="clear" w:color="FFFFFF" w:fill="auto"/>
                  <w:vAlign w:val="center"/>
                </w:tcPr>
                <w:p w14:paraId="628F3020">
                  <w:pPr>
                    <w:jc w:val="center"/>
                    <w:rPr>
                      <w:szCs w:val="21"/>
                      <w:u w:val="none"/>
                    </w:rPr>
                  </w:pPr>
                  <w:r>
                    <w:rPr>
                      <w:szCs w:val="21"/>
                      <w:u w:val="none"/>
                    </w:rPr>
                    <w:t>50.2</w:t>
                  </w:r>
                </w:p>
              </w:tc>
              <w:tc>
                <w:tcPr>
                  <w:tcW w:w="1418" w:type="dxa"/>
                  <w:shd w:val="clear" w:color="FFFFFF" w:fill="auto"/>
                  <w:vAlign w:val="center"/>
                </w:tcPr>
                <w:p w14:paraId="675190A3">
                  <w:pPr>
                    <w:jc w:val="center"/>
                    <w:rPr>
                      <w:szCs w:val="21"/>
                      <w:u w:val="none"/>
                    </w:rPr>
                  </w:pPr>
                  <w:r>
                    <w:rPr>
                      <w:szCs w:val="21"/>
                      <w:u w:val="none"/>
                    </w:rPr>
                    <w:t>65</w:t>
                  </w:r>
                </w:p>
              </w:tc>
              <w:tc>
                <w:tcPr>
                  <w:tcW w:w="1188" w:type="dxa"/>
                  <w:shd w:val="clear" w:color="FFFFFF" w:fill="auto"/>
                  <w:vAlign w:val="center"/>
                </w:tcPr>
                <w:p w14:paraId="0CD8D978">
                  <w:pPr>
                    <w:jc w:val="center"/>
                    <w:rPr>
                      <w:szCs w:val="21"/>
                      <w:u w:val="none"/>
                    </w:rPr>
                  </w:pPr>
                  <w:r>
                    <w:rPr>
                      <w:szCs w:val="21"/>
                      <w:u w:val="none"/>
                    </w:rPr>
                    <w:t>达标</w:t>
                  </w:r>
                </w:p>
              </w:tc>
            </w:tr>
            <w:tr w14:paraId="2E95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1101" w:type="dxa"/>
                  <w:shd w:val="clear" w:color="FFFFFF" w:fill="auto"/>
                  <w:vAlign w:val="center"/>
                </w:tcPr>
                <w:p w14:paraId="5CB8215C">
                  <w:pPr>
                    <w:jc w:val="center"/>
                    <w:rPr>
                      <w:szCs w:val="21"/>
                      <w:u w:val="none"/>
                    </w:rPr>
                  </w:pPr>
                  <w:r>
                    <w:rPr>
                      <w:szCs w:val="21"/>
                      <w:u w:val="none"/>
                    </w:rPr>
                    <w:t>北侧</w:t>
                  </w:r>
                </w:p>
              </w:tc>
              <w:tc>
                <w:tcPr>
                  <w:tcW w:w="803" w:type="dxa"/>
                  <w:shd w:val="clear" w:color="auto" w:fill="FFFFFF"/>
                  <w:vAlign w:val="center"/>
                </w:tcPr>
                <w:p w14:paraId="0C01CA2B">
                  <w:pPr>
                    <w:jc w:val="center"/>
                    <w:rPr>
                      <w:szCs w:val="21"/>
                      <w:u w:val="none"/>
                    </w:rPr>
                  </w:pPr>
                  <w:r>
                    <w:rPr>
                      <w:szCs w:val="21"/>
                      <w:u w:val="none"/>
                    </w:rPr>
                    <w:t>-7</w:t>
                  </w:r>
                </w:p>
              </w:tc>
              <w:tc>
                <w:tcPr>
                  <w:tcW w:w="803" w:type="dxa"/>
                  <w:shd w:val="clear" w:color="auto" w:fill="FFFFFF"/>
                  <w:vAlign w:val="center"/>
                </w:tcPr>
                <w:p w14:paraId="41955EC3">
                  <w:pPr>
                    <w:jc w:val="center"/>
                    <w:rPr>
                      <w:szCs w:val="21"/>
                      <w:u w:val="none"/>
                    </w:rPr>
                  </w:pPr>
                  <w:r>
                    <w:rPr>
                      <w:szCs w:val="21"/>
                      <w:u w:val="none"/>
                    </w:rPr>
                    <w:t>-5.2</w:t>
                  </w:r>
                </w:p>
              </w:tc>
              <w:tc>
                <w:tcPr>
                  <w:tcW w:w="803" w:type="dxa"/>
                  <w:shd w:val="clear" w:color="auto" w:fill="FFFFFF"/>
                  <w:vAlign w:val="center"/>
                </w:tcPr>
                <w:p w14:paraId="06DD90CD">
                  <w:pPr>
                    <w:jc w:val="center"/>
                    <w:rPr>
                      <w:szCs w:val="21"/>
                      <w:u w:val="none"/>
                    </w:rPr>
                  </w:pPr>
                  <w:r>
                    <w:rPr>
                      <w:szCs w:val="21"/>
                      <w:u w:val="none"/>
                    </w:rPr>
                    <w:t>1.2</w:t>
                  </w:r>
                </w:p>
              </w:tc>
              <w:tc>
                <w:tcPr>
                  <w:tcW w:w="993" w:type="dxa"/>
                  <w:shd w:val="clear" w:color="FFFFFF" w:fill="auto"/>
                  <w:vAlign w:val="center"/>
                </w:tcPr>
                <w:p w14:paraId="6BFC2EEF">
                  <w:pPr>
                    <w:jc w:val="center"/>
                    <w:rPr>
                      <w:szCs w:val="21"/>
                      <w:u w:val="none"/>
                    </w:rPr>
                  </w:pPr>
                  <w:r>
                    <w:rPr>
                      <w:szCs w:val="21"/>
                      <w:u w:val="none"/>
                    </w:rPr>
                    <w:t>昼间</w:t>
                  </w:r>
                </w:p>
              </w:tc>
              <w:tc>
                <w:tcPr>
                  <w:tcW w:w="1417" w:type="dxa"/>
                  <w:shd w:val="clear" w:color="FFFFFF" w:fill="auto"/>
                  <w:vAlign w:val="center"/>
                </w:tcPr>
                <w:p w14:paraId="652D06D4">
                  <w:pPr>
                    <w:jc w:val="center"/>
                    <w:rPr>
                      <w:szCs w:val="21"/>
                      <w:u w:val="none"/>
                    </w:rPr>
                  </w:pPr>
                  <w:r>
                    <w:rPr>
                      <w:szCs w:val="21"/>
                      <w:u w:val="none"/>
                    </w:rPr>
                    <w:t>49.6</w:t>
                  </w:r>
                </w:p>
              </w:tc>
              <w:tc>
                <w:tcPr>
                  <w:tcW w:w="1418" w:type="dxa"/>
                  <w:shd w:val="clear" w:color="FFFFFF" w:fill="auto"/>
                  <w:vAlign w:val="center"/>
                </w:tcPr>
                <w:p w14:paraId="436A324D">
                  <w:pPr>
                    <w:jc w:val="center"/>
                    <w:rPr>
                      <w:szCs w:val="21"/>
                      <w:u w:val="none"/>
                    </w:rPr>
                  </w:pPr>
                  <w:r>
                    <w:rPr>
                      <w:szCs w:val="21"/>
                      <w:u w:val="none"/>
                    </w:rPr>
                    <w:t>65</w:t>
                  </w:r>
                </w:p>
              </w:tc>
              <w:tc>
                <w:tcPr>
                  <w:tcW w:w="1188" w:type="dxa"/>
                  <w:shd w:val="clear" w:color="FFFFFF" w:fill="auto"/>
                  <w:vAlign w:val="center"/>
                </w:tcPr>
                <w:p w14:paraId="2EDA9474">
                  <w:pPr>
                    <w:jc w:val="center"/>
                    <w:rPr>
                      <w:szCs w:val="21"/>
                      <w:u w:val="none"/>
                    </w:rPr>
                  </w:pPr>
                  <w:r>
                    <w:rPr>
                      <w:szCs w:val="21"/>
                      <w:u w:val="none"/>
                    </w:rPr>
                    <w:t>达标</w:t>
                  </w:r>
                </w:p>
              </w:tc>
            </w:tr>
          </w:tbl>
          <w:p w14:paraId="23B44291">
            <w:pPr>
              <w:pStyle w:val="160"/>
              <w:ind w:firstLine="480"/>
              <w:rPr>
                <w:u w:val="none"/>
              </w:rPr>
            </w:pPr>
            <w:r>
              <w:rPr>
                <w:rFonts w:hint="eastAsia"/>
                <w:u w:val="none"/>
              </w:rPr>
              <w:t>项目夜间不生产。</w:t>
            </w:r>
            <w:r>
              <w:rPr>
                <w:u w:val="none"/>
              </w:rPr>
              <w:t>经过预测，本项目</w:t>
            </w:r>
            <w:r>
              <w:rPr>
                <w:rFonts w:hint="eastAsia"/>
                <w:u w:val="none"/>
              </w:rPr>
              <w:t>运营期各厂界</w:t>
            </w:r>
            <w:r>
              <w:rPr>
                <w:u w:val="none"/>
              </w:rPr>
              <w:t>噪声</w:t>
            </w:r>
            <w:r>
              <w:rPr>
                <w:rFonts w:hint="eastAsia"/>
                <w:u w:val="none"/>
              </w:rPr>
              <w:t>昼间贡献值</w:t>
            </w:r>
            <w:r>
              <w:rPr>
                <w:u w:val="none"/>
              </w:rPr>
              <w:t>能达到《工业企业厂界环境噪声排放标准》（GB</w:t>
            </w:r>
            <w:r>
              <w:rPr>
                <w:rFonts w:hint="eastAsia"/>
                <w:u w:val="none"/>
              </w:rPr>
              <w:t xml:space="preserve"> </w:t>
            </w:r>
            <w:r>
              <w:rPr>
                <w:u w:val="none"/>
              </w:rPr>
              <w:t>12348-2008）中</w:t>
            </w:r>
            <w:r>
              <w:rPr>
                <w:rFonts w:hint="eastAsia"/>
                <w:u w:val="none"/>
              </w:rPr>
              <w:t>3</w:t>
            </w:r>
            <w:r>
              <w:rPr>
                <w:u w:val="none"/>
              </w:rPr>
              <w:t>类标准值，对周围环境影响较小</w:t>
            </w:r>
            <w:r>
              <w:rPr>
                <w:rFonts w:hint="eastAsia"/>
                <w:u w:val="none"/>
              </w:rPr>
              <w:t>。此外，</w:t>
            </w:r>
            <w:r>
              <w:rPr>
                <w:u w:val="none"/>
              </w:rPr>
              <w:t>根据现场踏勘可知，</w:t>
            </w:r>
            <w:r>
              <w:rPr>
                <w:rFonts w:hint="eastAsia"/>
                <w:u w:val="none"/>
              </w:rPr>
              <w:t>项目周边200m范围内无声环境敏感点</w:t>
            </w:r>
            <w:r>
              <w:rPr>
                <w:u w:val="none"/>
              </w:rPr>
              <w:t>，噪声经距离衰减后，不会产生扰民现象，对敏感点影响不大。</w:t>
            </w:r>
          </w:p>
          <w:p w14:paraId="5A8D8777">
            <w:pPr>
              <w:pStyle w:val="15"/>
              <w:snapToGrid/>
              <w:spacing w:after="0" w:line="360" w:lineRule="auto"/>
              <w:ind w:firstLine="482" w:firstLineChars="200"/>
              <w:rPr>
                <w:b/>
                <w:bCs/>
                <w:kern w:val="2"/>
                <w:sz w:val="24"/>
                <w:szCs w:val="24"/>
                <w:u w:val="none"/>
              </w:rPr>
            </w:pPr>
            <w:r>
              <w:rPr>
                <w:rFonts w:hint="eastAsia"/>
                <w:b/>
                <w:bCs/>
                <w:kern w:val="2"/>
                <w:sz w:val="24"/>
                <w:szCs w:val="24"/>
                <w:u w:val="none"/>
              </w:rPr>
              <w:t>3.3</w:t>
            </w:r>
            <w:r>
              <w:rPr>
                <w:b/>
                <w:bCs/>
                <w:kern w:val="2"/>
                <w:sz w:val="24"/>
                <w:szCs w:val="24"/>
                <w:u w:val="none"/>
              </w:rPr>
              <w:t>、</w:t>
            </w:r>
            <w:r>
              <w:rPr>
                <w:rFonts w:hint="eastAsia"/>
                <w:b/>
                <w:bCs/>
                <w:kern w:val="2"/>
                <w:sz w:val="24"/>
                <w:szCs w:val="24"/>
                <w:u w:val="none"/>
              </w:rPr>
              <w:t>降噪措施</w:t>
            </w:r>
          </w:p>
          <w:p w14:paraId="50BC2882">
            <w:pPr>
              <w:numPr>
                <w:ilvl w:val="0"/>
                <w:numId w:val="7"/>
              </w:numPr>
              <w:wordWrap w:val="0"/>
              <w:snapToGrid w:val="0"/>
              <w:spacing w:line="360" w:lineRule="auto"/>
              <w:ind w:firstLine="480" w:firstLineChars="200"/>
              <w:rPr>
                <w:rFonts w:ascii="Calibri" w:hAnsi="Calibri"/>
                <w:sz w:val="24"/>
                <w:u w:val="none"/>
              </w:rPr>
            </w:pPr>
            <w:r>
              <w:rPr>
                <w:rFonts w:hint="eastAsia" w:ascii="Calibri" w:hAnsi="Calibri"/>
                <w:sz w:val="24"/>
                <w:u w:val="none"/>
              </w:rPr>
              <w:t>装载机、水泵等生产设备均置于大棚内；</w:t>
            </w:r>
          </w:p>
          <w:p w14:paraId="137E34FE">
            <w:pPr>
              <w:numPr>
                <w:ilvl w:val="0"/>
                <w:numId w:val="7"/>
              </w:numPr>
              <w:wordWrap w:val="0"/>
              <w:snapToGrid w:val="0"/>
              <w:spacing w:line="360" w:lineRule="auto"/>
              <w:ind w:firstLine="480" w:firstLineChars="200"/>
              <w:rPr>
                <w:rFonts w:ascii="Calibri" w:hAnsi="Calibri"/>
                <w:sz w:val="24"/>
                <w:u w:val="none"/>
              </w:rPr>
            </w:pPr>
            <w:r>
              <w:rPr>
                <w:rFonts w:hint="eastAsia" w:ascii="Calibri" w:hAnsi="Calibri"/>
                <w:sz w:val="24"/>
                <w:u w:val="none"/>
              </w:rPr>
              <w:t>合理布置产噪设备，高噪声设备应设置在场地中间位置，与厂界保持一定距离；</w:t>
            </w:r>
          </w:p>
          <w:p w14:paraId="13BA6C0E">
            <w:pPr>
              <w:pStyle w:val="160"/>
              <w:numPr>
                <w:ilvl w:val="0"/>
                <w:numId w:val="7"/>
              </w:numPr>
              <w:ind w:firstLine="480"/>
              <w:rPr>
                <w:u w:val="none"/>
              </w:rPr>
            </w:pPr>
            <w:r>
              <w:rPr>
                <w:rFonts w:hint="eastAsia" w:ascii="Calibri" w:hAnsi="Calibri"/>
                <w:u w:val="none"/>
              </w:rPr>
              <w:t>加强厂区管理、规范操作，及时对设备进行检修，确保设备处于良好的运行状态，避免因设备非正常运转而产生的高噪声现象，并及时加固设备支架；</w:t>
            </w:r>
          </w:p>
          <w:p w14:paraId="0D7334D2">
            <w:pPr>
              <w:numPr>
                <w:ilvl w:val="0"/>
                <w:numId w:val="7"/>
              </w:numPr>
              <w:wordWrap w:val="0"/>
              <w:snapToGrid w:val="0"/>
              <w:spacing w:line="360" w:lineRule="auto"/>
              <w:ind w:firstLine="480" w:firstLineChars="200"/>
              <w:rPr>
                <w:sz w:val="24"/>
                <w:u w:val="none"/>
              </w:rPr>
            </w:pPr>
            <w:r>
              <w:rPr>
                <w:sz w:val="24"/>
                <w:u w:val="none"/>
              </w:rPr>
              <w:t>项目运输应选在昼间进行，在22</w:t>
            </w:r>
            <w:r>
              <w:rPr>
                <w:rFonts w:hint="eastAsia"/>
                <w:sz w:val="24"/>
                <w:u w:val="none"/>
              </w:rPr>
              <w:t>:</w:t>
            </w:r>
            <w:r>
              <w:rPr>
                <w:sz w:val="24"/>
                <w:u w:val="none"/>
              </w:rPr>
              <w:t>00至次日早上6</w:t>
            </w:r>
            <w:r>
              <w:rPr>
                <w:rFonts w:hint="eastAsia"/>
                <w:sz w:val="24"/>
                <w:u w:val="none"/>
              </w:rPr>
              <w:t>:</w:t>
            </w:r>
            <w:r>
              <w:rPr>
                <w:sz w:val="24"/>
                <w:u w:val="none"/>
              </w:rPr>
              <w:t>00时段不得进行</w:t>
            </w:r>
            <w:r>
              <w:rPr>
                <w:rFonts w:hint="eastAsia"/>
                <w:sz w:val="24"/>
                <w:u w:val="none"/>
              </w:rPr>
              <w:t>运输</w:t>
            </w:r>
            <w:r>
              <w:rPr>
                <w:sz w:val="24"/>
                <w:u w:val="none"/>
              </w:rPr>
              <w:t>作业；同时车辆应减速慢行、禁鸣喇叭，减轻交通噪声对附近敏感点的影响。</w:t>
            </w:r>
          </w:p>
          <w:p w14:paraId="56B57576">
            <w:pPr>
              <w:pStyle w:val="15"/>
              <w:snapToGrid/>
              <w:spacing w:after="0" w:line="360" w:lineRule="auto"/>
              <w:ind w:firstLine="482" w:firstLineChars="200"/>
              <w:rPr>
                <w:b/>
                <w:bCs/>
                <w:kern w:val="2"/>
                <w:sz w:val="24"/>
                <w:szCs w:val="24"/>
                <w:u w:val="none"/>
              </w:rPr>
            </w:pPr>
            <w:r>
              <w:rPr>
                <w:rFonts w:hint="eastAsia"/>
                <w:b/>
                <w:bCs/>
                <w:kern w:val="2"/>
                <w:sz w:val="24"/>
                <w:szCs w:val="24"/>
                <w:u w:val="none"/>
              </w:rPr>
              <w:t>3.4</w:t>
            </w:r>
            <w:r>
              <w:rPr>
                <w:b/>
                <w:bCs/>
                <w:kern w:val="2"/>
                <w:sz w:val="24"/>
                <w:szCs w:val="24"/>
                <w:u w:val="none"/>
              </w:rPr>
              <w:t>、</w:t>
            </w:r>
            <w:r>
              <w:rPr>
                <w:rFonts w:hint="eastAsia"/>
                <w:b/>
                <w:bCs/>
                <w:kern w:val="2"/>
                <w:sz w:val="24"/>
                <w:szCs w:val="24"/>
                <w:u w:val="none"/>
              </w:rPr>
              <w:t>自行监测要求</w:t>
            </w:r>
          </w:p>
          <w:p w14:paraId="0380E508">
            <w:pPr>
              <w:pStyle w:val="160"/>
              <w:ind w:firstLine="480"/>
              <w:rPr>
                <w:u w:val="none"/>
              </w:rPr>
            </w:pPr>
            <w:r>
              <w:rPr>
                <w:u w:val="none"/>
              </w:rPr>
              <w:t>根据《排污单位自行监测技术指南</w:t>
            </w:r>
            <w:r>
              <w:rPr>
                <w:rFonts w:hint="eastAsia"/>
                <w:u w:val="none"/>
              </w:rPr>
              <w:t xml:space="preserve"> </w:t>
            </w:r>
            <w:r>
              <w:rPr>
                <w:u w:val="none"/>
              </w:rPr>
              <w:t>总则》（HJ</w:t>
            </w:r>
            <w:r>
              <w:rPr>
                <w:rFonts w:hint="eastAsia"/>
                <w:u w:val="none"/>
              </w:rPr>
              <w:t xml:space="preserve"> </w:t>
            </w:r>
            <w:r>
              <w:rPr>
                <w:u w:val="none"/>
              </w:rPr>
              <w:t>819-2017）</w:t>
            </w:r>
            <w:r>
              <w:rPr>
                <w:rFonts w:hint="eastAsia"/>
                <w:u w:val="none"/>
              </w:rPr>
              <w:t>、</w:t>
            </w:r>
            <w:r>
              <w:rPr>
                <w:u w:val="none"/>
              </w:rPr>
              <w:t>《</w:t>
            </w:r>
            <w:r>
              <w:rPr>
                <w:u w:val="none"/>
              </w:rPr>
              <w:fldChar w:fldCharType="begin"/>
            </w:r>
            <w:r>
              <w:rPr>
                <w:u w:val="none"/>
              </w:rPr>
              <w:instrText xml:space="preserve"> HYPERLINK "https://www.mee.gov.cn/ywgz/fgbz/bz/bzwb/pwxk/202308/W020230919349861394526.pdf" </w:instrText>
            </w:r>
            <w:r>
              <w:rPr>
                <w:u w:val="none"/>
              </w:rPr>
              <w:fldChar w:fldCharType="separate"/>
            </w:r>
            <w:r>
              <w:rPr>
                <w:u w:val="none"/>
              </w:rPr>
              <w:t>排污许可证申请与核发技术规范 工业噪声</w:t>
            </w:r>
            <w:r>
              <w:rPr>
                <w:u w:val="none"/>
              </w:rPr>
              <w:fldChar w:fldCharType="end"/>
            </w:r>
            <w:r>
              <w:rPr>
                <w:u w:val="none"/>
              </w:rPr>
              <w:t>》（</w:t>
            </w:r>
            <w:r>
              <w:rPr>
                <w:u w:val="thick" w:color="FFB03A"/>
                <w:shd w:val="clear" w:fill="FFEFD7"/>
              </w:rPr>
              <w:t>HJ 1301</w:t>
            </w:r>
            <w:r>
              <w:rPr>
                <w:rFonts w:hint="eastAsia"/>
                <w:u w:val="thick" w:color="FFB03A"/>
                <w:shd w:val="clear" w:fill="FFEFD7"/>
              </w:rPr>
              <w:t>-</w:t>
            </w:r>
            <w:r>
              <w:rPr>
                <w:u w:val="thick" w:color="FFB03A"/>
                <w:shd w:val="clear" w:fill="FFEFD7"/>
              </w:rPr>
              <w:t>2023</w:t>
            </w:r>
            <w:r>
              <w:rPr>
                <w:u w:val="none"/>
              </w:rPr>
              <w:t>）自行监测管理要求，本项目噪声自行监测计划见下表。</w:t>
            </w:r>
          </w:p>
          <w:p w14:paraId="1E0CBB94">
            <w:pPr>
              <w:pStyle w:val="48"/>
              <w:adjustRightInd/>
              <w:snapToGrid/>
              <w:spacing w:line="360" w:lineRule="auto"/>
              <w:rPr>
                <w:sz w:val="21"/>
                <w:szCs w:val="21"/>
                <w:u w:val="none"/>
              </w:rPr>
            </w:pPr>
          </w:p>
          <w:p w14:paraId="684836DB">
            <w:pPr>
              <w:pStyle w:val="48"/>
              <w:adjustRightInd/>
              <w:snapToGrid/>
              <w:spacing w:line="360" w:lineRule="auto"/>
              <w:rPr>
                <w:sz w:val="21"/>
                <w:szCs w:val="21"/>
                <w:u w:val="none"/>
              </w:rPr>
            </w:pPr>
          </w:p>
          <w:p w14:paraId="49E8907D">
            <w:pPr>
              <w:pStyle w:val="48"/>
              <w:adjustRightInd/>
              <w:snapToGrid/>
              <w:spacing w:line="360" w:lineRule="auto"/>
              <w:rPr>
                <w:sz w:val="21"/>
                <w:szCs w:val="21"/>
                <w:u w:val="none"/>
              </w:rPr>
            </w:pPr>
            <w:r>
              <w:rPr>
                <w:sz w:val="21"/>
                <w:szCs w:val="21"/>
                <w:u w:val="none"/>
              </w:rPr>
              <w:t>表4-</w:t>
            </w:r>
            <w:r>
              <w:rPr>
                <w:rFonts w:hint="eastAsia"/>
                <w:sz w:val="21"/>
                <w:szCs w:val="21"/>
                <w:u w:val="none"/>
              </w:rPr>
              <w:t>11</w:t>
            </w:r>
            <w:r>
              <w:rPr>
                <w:sz w:val="21"/>
                <w:szCs w:val="21"/>
                <w:u w:val="none"/>
              </w:rPr>
              <w:t xml:space="preserve">  噪声自行监测一览表</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38"/>
              <w:gridCol w:w="1056"/>
              <w:gridCol w:w="1108"/>
              <w:gridCol w:w="925"/>
              <w:gridCol w:w="1241"/>
              <w:gridCol w:w="1798"/>
              <w:gridCol w:w="1623"/>
            </w:tblGrid>
            <w:tr w14:paraId="158CD4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380" w:type="pct"/>
                  <w:tcBorders>
                    <w:tl2br w:val="nil"/>
                    <w:tr2bl w:val="nil"/>
                  </w:tcBorders>
                  <w:vAlign w:val="center"/>
                </w:tcPr>
                <w:p w14:paraId="1FC03818">
                  <w:pPr>
                    <w:wordWrap w:val="0"/>
                    <w:snapToGrid w:val="0"/>
                    <w:jc w:val="center"/>
                    <w:rPr>
                      <w:szCs w:val="21"/>
                      <w:u w:val="none"/>
                      <w:lang w:bidi="ar"/>
                    </w:rPr>
                  </w:pPr>
                  <w:r>
                    <w:rPr>
                      <w:rFonts w:hint="eastAsia"/>
                      <w:szCs w:val="21"/>
                      <w:u w:val="none"/>
                      <w:lang w:bidi="ar"/>
                    </w:rPr>
                    <w:t>监测项目</w:t>
                  </w:r>
                </w:p>
              </w:tc>
              <w:tc>
                <w:tcPr>
                  <w:tcW w:w="629" w:type="pct"/>
                  <w:tcBorders>
                    <w:tl2br w:val="nil"/>
                    <w:tr2bl w:val="nil"/>
                  </w:tcBorders>
                  <w:vAlign w:val="center"/>
                </w:tcPr>
                <w:p w14:paraId="2F1A6BB6">
                  <w:pPr>
                    <w:wordWrap w:val="0"/>
                    <w:snapToGrid w:val="0"/>
                    <w:jc w:val="center"/>
                    <w:rPr>
                      <w:szCs w:val="21"/>
                      <w:u w:val="none"/>
                    </w:rPr>
                  </w:pPr>
                  <w:r>
                    <w:rPr>
                      <w:szCs w:val="21"/>
                      <w:u w:val="none"/>
                      <w:lang w:bidi="ar"/>
                    </w:rPr>
                    <w:t>监测点</w:t>
                  </w:r>
                  <w:r>
                    <w:rPr>
                      <w:rFonts w:hint="eastAsia"/>
                      <w:szCs w:val="21"/>
                      <w:u w:val="none"/>
                      <w:lang w:bidi="ar"/>
                    </w:rPr>
                    <w:t>位</w:t>
                  </w:r>
                </w:p>
              </w:tc>
              <w:tc>
                <w:tcPr>
                  <w:tcW w:w="660" w:type="pct"/>
                  <w:tcBorders>
                    <w:tl2br w:val="nil"/>
                    <w:tr2bl w:val="nil"/>
                  </w:tcBorders>
                  <w:vAlign w:val="center"/>
                </w:tcPr>
                <w:p w14:paraId="6D233752">
                  <w:pPr>
                    <w:wordWrap w:val="0"/>
                    <w:snapToGrid w:val="0"/>
                    <w:jc w:val="center"/>
                    <w:rPr>
                      <w:szCs w:val="21"/>
                      <w:u w:val="none"/>
                    </w:rPr>
                  </w:pPr>
                  <w:r>
                    <w:rPr>
                      <w:szCs w:val="21"/>
                      <w:u w:val="none"/>
                      <w:lang w:bidi="ar"/>
                    </w:rPr>
                    <w:t>监测项目</w:t>
                  </w:r>
                </w:p>
              </w:tc>
              <w:tc>
                <w:tcPr>
                  <w:tcW w:w="551" w:type="pct"/>
                  <w:tcBorders>
                    <w:tl2br w:val="nil"/>
                    <w:tr2bl w:val="nil"/>
                  </w:tcBorders>
                  <w:vAlign w:val="center"/>
                </w:tcPr>
                <w:p w14:paraId="0562BE00">
                  <w:pPr>
                    <w:wordWrap w:val="0"/>
                    <w:snapToGrid w:val="0"/>
                    <w:jc w:val="center"/>
                    <w:rPr>
                      <w:szCs w:val="21"/>
                      <w:u w:val="none"/>
                      <w:lang w:bidi="ar"/>
                    </w:rPr>
                  </w:pPr>
                  <w:r>
                    <w:rPr>
                      <w:rFonts w:hint="eastAsia"/>
                      <w:szCs w:val="21"/>
                      <w:u w:val="none"/>
                      <w:lang w:bidi="ar"/>
                    </w:rPr>
                    <w:t>监测技术手段</w:t>
                  </w:r>
                </w:p>
              </w:tc>
              <w:tc>
                <w:tcPr>
                  <w:tcW w:w="739" w:type="pct"/>
                  <w:tcBorders>
                    <w:tl2br w:val="nil"/>
                    <w:tr2bl w:val="nil"/>
                  </w:tcBorders>
                  <w:vAlign w:val="center"/>
                </w:tcPr>
                <w:p w14:paraId="395574C4">
                  <w:pPr>
                    <w:wordWrap w:val="0"/>
                    <w:snapToGrid w:val="0"/>
                    <w:jc w:val="center"/>
                    <w:rPr>
                      <w:szCs w:val="21"/>
                      <w:u w:val="none"/>
                    </w:rPr>
                  </w:pPr>
                  <w:r>
                    <w:rPr>
                      <w:szCs w:val="21"/>
                      <w:u w:val="none"/>
                      <w:lang w:bidi="ar"/>
                    </w:rPr>
                    <w:t>监测频</w:t>
                  </w:r>
                  <w:r>
                    <w:rPr>
                      <w:rFonts w:hint="eastAsia"/>
                      <w:szCs w:val="21"/>
                      <w:u w:val="none"/>
                      <w:lang w:bidi="ar"/>
                    </w:rPr>
                    <w:t>次</w:t>
                  </w:r>
                </w:p>
              </w:tc>
              <w:tc>
                <w:tcPr>
                  <w:tcW w:w="1071" w:type="pct"/>
                  <w:tcBorders>
                    <w:tl2br w:val="nil"/>
                    <w:tr2bl w:val="nil"/>
                  </w:tcBorders>
                  <w:vAlign w:val="center"/>
                </w:tcPr>
                <w:p w14:paraId="15A428AD">
                  <w:pPr>
                    <w:pStyle w:val="144"/>
                    <w:rPr>
                      <w:u w:val="none"/>
                      <w:lang w:bidi="ar"/>
                    </w:rPr>
                  </w:pPr>
                  <w:r>
                    <w:rPr>
                      <w:rFonts w:hint="eastAsia"/>
                      <w:u w:val="none"/>
                    </w:rPr>
                    <w:t>监测方法</w:t>
                  </w:r>
                </w:p>
              </w:tc>
              <w:tc>
                <w:tcPr>
                  <w:tcW w:w="967" w:type="pct"/>
                  <w:tcBorders>
                    <w:tl2br w:val="nil"/>
                    <w:tr2bl w:val="nil"/>
                  </w:tcBorders>
                  <w:vAlign w:val="center"/>
                </w:tcPr>
                <w:p w14:paraId="23EA24DA">
                  <w:pPr>
                    <w:pStyle w:val="144"/>
                    <w:rPr>
                      <w:u w:val="none"/>
                      <w:lang w:bidi="ar"/>
                    </w:rPr>
                  </w:pPr>
                  <w:r>
                    <w:rPr>
                      <w:rFonts w:hint="eastAsia"/>
                      <w:u w:val="none"/>
                    </w:rPr>
                    <w:t>执行标准</w:t>
                  </w:r>
                </w:p>
              </w:tc>
            </w:tr>
            <w:tr w14:paraId="61F7E4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80" w:type="pct"/>
                  <w:tcBorders>
                    <w:tl2br w:val="nil"/>
                    <w:tr2bl w:val="nil"/>
                  </w:tcBorders>
                  <w:vAlign w:val="center"/>
                </w:tcPr>
                <w:p w14:paraId="75A2E8D3">
                  <w:pPr>
                    <w:wordWrap w:val="0"/>
                    <w:snapToGrid w:val="0"/>
                    <w:jc w:val="center"/>
                    <w:rPr>
                      <w:szCs w:val="21"/>
                      <w:u w:val="none"/>
                      <w:lang w:bidi="ar"/>
                    </w:rPr>
                  </w:pPr>
                  <w:r>
                    <w:rPr>
                      <w:rFonts w:hint="eastAsia"/>
                      <w:szCs w:val="21"/>
                      <w:u w:val="none"/>
                      <w:lang w:bidi="ar"/>
                    </w:rPr>
                    <w:t>噪声</w:t>
                  </w:r>
                </w:p>
              </w:tc>
              <w:tc>
                <w:tcPr>
                  <w:tcW w:w="629" w:type="pct"/>
                  <w:tcBorders>
                    <w:tl2br w:val="nil"/>
                    <w:tr2bl w:val="nil"/>
                  </w:tcBorders>
                  <w:vAlign w:val="center"/>
                </w:tcPr>
                <w:p w14:paraId="29938024">
                  <w:pPr>
                    <w:wordWrap w:val="0"/>
                    <w:snapToGrid w:val="0"/>
                    <w:jc w:val="center"/>
                    <w:rPr>
                      <w:szCs w:val="21"/>
                      <w:u w:val="none"/>
                      <w:lang w:bidi="ar"/>
                    </w:rPr>
                  </w:pPr>
                  <w:r>
                    <w:rPr>
                      <w:szCs w:val="21"/>
                      <w:u w:val="none"/>
                      <w:lang w:bidi="ar"/>
                    </w:rPr>
                    <w:t>厂界四周外1m处</w:t>
                  </w:r>
                </w:p>
              </w:tc>
              <w:tc>
                <w:tcPr>
                  <w:tcW w:w="660" w:type="pct"/>
                  <w:tcBorders>
                    <w:tl2br w:val="nil"/>
                    <w:tr2bl w:val="nil"/>
                  </w:tcBorders>
                  <w:vAlign w:val="center"/>
                </w:tcPr>
                <w:p w14:paraId="7C5CDE5D">
                  <w:pPr>
                    <w:wordWrap w:val="0"/>
                    <w:snapToGrid w:val="0"/>
                    <w:jc w:val="center"/>
                    <w:rPr>
                      <w:szCs w:val="21"/>
                      <w:u w:val="none"/>
                      <w:lang w:bidi="ar"/>
                    </w:rPr>
                  </w:pPr>
                  <w:r>
                    <w:rPr>
                      <w:rFonts w:hint="eastAsia"/>
                      <w:szCs w:val="21"/>
                      <w:u w:val="none"/>
                      <w:lang w:bidi="ar"/>
                    </w:rPr>
                    <w:t>等效连续A声级</w:t>
                  </w:r>
                </w:p>
              </w:tc>
              <w:tc>
                <w:tcPr>
                  <w:tcW w:w="551" w:type="pct"/>
                  <w:tcBorders>
                    <w:tl2br w:val="nil"/>
                    <w:tr2bl w:val="nil"/>
                  </w:tcBorders>
                  <w:vAlign w:val="center"/>
                </w:tcPr>
                <w:p w14:paraId="5079CE19">
                  <w:pPr>
                    <w:wordWrap w:val="0"/>
                    <w:snapToGrid w:val="0"/>
                    <w:jc w:val="center"/>
                    <w:rPr>
                      <w:szCs w:val="21"/>
                      <w:u w:val="none"/>
                      <w:lang w:bidi="ar"/>
                    </w:rPr>
                  </w:pPr>
                  <w:r>
                    <w:rPr>
                      <w:rFonts w:hint="eastAsia"/>
                      <w:szCs w:val="21"/>
                      <w:u w:val="none"/>
                      <w:lang w:bidi="ar"/>
                    </w:rPr>
                    <w:t>手工监测</w:t>
                  </w:r>
                </w:p>
              </w:tc>
              <w:tc>
                <w:tcPr>
                  <w:tcW w:w="739" w:type="pct"/>
                  <w:tcBorders>
                    <w:tl2br w:val="nil"/>
                    <w:tr2bl w:val="nil"/>
                  </w:tcBorders>
                  <w:vAlign w:val="center"/>
                </w:tcPr>
                <w:p w14:paraId="38B3B6E8">
                  <w:pPr>
                    <w:wordWrap w:val="0"/>
                    <w:snapToGrid w:val="0"/>
                    <w:jc w:val="center"/>
                    <w:rPr>
                      <w:szCs w:val="21"/>
                      <w:u w:val="none"/>
                      <w:lang w:bidi="ar"/>
                    </w:rPr>
                  </w:pPr>
                  <w:r>
                    <w:rPr>
                      <w:bCs/>
                      <w:szCs w:val="21"/>
                      <w:u w:val="none"/>
                      <w:lang w:bidi="ar"/>
                    </w:rPr>
                    <w:t>1次/季度，每次监测1天，仅昼间监测</w:t>
                  </w:r>
                </w:p>
              </w:tc>
              <w:tc>
                <w:tcPr>
                  <w:tcW w:w="1071" w:type="pct"/>
                  <w:tcBorders>
                    <w:tl2br w:val="nil"/>
                    <w:tr2bl w:val="nil"/>
                  </w:tcBorders>
                  <w:vAlign w:val="center"/>
                </w:tcPr>
                <w:p w14:paraId="7904AD5D">
                  <w:pPr>
                    <w:wordWrap w:val="0"/>
                    <w:snapToGrid w:val="0"/>
                    <w:jc w:val="center"/>
                    <w:rPr>
                      <w:szCs w:val="21"/>
                      <w:u w:val="none"/>
                      <w:lang w:bidi="ar"/>
                    </w:rPr>
                  </w:pPr>
                  <w:r>
                    <w:rPr>
                      <w:szCs w:val="21"/>
                      <w:u w:val="none"/>
                      <w:lang w:bidi="ar"/>
                    </w:rPr>
                    <w:t>《工业企业厂界环境噪声排放标准》（GB12348-2008）</w:t>
                  </w:r>
                </w:p>
              </w:tc>
              <w:tc>
                <w:tcPr>
                  <w:tcW w:w="967" w:type="pct"/>
                  <w:tcBorders>
                    <w:tl2br w:val="nil"/>
                    <w:tr2bl w:val="nil"/>
                  </w:tcBorders>
                  <w:vAlign w:val="center"/>
                </w:tcPr>
                <w:p w14:paraId="6FBB3C68">
                  <w:pPr>
                    <w:wordWrap w:val="0"/>
                    <w:snapToGrid w:val="0"/>
                    <w:jc w:val="center"/>
                    <w:rPr>
                      <w:szCs w:val="21"/>
                      <w:u w:val="none"/>
                      <w:lang w:bidi="ar"/>
                    </w:rPr>
                  </w:pPr>
                  <w:r>
                    <w:rPr>
                      <w:szCs w:val="21"/>
                      <w:u w:val="none"/>
                      <w:lang w:bidi="ar"/>
                    </w:rPr>
                    <w:t>《工业企业厂界环境噪声排放标准》（GB12348-2008）中</w:t>
                  </w:r>
                  <w:r>
                    <w:rPr>
                      <w:rFonts w:hint="eastAsia"/>
                      <w:szCs w:val="21"/>
                      <w:u w:val="none"/>
                      <w:lang w:bidi="ar"/>
                    </w:rPr>
                    <w:t>3</w:t>
                  </w:r>
                  <w:r>
                    <w:rPr>
                      <w:szCs w:val="21"/>
                      <w:u w:val="none"/>
                      <w:lang w:bidi="ar"/>
                    </w:rPr>
                    <w:t>类标准值</w:t>
                  </w:r>
                </w:p>
              </w:tc>
            </w:tr>
          </w:tbl>
          <w:p w14:paraId="6EAEEB90">
            <w:pPr>
              <w:pStyle w:val="15"/>
              <w:snapToGrid/>
              <w:spacing w:after="0" w:line="360" w:lineRule="auto"/>
              <w:ind w:left="420" w:leftChars="200"/>
              <w:rPr>
                <w:b/>
                <w:bCs/>
                <w:kern w:val="2"/>
                <w:sz w:val="24"/>
                <w:szCs w:val="24"/>
                <w:u w:val="none"/>
              </w:rPr>
            </w:pPr>
            <w:r>
              <w:rPr>
                <w:rFonts w:hint="eastAsia"/>
                <w:b/>
                <w:bCs/>
                <w:kern w:val="2"/>
                <w:sz w:val="24"/>
                <w:szCs w:val="24"/>
                <w:u w:val="none"/>
              </w:rPr>
              <w:t>4、固体废物</w:t>
            </w:r>
          </w:p>
          <w:p w14:paraId="0704FB2F">
            <w:pPr>
              <w:spacing w:line="360" w:lineRule="auto"/>
              <w:ind w:firstLine="480" w:firstLineChars="200"/>
              <w:rPr>
                <w:sz w:val="24"/>
                <w:u w:val="none"/>
              </w:rPr>
            </w:pPr>
            <w:r>
              <w:rPr>
                <w:rFonts w:hint="eastAsia"/>
                <w:sz w:val="24"/>
                <w:u w:val="none"/>
              </w:rPr>
              <w:t>项目与修理厂签订了机械维护保养协议，装载机定期开至修理厂维护保养，本项目厂区不进行装载机的保养。项目运营期无机修固体废物产生，运营期固体废物为职工办公生活产生的办公生活垃圾、场地雨污水收集池沉渣、车辆清洗废水沉淀池沉渣、化粪池污泥、一体化污水处理站污泥。</w:t>
            </w:r>
          </w:p>
          <w:p w14:paraId="31771EC2">
            <w:pPr>
              <w:pStyle w:val="15"/>
              <w:snapToGrid/>
              <w:spacing w:after="0" w:line="360" w:lineRule="auto"/>
              <w:ind w:left="420" w:leftChars="200"/>
              <w:rPr>
                <w:b/>
                <w:bCs/>
                <w:kern w:val="2"/>
                <w:sz w:val="24"/>
                <w:szCs w:val="24"/>
                <w:u w:val="none"/>
              </w:rPr>
            </w:pPr>
            <w:r>
              <w:rPr>
                <w:rFonts w:hint="eastAsia"/>
                <w:b/>
                <w:bCs/>
                <w:kern w:val="2"/>
                <w:sz w:val="24"/>
                <w:szCs w:val="24"/>
                <w:u w:val="none"/>
              </w:rPr>
              <w:t>4.1、固体废物产生情况及处置措施</w:t>
            </w:r>
          </w:p>
          <w:p w14:paraId="22697423">
            <w:pPr>
              <w:spacing w:line="360" w:lineRule="auto"/>
              <w:ind w:firstLine="482" w:firstLineChars="200"/>
              <w:rPr>
                <w:b/>
                <w:bCs/>
                <w:sz w:val="24"/>
                <w:u w:val="none"/>
              </w:rPr>
            </w:pPr>
            <w:r>
              <w:rPr>
                <w:rFonts w:hint="eastAsia"/>
                <w:b/>
                <w:bCs/>
                <w:sz w:val="24"/>
                <w:u w:val="none"/>
              </w:rPr>
              <w:t>（1）办公生活垃圾</w:t>
            </w:r>
          </w:p>
          <w:p w14:paraId="393553FB">
            <w:pPr>
              <w:spacing w:line="360" w:lineRule="auto"/>
              <w:ind w:firstLine="480" w:firstLineChars="200"/>
              <w:rPr>
                <w:sz w:val="24"/>
                <w:u w:val="none"/>
              </w:rPr>
            </w:pPr>
            <w:r>
              <w:rPr>
                <w:rFonts w:hint="eastAsia"/>
                <w:sz w:val="24"/>
                <w:u w:val="none"/>
              </w:rPr>
              <w:t>项目劳动定员5人，人均产生办公生活垃圾量按0.5kg/d 计，则员工办公生活垃圾产生量约为2.5kg/d、0.75t/a。在厂区设置加盖生活垃圾收集桶1只，职工办公生活垃圾统一收集于垃圾桶内，由工业园区环卫部门定期清运处理。</w:t>
            </w:r>
          </w:p>
          <w:p w14:paraId="72DD3383">
            <w:pPr>
              <w:spacing w:line="360" w:lineRule="auto"/>
              <w:ind w:left="420" w:leftChars="200"/>
              <w:rPr>
                <w:b/>
                <w:bCs/>
                <w:sz w:val="24"/>
                <w:u w:val="none"/>
              </w:rPr>
            </w:pPr>
            <w:r>
              <w:rPr>
                <w:rFonts w:hint="eastAsia"/>
                <w:b/>
                <w:bCs/>
                <w:sz w:val="24"/>
                <w:u w:val="none"/>
              </w:rPr>
              <w:t>（2）场地雨污水收集池沉渣</w:t>
            </w:r>
          </w:p>
          <w:p w14:paraId="406F5AB7">
            <w:pPr>
              <w:spacing w:line="360" w:lineRule="auto"/>
              <w:ind w:firstLine="420" w:firstLineChars="175"/>
              <w:rPr>
                <w:sz w:val="24"/>
                <w:u w:val="none"/>
              </w:rPr>
            </w:pPr>
            <w:r>
              <w:rPr>
                <w:rFonts w:hint="eastAsia"/>
                <w:sz w:val="24"/>
                <w:u w:val="none"/>
              </w:rPr>
              <w:t>项目场地雨污水收集池会产生沉渣，主要为磷矿石，产生量约1t/a，定期清掏后掺入磷矿中转运。</w:t>
            </w:r>
          </w:p>
          <w:p w14:paraId="47284F39">
            <w:pPr>
              <w:spacing w:line="360" w:lineRule="auto"/>
              <w:ind w:firstLine="422" w:firstLineChars="175"/>
              <w:rPr>
                <w:b/>
                <w:bCs/>
                <w:sz w:val="24"/>
                <w:u w:val="none"/>
              </w:rPr>
            </w:pPr>
            <w:r>
              <w:rPr>
                <w:rFonts w:hint="eastAsia"/>
                <w:b/>
                <w:bCs/>
                <w:sz w:val="24"/>
                <w:u w:val="none"/>
              </w:rPr>
              <w:t>（3）车辆清洗废水沉淀池沉渣</w:t>
            </w:r>
          </w:p>
          <w:p w14:paraId="519C64D3">
            <w:pPr>
              <w:spacing w:line="360" w:lineRule="auto"/>
              <w:ind w:firstLine="420" w:firstLineChars="175"/>
              <w:rPr>
                <w:sz w:val="24"/>
                <w:u w:val="none"/>
              </w:rPr>
            </w:pPr>
            <w:r>
              <w:rPr>
                <w:rFonts w:hint="eastAsia"/>
                <w:sz w:val="24"/>
                <w:u w:val="none"/>
              </w:rPr>
              <w:t>项目车辆清洗废水沉淀池会产生沉渣，主要为磷矿石，产生量约9t/a，定期清掏后掺入磷矿中转运。</w:t>
            </w:r>
          </w:p>
          <w:p w14:paraId="78B23F92">
            <w:pPr>
              <w:spacing w:line="360" w:lineRule="auto"/>
              <w:ind w:firstLine="422" w:firstLineChars="175"/>
              <w:rPr>
                <w:b/>
                <w:bCs/>
                <w:sz w:val="24"/>
                <w:u w:val="none"/>
              </w:rPr>
            </w:pPr>
            <w:r>
              <w:rPr>
                <w:rFonts w:hint="eastAsia"/>
                <w:b/>
                <w:bCs/>
                <w:sz w:val="24"/>
                <w:u w:val="none"/>
              </w:rPr>
              <w:t>（4）化粪池污泥</w:t>
            </w:r>
          </w:p>
          <w:p w14:paraId="1A4816DF">
            <w:pPr>
              <w:spacing w:line="360" w:lineRule="auto"/>
              <w:ind w:firstLine="480" w:firstLineChars="200"/>
              <w:rPr>
                <w:sz w:val="24"/>
                <w:u w:val="none"/>
              </w:rPr>
            </w:pPr>
            <w:r>
              <w:rPr>
                <w:sz w:val="24"/>
                <w:u w:val="none"/>
              </w:rPr>
              <w:t>项目运营期会产生化粪池污泥，约</w:t>
            </w:r>
            <w:r>
              <w:rPr>
                <w:rFonts w:hint="eastAsia"/>
                <w:sz w:val="24"/>
                <w:u w:val="none"/>
              </w:rPr>
              <w:t>1</w:t>
            </w:r>
            <w:r>
              <w:rPr>
                <w:sz w:val="24"/>
                <w:u w:val="none"/>
              </w:rPr>
              <w:t>t/a，化粪池污泥</w:t>
            </w:r>
            <w:r>
              <w:rPr>
                <w:sz w:val="24"/>
                <w:u w:val="thick" w:color="FFB03A"/>
                <w:shd w:val="clear" w:fill="FFEFD7"/>
              </w:rPr>
              <w:t>委托</w:t>
            </w:r>
            <w:r>
              <w:rPr>
                <w:sz w:val="24"/>
                <w:u w:val="none"/>
              </w:rPr>
              <w:t>周围村民</w:t>
            </w:r>
            <w:r>
              <w:rPr>
                <w:rFonts w:hint="eastAsia"/>
                <w:sz w:val="24"/>
                <w:u w:val="none"/>
              </w:rPr>
              <w:t>定期</w:t>
            </w:r>
            <w:r>
              <w:rPr>
                <w:sz w:val="24"/>
                <w:u w:val="none"/>
              </w:rPr>
              <w:t>清掏</w:t>
            </w:r>
            <w:r>
              <w:rPr>
                <w:rFonts w:hint="eastAsia"/>
                <w:sz w:val="24"/>
                <w:u w:val="none"/>
              </w:rPr>
              <w:t>回用于农业生产</w:t>
            </w:r>
            <w:r>
              <w:rPr>
                <w:sz w:val="24"/>
                <w:u w:val="none"/>
              </w:rPr>
              <w:t>。</w:t>
            </w:r>
          </w:p>
          <w:p w14:paraId="0F3B19B1">
            <w:pPr>
              <w:spacing w:line="360" w:lineRule="auto"/>
              <w:ind w:firstLine="422" w:firstLineChars="175"/>
              <w:rPr>
                <w:b/>
                <w:bCs/>
                <w:sz w:val="24"/>
                <w:u w:val="none"/>
              </w:rPr>
            </w:pPr>
            <w:r>
              <w:rPr>
                <w:rFonts w:hint="eastAsia"/>
                <w:b/>
                <w:bCs/>
                <w:sz w:val="24"/>
                <w:u w:val="none"/>
              </w:rPr>
              <w:t>（5）一体化污水处理站污泥</w:t>
            </w:r>
          </w:p>
          <w:p w14:paraId="456D2A07">
            <w:pPr>
              <w:spacing w:line="360" w:lineRule="auto"/>
              <w:ind w:firstLine="480" w:firstLineChars="200"/>
              <w:rPr>
                <w:sz w:val="24"/>
                <w:u w:val="none"/>
              </w:rPr>
            </w:pPr>
            <w:r>
              <w:rPr>
                <w:rFonts w:hint="eastAsia"/>
                <w:sz w:val="24"/>
                <w:u w:val="none"/>
              </w:rPr>
              <w:t>一体化污水处理站运行过程中会产生一定量的污泥，根据《污水处理厂污泥产生系数使用手册》，生活污水处理站污泥综合产生系数为</w:t>
            </w:r>
            <w:r>
              <w:rPr>
                <w:sz w:val="24"/>
                <w:u w:val="none"/>
              </w:rPr>
              <w:t>1.</w:t>
            </w:r>
            <w:r>
              <w:rPr>
                <w:rFonts w:hint="eastAsia"/>
                <w:sz w:val="24"/>
                <w:u w:val="none"/>
              </w:rPr>
              <w:t>25吨</w:t>
            </w:r>
            <w:r>
              <w:rPr>
                <w:sz w:val="24"/>
                <w:u w:val="none"/>
              </w:rPr>
              <w:t>/</w:t>
            </w:r>
            <w:r>
              <w:rPr>
                <w:rFonts w:hint="eastAsia"/>
                <w:sz w:val="24"/>
                <w:u w:val="none"/>
              </w:rPr>
              <w:t>吨－化学需氧量去除量，项目生活污水处理站化学需氧量去除量约0.01658/a，则一体化污水处理站污泥产生量为0.021t/a。一体化污水处理站污泥委托当地村民定期清掏，全部作为农肥使用</w:t>
            </w:r>
            <w:r>
              <w:rPr>
                <w:sz w:val="24"/>
                <w:u w:val="none"/>
              </w:rPr>
              <w:t>。</w:t>
            </w:r>
          </w:p>
          <w:p w14:paraId="7C44C506">
            <w:pPr>
              <w:pStyle w:val="166"/>
              <w:adjustRightInd w:val="0"/>
              <w:snapToGrid w:val="0"/>
              <w:rPr>
                <w:b/>
                <w:szCs w:val="21"/>
                <w:u w:val="none"/>
              </w:rPr>
            </w:pPr>
            <w:r>
              <w:rPr>
                <w:b/>
                <w:szCs w:val="21"/>
                <w:u w:val="none"/>
              </w:rPr>
              <w:t>表4-</w:t>
            </w:r>
            <w:r>
              <w:rPr>
                <w:rFonts w:hint="eastAsia"/>
                <w:b/>
                <w:szCs w:val="21"/>
                <w:u w:val="none"/>
              </w:rPr>
              <w:t xml:space="preserve">12  </w:t>
            </w:r>
            <w:r>
              <w:rPr>
                <w:b/>
                <w:szCs w:val="21"/>
                <w:u w:val="none"/>
              </w:rPr>
              <w:t xml:space="preserve"> 本项目</w:t>
            </w:r>
            <w:r>
              <w:rPr>
                <w:rFonts w:hint="eastAsia"/>
                <w:b/>
                <w:szCs w:val="21"/>
                <w:u w:val="none"/>
              </w:rPr>
              <w:t>一般</w:t>
            </w:r>
            <w:r>
              <w:rPr>
                <w:b/>
                <w:szCs w:val="21"/>
                <w:u w:val="none"/>
              </w:rPr>
              <w:t>固体废物处置情况</w:t>
            </w:r>
          </w:p>
          <w:tbl>
            <w:tblPr>
              <w:tblStyle w:val="38"/>
              <w:tblW w:w="49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502"/>
              <w:gridCol w:w="1651"/>
              <w:gridCol w:w="1568"/>
              <w:gridCol w:w="1130"/>
              <w:gridCol w:w="1128"/>
            </w:tblGrid>
            <w:tr w14:paraId="0DED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vAlign w:val="center"/>
                </w:tcPr>
                <w:p w14:paraId="7A69AF47">
                  <w:pPr>
                    <w:pStyle w:val="166"/>
                    <w:adjustRightInd w:val="0"/>
                    <w:snapToGrid w:val="0"/>
                    <w:rPr>
                      <w:b/>
                      <w:szCs w:val="21"/>
                      <w:u w:val="none"/>
                    </w:rPr>
                  </w:pPr>
                  <w:r>
                    <w:rPr>
                      <w:b/>
                      <w:szCs w:val="21"/>
                      <w:u w:val="none"/>
                    </w:rPr>
                    <w:t>产污环节</w:t>
                  </w:r>
                </w:p>
              </w:tc>
              <w:tc>
                <w:tcPr>
                  <w:tcW w:w="904" w:type="pct"/>
                  <w:vAlign w:val="center"/>
                </w:tcPr>
                <w:p w14:paraId="60C4D4B4">
                  <w:pPr>
                    <w:widowControl/>
                    <w:adjustRightInd w:val="0"/>
                    <w:snapToGrid w:val="0"/>
                    <w:jc w:val="center"/>
                    <w:rPr>
                      <w:bCs/>
                      <w:szCs w:val="21"/>
                      <w:u w:val="none"/>
                    </w:rPr>
                  </w:pPr>
                  <w:r>
                    <w:rPr>
                      <w:rFonts w:hint="eastAsia"/>
                      <w:bCs/>
                      <w:szCs w:val="21"/>
                      <w:u w:val="none"/>
                    </w:rPr>
                    <w:t>场地雨污水收集池</w:t>
                  </w:r>
                </w:p>
              </w:tc>
              <w:tc>
                <w:tcPr>
                  <w:tcW w:w="993" w:type="pct"/>
                  <w:vAlign w:val="center"/>
                </w:tcPr>
                <w:p w14:paraId="523A207F">
                  <w:pPr>
                    <w:widowControl/>
                    <w:adjustRightInd w:val="0"/>
                    <w:snapToGrid w:val="0"/>
                    <w:jc w:val="center"/>
                    <w:rPr>
                      <w:bCs/>
                      <w:szCs w:val="21"/>
                      <w:u w:val="none"/>
                    </w:rPr>
                  </w:pPr>
                  <w:r>
                    <w:rPr>
                      <w:rFonts w:hint="eastAsia"/>
                      <w:bCs/>
                      <w:szCs w:val="21"/>
                      <w:u w:val="none"/>
                    </w:rPr>
                    <w:t>车辆清洗废水沉淀池</w:t>
                  </w:r>
                </w:p>
              </w:tc>
              <w:tc>
                <w:tcPr>
                  <w:tcW w:w="944" w:type="pct"/>
                  <w:vAlign w:val="center"/>
                </w:tcPr>
                <w:p w14:paraId="05DE99A6">
                  <w:pPr>
                    <w:pStyle w:val="166"/>
                    <w:adjustRightInd w:val="0"/>
                    <w:snapToGrid w:val="0"/>
                    <w:rPr>
                      <w:bCs/>
                      <w:szCs w:val="21"/>
                      <w:u w:val="none"/>
                    </w:rPr>
                  </w:pPr>
                  <w:r>
                    <w:rPr>
                      <w:rFonts w:hint="eastAsia"/>
                      <w:bCs/>
                      <w:szCs w:val="21"/>
                      <w:u w:val="none"/>
                    </w:rPr>
                    <w:t>职工</w:t>
                  </w:r>
                </w:p>
              </w:tc>
              <w:tc>
                <w:tcPr>
                  <w:tcW w:w="680" w:type="pct"/>
                  <w:vAlign w:val="center"/>
                </w:tcPr>
                <w:p w14:paraId="5B192684">
                  <w:pPr>
                    <w:pStyle w:val="166"/>
                    <w:adjustRightInd w:val="0"/>
                    <w:snapToGrid w:val="0"/>
                    <w:rPr>
                      <w:bCs/>
                      <w:szCs w:val="21"/>
                      <w:u w:val="none"/>
                    </w:rPr>
                  </w:pPr>
                  <w:r>
                    <w:rPr>
                      <w:rFonts w:hint="eastAsia"/>
                      <w:bCs/>
                      <w:szCs w:val="21"/>
                      <w:u w:val="none"/>
                    </w:rPr>
                    <w:t>化粪池</w:t>
                  </w:r>
                </w:p>
              </w:tc>
              <w:tc>
                <w:tcPr>
                  <w:tcW w:w="679" w:type="pct"/>
                  <w:vAlign w:val="center"/>
                </w:tcPr>
                <w:p w14:paraId="7E39B01B">
                  <w:pPr>
                    <w:pStyle w:val="166"/>
                    <w:adjustRightInd w:val="0"/>
                    <w:snapToGrid w:val="0"/>
                    <w:rPr>
                      <w:szCs w:val="21"/>
                      <w:u w:val="none"/>
                    </w:rPr>
                  </w:pPr>
                  <w:r>
                    <w:rPr>
                      <w:rFonts w:hint="eastAsia"/>
                      <w:szCs w:val="21"/>
                      <w:u w:val="none"/>
                    </w:rPr>
                    <w:t>一体化污水处理站</w:t>
                  </w:r>
                </w:p>
              </w:tc>
            </w:tr>
            <w:tr w14:paraId="0EA5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vAlign w:val="center"/>
                </w:tcPr>
                <w:p w14:paraId="433620B2">
                  <w:pPr>
                    <w:pStyle w:val="166"/>
                    <w:adjustRightInd w:val="0"/>
                    <w:snapToGrid w:val="0"/>
                    <w:rPr>
                      <w:b/>
                      <w:szCs w:val="21"/>
                      <w:u w:val="none"/>
                    </w:rPr>
                  </w:pPr>
                  <w:r>
                    <w:rPr>
                      <w:b/>
                      <w:szCs w:val="21"/>
                      <w:u w:val="none"/>
                    </w:rPr>
                    <w:t>名称</w:t>
                  </w:r>
                </w:p>
              </w:tc>
              <w:tc>
                <w:tcPr>
                  <w:tcW w:w="904" w:type="pct"/>
                  <w:vAlign w:val="center"/>
                </w:tcPr>
                <w:p w14:paraId="4EE34D9C">
                  <w:pPr>
                    <w:pStyle w:val="166"/>
                    <w:adjustRightInd w:val="0"/>
                    <w:snapToGrid w:val="0"/>
                    <w:rPr>
                      <w:bCs/>
                      <w:szCs w:val="21"/>
                      <w:u w:val="none"/>
                    </w:rPr>
                  </w:pPr>
                  <w:r>
                    <w:rPr>
                      <w:rFonts w:hint="eastAsia"/>
                      <w:bCs/>
                      <w:szCs w:val="21"/>
                      <w:u w:val="none"/>
                    </w:rPr>
                    <w:t>场地雨污水收集池沉渣</w:t>
                  </w:r>
                </w:p>
              </w:tc>
              <w:tc>
                <w:tcPr>
                  <w:tcW w:w="993" w:type="pct"/>
                  <w:vAlign w:val="center"/>
                </w:tcPr>
                <w:p w14:paraId="0FAD2F6D">
                  <w:pPr>
                    <w:pStyle w:val="166"/>
                    <w:adjustRightInd w:val="0"/>
                    <w:snapToGrid w:val="0"/>
                    <w:rPr>
                      <w:bCs/>
                      <w:szCs w:val="21"/>
                      <w:u w:val="none"/>
                    </w:rPr>
                  </w:pPr>
                  <w:r>
                    <w:rPr>
                      <w:rFonts w:hint="eastAsia"/>
                      <w:bCs/>
                      <w:szCs w:val="21"/>
                      <w:u w:val="none"/>
                    </w:rPr>
                    <w:t>车辆清洗废水沉淀池沉渣</w:t>
                  </w:r>
                </w:p>
              </w:tc>
              <w:tc>
                <w:tcPr>
                  <w:tcW w:w="944" w:type="pct"/>
                  <w:vAlign w:val="center"/>
                </w:tcPr>
                <w:p w14:paraId="5E8A0EB3">
                  <w:pPr>
                    <w:pStyle w:val="166"/>
                    <w:adjustRightInd w:val="0"/>
                    <w:snapToGrid w:val="0"/>
                    <w:rPr>
                      <w:bCs/>
                      <w:szCs w:val="21"/>
                      <w:u w:val="none"/>
                    </w:rPr>
                  </w:pPr>
                  <w:r>
                    <w:rPr>
                      <w:rFonts w:hint="eastAsia"/>
                      <w:bCs/>
                      <w:szCs w:val="21"/>
                      <w:u w:val="none"/>
                    </w:rPr>
                    <w:t>办公生活</w:t>
                  </w:r>
                  <w:r>
                    <w:rPr>
                      <w:bCs/>
                      <w:szCs w:val="21"/>
                      <w:u w:val="none"/>
                    </w:rPr>
                    <w:t>垃圾</w:t>
                  </w:r>
                </w:p>
              </w:tc>
              <w:tc>
                <w:tcPr>
                  <w:tcW w:w="680" w:type="pct"/>
                  <w:vAlign w:val="center"/>
                </w:tcPr>
                <w:p w14:paraId="0394D4B8">
                  <w:pPr>
                    <w:pStyle w:val="166"/>
                    <w:adjustRightInd w:val="0"/>
                    <w:snapToGrid w:val="0"/>
                    <w:rPr>
                      <w:bCs/>
                      <w:szCs w:val="21"/>
                      <w:u w:val="none"/>
                    </w:rPr>
                  </w:pPr>
                  <w:r>
                    <w:rPr>
                      <w:rFonts w:hint="eastAsia"/>
                      <w:bCs/>
                      <w:szCs w:val="21"/>
                      <w:u w:val="none"/>
                    </w:rPr>
                    <w:t>化粪池污泥</w:t>
                  </w:r>
                </w:p>
              </w:tc>
              <w:tc>
                <w:tcPr>
                  <w:tcW w:w="679" w:type="pct"/>
                  <w:vAlign w:val="center"/>
                </w:tcPr>
                <w:p w14:paraId="21BEE9C4">
                  <w:pPr>
                    <w:pStyle w:val="166"/>
                    <w:adjustRightInd w:val="0"/>
                    <w:snapToGrid w:val="0"/>
                    <w:rPr>
                      <w:szCs w:val="21"/>
                      <w:u w:val="none"/>
                    </w:rPr>
                  </w:pPr>
                  <w:r>
                    <w:rPr>
                      <w:rFonts w:hint="eastAsia"/>
                      <w:szCs w:val="21"/>
                      <w:u w:val="none"/>
                    </w:rPr>
                    <w:t>一体化污水处理站污泥</w:t>
                  </w:r>
                </w:p>
              </w:tc>
            </w:tr>
            <w:tr w14:paraId="50CF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98" w:type="pct"/>
                  <w:vAlign w:val="center"/>
                </w:tcPr>
                <w:p w14:paraId="4458D972">
                  <w:pPr>
                    <w:pStyle w:val="166"/>
                    <w:adjustRightInd w:val="0"/>
                    <w:snapToGrid w:val="0"/>
                    <w:rPr>
                      <w:b/>
                      <w:szCs w:val="21"/>
                      <w:u w:val="none"/>
                    </w:rPr>
                  </w:pPr>
                  <w:r>
                    <w:rPr>
                      <w:b/>
                      <w:szCs w:val="21"/>
                      <w:u w:val="none"/>
                    </w:rPr>
                    <w:t>属性</w:t>
                  </w:r>
                </w:p>
              </w:tc>
              <w:tc>
                <w:tcPr>
                  <w:tcW w:w="4201" w:type="pct"/>
                  <w:gridSpan w:val="5"/>
                  <w:tcBorders>
                    <w:right w:val="single" w:color="auto" w:sz="4" w:space="0"/>
                  </w:tcBorders>
                  <w:vAlign w:val="center"/>
                </w:tcPr>
                <w:p w14:paraId="248AB840">
                  <w:pPr>
                    <w:pStyle w:val="166"/>
                    <w:adjustRightInd w:val="0"/>
                    <w:snapToGrid w:val="0"/>
                    <w:rPr>
                      <w:bCs/>
                      <w:szCs w:val="21"/>
                      <w:u w:val="none"/>
                    </w:rPr>
                  </w:pPr>
                  <w:r>
                    <w:rPr>
                      <w:rFonts w:hint="eastAsia"/>
                      <w:bCs/>
                      <w:szCs w:val="21"/>
                      <w:u w:val="none"/>
                    </w:rPr>
                    <w:t>一般固废</w:t>
                  </w:r>
                </w:p>
              </w:tc>
            </w:tr>
            <w:tr w14:paraId="3013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vAlign w:val="center"/>
                </w:tcPr>
                <w:p w14:paraId="66E14AFD">
                  <w:pPr>
                    <w:widowControl/>
                    <w:adjustRightInd w:val="0"/>
                    <w:snapToGrid w:val="0"/>
                    <w:jc w:val="center"/>
                    <w:rPr>
                      <w:b/>
                      <w:szCs w:val="21"/>
                      <w:u w:val="none"/>
                    </w:rPr>
                  </w:pPr>
                  <w:r>
                    <w:rPr>
                      <w:b/>
                      <w:kern w:val="0"/>
                      <w:szCs w:val="21"/>
                      <w:u w:val="none"/>
                      <w:lang w:bidi="ar"/>
                    </w:rPr>
                    <w:t>物理性状</w:t>
                  </w:r>
                </w:p>
              </w:tc>
              <w:tc>
                <w:tcPr>
                  <w:tcW w:w="904" w:type="pct"/>
                  <w:vAlign w:val="center"/>
                </w:tcPr>
                <w:p w14:paraId="18218645">
                  <w:pPr>
                    <w:pStyle w:val="166"/>
                    <w:adjustRightInd w:val="0"/>
                    <w:snapToGrid w:val="0"/>
                    <w:rPr>
                      <w:bCs/>
                      <w:szCs w:val="21"/>
                      <w:u w:val="none"/>
                    </w:rPr>
                  </w:pPr>
                  <w:r>
                    <w:rPr>
                      <w:rFonts w:hint="eastAsia"/>
                      <w:bCs/>
                      <w:szCs w:val="21"/>
                      <w:u w:val="none"/>
                    </w:rPr>
                    <w:t>固体</w:t>
                  </w:r>
                </w:p>
              </w:tc>
              <w:tc>
                <w:tcPr>
                  <w:tcW w:w="993" w:type="pct"/>
                  <w:vAlign w:val="center"/>
                </w:tcPr>
                <w:p w14:paraId="7F4DEA88">
                  <w:pPr>
                    <w:adjustRightInd w:val="0"/>
                    <w:snapToGrid w:val="0"/>
                    <w:jc w:val="center"/>
                    <w:rPr>
                      <w:bCs/>
                      <w:szCs w:val="21"/>
                      <w:u w:val="none"/>
                    </w:rPr>
                  </w:pPr>
                  <w:r>
                    <w:rPr>
                      <w:rFonts w:hint="eastAsia"/>
                      <w:bCs/>
                      <w:szCs w:val="21"/>
                      <w:u w:val="none"/>
                    </w:rPr>
                    <w:t>固体</w:t>
                  </w:r>
                </w:p>
              </w:tc>
              <w:tc>
                <w:tcPr>
                  <w:tcW w:w="944" w:type="pct"/>
                  <w:vAlign w:val="center"/>
                </w:tcPr>
                <w:p w14:paraId="3D31B14E">
                  <w:pPr>
                    <w:adjustRightInd w:val="0"/>
                    <w:snapToGrid w:val="0"/>
                    <w:jc w:val="center"/>
                    <w:rPr>
                      <w:bCs/>
                      <w:szCs w:val="21"/>
                      <w:u w:val="none"/>
                    </w:rPr>
                  </w:pPr>
                  <w:r>
                    <w:rPr>
                      <w:rFonts w:hint="eastAsia"/>
                      <w:bCs/>
                      <w:szCs w:val="21"/>
                      <w:u w:val="none"/>
                    </w:rPr>
                    <w:t>固体</w:t>
                  </w:r>
                </w:p>
              </w:tc>
              <w:tc>
                <w:tcPr>
                  <w:tcW w:w="680" w:type="pct"/>
                  <w:vAlign w:val="center"/>
                </w:tcPr>
                <w:p w14:paraId="36ACF661">
                  <w:pPr>
                    <w:adjustRightInd w:val="0"/>
                    <w:snapToGrid w:val="0"/>
                    <w:jc w:val="center"/>
                    <w:rPr>
                      <w:bCs/>
                      <w:szCs w:val="21"/>
                      <w:u w:val="none"/>
                    </w:rPr>
                  </w:pPr>
                  <w:r>
                    <w:rPr>
                      <w:rFonts w:hint="eastAsia"/>
                      <w:bCs/>
                      <w:szCs w:val="21"/>
                      <w:u w:val="none"/>
                    </w:rPr>
                    <w:t>固体</w:t>
                  </w:r>
                </w:p>
              </w:tc>
              <w:tc>
                <w:tcPr>
                  <w:tcW w:w="679" w:type="pct"/>
                  <w:vAlign w:val="center"/>
                </w:tcPr>
                <w:p w14:paraId="22308049">
                  <w:pPr>
                    <w:adjustRightInd w:val="0"/>
                    <w:snapToGrid w:val="0"/>
                    <w:jc w:val="center"/>
                    <w:rPr>
                      <w:bCs/>
                      <w:szCs w:val="21"/>
                      <w:u w:val="none"/>
                    </w:rPr>
                  </w:pPr>
                  <w:r>
                    <w:rPr>
                      <w:rFonts w:hint="eastAsia"/>
                      <w:bCs/>
                      <w:szCs w:val="21"/>
                      <w:u w:val="none"/>
                    </w:rPr>
                    <w:t>固体</w:t>
                  </w:r>
                </w:p>
              </w:tc>
            </w:tr>
            <w:tr w14:paraId="11B6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pct"/>
                  <w:vAlign w:val="center"/>
                </w:tcPr>
                <w:p w14:paraId="3C01A2ED">
                  <w:pPr>
                    <w:widowControl/>
                    <w:adjustRightInd w:val="0"/>
                    <w:snapToGrid w:val="0"/>
                    <w:jc w:val="center"/>
                    <w:rPr>
                      <w:b/>
                      <w:szCs w:val="21"/>
                      <w:u w:val="none"/>
                    </w:rPr>
                  </w:pPr>
                  <w:r>
                    <w:rPr>
                      <w:b/>
                      <w:kern w:val="0"/>
                      <w:szCs w:val="21"/>
                      <w:u w:val="none"/>
                      <w:lang w:bidi="ar"/>
                    </w:rPr>
                    <w:t>产生量</w:t>
                  </w:r>
                  <w:r>
                    <w:rPr>
                      <w:rFonts w:hint="eastAsia"/>
                      <w:b/>
                      <w:kern w:val="0"/>
                      <w:szCs w:val="21"/>
                      <w:u w:val="none"/>
                      <w:lang w:bidi="ar"/>
                    </w:rPr>
                    <w:t>（t/a）</w:t>
                  </w:r>
                </w:p>
              </w:tc>
              <w:tc>
                <w:tcPr>
                  <w:tcW w:w="904" w:type="pct"/>
                  <w:vAlign w:val="center"/>
                </w:tcPr>
                <w:p w14:paraId="284EE3CC">
                  <w:pPr>
                    <w:pStyle w:val="166"/>
                    <w:adjustRightInd w:val="0"/>
                    <w:snapToGrid w:val="0"/>
                    <w:rPr>
                      <w:bCs/>
                      <w:szCs w:val="21"/>
                      <w:u w:val="none"/>
                    </w:rPr>
                  </w:pPr>
                  <w:r>
                    <w:rPr>
                      <w:rFonts w:hint="eastAsia"/>
                      <w:bCs/>
                      <w:szCs w:val="21"/>
                      <w:u w:val="none"/>
                    </w:rPr>
                    <w:t>1</w:t>
                  </w:r>
                </w:p>
              </w:tc>
              <w:tc>
                <w:tcPr>
                  <w:tcW w:w="993" w:type="pct"/>
                  <w:vAlign w:val="center"/>
                </w:tcPr>
                <w:p w14:paraId="1DC261F8">
                  <w:pPr>
                    <w:pStyle w:val="166"/>
                    <w:adjustRightInd w:val="0"/>
                    <w:snapToGrid w:val="0"/>
                    <w:rPr>
                      <w:bCs/>
                      <w:szCs w:val="21"/>
                      <w:u w:val="none"/>
                    </w:rPr>
                  </w:pPr>
                  <w:r>
                    <w:rPr>
                      <w:rFonts w:hint="eastAsia"/>
                      <w:bCs/>
                      <w:szCs w:val="21"/>
                      <w:u w:val="none"/>
                    </w:rPr>
                    <w:t>9</w:t>
                  </w:r>
                </w:p>
              </w:tc>
              <w:tc>
                <w:tcPr>
                  <w:tcW w:w="944" w:type="pct"/>
                  <w:vAlign w:val="center"/>
                </w:tcPr>
                <w:p w14:paraId="1D1224F8">
                  <w:pPr>
                    <w:pStyle w:val="166"/>
                    <w:adjustRightInd w:val="0"/>
                    <w:snapToGrid w:val="0"/>
                    <w:rPr>
                      <w:bCs/>
                      <w:szCs w:val="21"/>
                      <w:u w:val="none"/>
                    </w:rPr>
                  </w:pPr>
                  <w:r>
                    <w:rPr>
                      <w:rFonts w:hint="eastAsia"/>
                      <w:bCs/>
                      <w:szCs w:val="21"/>
                      <w:u w:val="none"/>
                    </w:rPr>
                    <w:t>0.75</w:t>
                  </w:r>
                </w:p>
              </w:tc>
              <w:tc>
                <w:tcPr>
                  <w:tcW w:w="680" w:type="pct"/>
                  <w:vAlign w:val="center"/>
                </w:tcPr>
                <w:p w14:paraId="555DF7A1">
                  <w:pPr>
                    <w:pStyle w:val="166"/>
                    <w:adjustRightInd w:val="0"/>
                    <w:snapToGrid w:val="0"/>
                    <w:rPr>
                      <w:bCs/>
                      <w:szCs w:val="21"/>
                      <w:u w:val="none"/>
                    </w:rPr>
                  </w:pPr>
                  <w:r>
                    <w:rPr>
                      <w:rFonts w:hint="eastAsia"/>
                      <w:bCs/>
                      <w:szCs w:val="21"/>
                      <w:u w:val="none"/>
                    </w:rPr>
                    <w:t>1</w:t>
                  </w:r>
                </w:p>
              </w:tc>
              <w:tc>
                <w:tcPr>
                  <w:tcW w:w="679" w:type="pct"/>
                  <w:vAlign w:val="center"/>
                </w:tcPr>
                <w:p w14:paraId="5EE41EBF">
                  <w:pPr>
                    <w:pStyle w:val="166"/>
                    <w:adjustRightInd w:val="0"/>
                    <w:snapToGrid w:val="0"/>
                    <w:rPr>
                      <w:bCs/>
                      <w:szCs w:val="21"/>
                      <w:u w:val="none"/>
                    </w:rPr>
                  </w:pPr>
                  <w:r>
                    <w:rPr>
                      <w:rFonts w:hint="eastAsia"/>
                      <w:bCs/>
                      <w:szCs w:val="21"/>
                      <w:u w:val="none"/>
                    </w:rPr>
                    <w:t>0.021</w:t>
                  </w:r>
                </w:p>
              </w:tc>
            </w:tr>
            <w:tr w14:paraId="09BE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98" w:type="pct"/>
                  <w:vAlign w:val="center"/>
                </w:tcPr>
                <w:p w14:paraId="0C097AF5">
                  <w:pPr>
                    <w:pStyle w:val="166"/>
                    <w:adjustRightInd w:val="0"/>
                    <w:snapToGrid w:val="0"/>
                    <w:rPr>
                      <w:b/>
                      <w:szCs w:val="21"/>
                      <w:u w:val="none"/>
                    </w:rPr>
                  </w:pPr>
                  <w:r>
                    <w:rPr>
                      <w:b/>
                      <w:szCs w:val="21"/>
                      <w:u w:val="none"/>
                      <w:lang w:bidi="ar"/>
                    </w:rPr>
                    <w:t>贮存方式</w:t>
                  </w:r>
                </w:p>
              </w:tc>
              <w:tc>
                <w:tcPr>
                  <w:tcW w:w="1898" w:type="pct"/>
                  <w:gridSpan w:val="2"/>
                  <w:tcBorders>
                    <w:right w:val="single" w:color="000000" w:sz="4" w:space="0"/>
                  </w:tcBorders>
                  <w:vAlign w:val="center"/>
                </w:tcPr>
                <w:p w14:paraId="68D323EC">
                  <w:pPr>
                    <w:pStyle w:val="166"/>
                    <w:adjustRightInd w:val="0"/>
                    <w:snapToGrid w:val="0"/>
                    <w:rPr>
                      <w:bCs/>
                      <w:szCs w:val="21"/>
                      <w:u w:val="none"/>
                    </w:rPr>
                  </w:pPr>
                  <w:r>
                    <w:rPr>
                      <w:rFonts w:hint="eastAsia"/>
                      <w:bCs/>
                      <w:szCs w:val="21"/>
                      <w:u w:val="none"/>
                    </w:rPr>
                    <w:t>仓储大棚</w:t>
                  </w:r>
                </w:p>
              </w:tc>
              <w:tc>
                <w:tcPr>
                  <w:tcW w:w="944" w:type="pct"/>
                  <w:tcBorders>
                    <w:left w:val="single" w:color="000000" w:sz="4" w:space="0"/>
                  </w:tcBorders>
                  <w:vAlign w:val="center"/>
                </w:tcPr>
                <w:p w14:paraId="2B4BB5E4">
                  <w:pPr>
                    <w:pStyle w:val="166"/>
                    <w:adjustRightInd w:val="0"/>
                    <w:snapToGrid w:val="0"/>
                    <w:rPr>
                      <w:bCs/>
                      <w:szCs w:val="21"/>
                      <w:u w:val="none"/>
                    </w:rPr>
                  </w:pPr>
                  <w:r>
                    <w:rPr>
                      <w:rFonts w:hint="eastAsia"/>
                      <w:bCs/>
                      <w:szCs w:val="21"/>
                      <w:u w:val="none"/>
                    </w:rPr>
                    <w:t>带盖垃圾桶</w:t>
                  </w:r>
                </w:p>
              </w:tc>
              <w:tc>
                <w:tcPr>
                  <w:tcW w:w="680" w:type="pct"/>
                  <w:tcBorders>
                    <w:left w:val="single" w:color="000000" w:sz="4" w:space="0"/>
                  </w:tcBorders>
                  <w:vAlign w:val="center"/>
                </w:tcPr>
                <w:p w14:paraId="69C574D0">
                  <w:pPr>
                    <w:pStyle w:val="166"/>
                    <w:adjustRightInd w:val="0"/>
                    <w:snapToGrid w:val="0"/>
                    <w:rPr>
                      <w:bCs/>
                      <w:szCs w:val="21"/>
                      <w:u w:val="none"/>
                    </w:rPr>
                  </w:pPr>
                  <w:r>
                    <w:rPr>
                      <w:rFonts w:hint="eastAsia"/>
                      <w:bCs/>
                      <w:szCs w:val="21"/>
                      <w:u w:val="none"/>
                    </w:rPr>
                    <w:t>/</w:t>
                  </w:r>
                </w:p>
              </w:tc>
              <w:tc>
                <w:tcPr>
                  <w:tcW w:w="679" w:type="pct"/>
                  <w:tcBorders>
                    <w:left w:val="single" w:color="000000" w:sz="4" w:space="0"/>
                  </w:tcBorders>
                  <w:vAlign w:val="center"/>
                </w:tcPr>
                <w:p w14:paraId="40AC38E6">
                  <w:pPr>
                    <w:pStyle w:val="166"/>
                    <w:adjustRightInd w:val="0"/>
                    <w:snapToGrid w:val="0"/>
                    <w:rPr>
                      <w:bCs/>
                      <w:szCs w:val="21"/>
                      <w:u w:val="none"/>
                    </w:rPr>
                  </w:pPr>
                  <w:r>
                    <w:rPr>
                      <w:rFonts w:hint="eastAsia"/>
                      <w:bCs/>
                      <w:szCs w:val="21"/>
                      <w:u w:val="none"/>
                    </w:rPr>
                    <w:t>/</w:t>
                  </w:r>
                </w:p>
              </w:tc>
            </w:tr>
            <w:tr w14:paraId="01B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98" w:type="pct"/>
                  <w:vAlign w:val="center"/>
                </w:tcPr>
                <w:p w14:paraId="7E4962E7">
                  <w:pPr>
                    <w:widowControl/>
                    <w:adjustRightInd w:val="0"/>
                    <w:snapToGrid w:val="0"/>
                    <w:jc w:val="center"/>
                    <w:rPr>
                      <w:b/>
                      <w:kern w:val="0"/>
                      <w:szCs w:val="21"/>
                      <w:u w:val="none"/>
                      <w:lang w:bidi="ar"/>
                    </w:rPr>
                  </w:pPr>
                  <w:r>
                    <w:rPr>
                      <w:b/>
                      <w:kern w:val="0"/>
                      <w:szCs w:val="21"/>
                      <w:u w:val="none"/>
                      <w:lang w:bidi="ar"/>
                    </w:rPr>
                    <w:t>利用处置方式和去向</w:t>
                  </w:r>
                </w:p>
              </w:tc>
              <w:tc>
                <w:tcPr>
                  <w:tcW w:w="1898" w:type="pct"/>
                  <w:gridSpan w:val="2"/>
                  <w:tcBorders>
                    <w:right w:val="single" w:color="000000" w:sz="4" w:space="0"/>
                  </w:tcBorders>
                  <w:vAlign w:val="center"/>
                </w:tcPr>
                <w:p w14:paraId="1FD5E046">
                  <w:pPr>
                    <w:pStyle w:val="166"/>
                    <w:adjustRightInd w:val="0"/>
                    <w:snapToGrid w:val="0"/>
                    <w:rPr>
                      <w:szCs w:val="21"/>
                      <w:u w:val="none"/>
                    </w:rPr>
                  </w:pPr>
                  <w:r>
                    <w:rPr>
                      <w:rFonts w:hint="eastAsia"/>
                      <w:szCs w:val="21"/>
                      <w:u w:val="none"/>
                    </w:rPr>
                    <w:t>掺入磷矿中转运</w:t>
                  </w:r>
                </w:p>
              </w:tc>
              <w:tc>
                <w:tcPr>
                  <w:tcW w:w="944" w:type="pct"/>
                  <w:tcBorders>
                    <w:right w:val="single" w:color="000000" w:sz="4" w:space="0"/>
                  </w:tcBorders>
                  <w:vAlign w:val="center"/>
                </w:tcPr>
                <w:p w14:paraId="3B3C600F">
                  <w:pPr>
                    <w:pStyle w:val="166"/>
                    <w:adjustRightInd w:val="0"/>
                    <w:snapToGrid w:val="0"/>
                    <w:rPr>
                      <w:bCs/>
                      <w:szCs w:val="21"/>
                      <w:u w:val="none"/>
                    </w:rPr>
                  </w:pPr>
                  <w:r>
                    <w:rPr>
                      <w:bCs/>
                      <w:szCs w:val="21"/>
                      <w:u w:val="none"/>
                    </w:rPr>
                    <w:t>交由环卫部门清运处置</w:t>
                  </w:r>
                </w:p>
              </w:tc>
              <w:tc>
                <w:tcPr>
                  <w:tcW w:w="1359" w:type="pct"/>
                  <w:gridSpan w:val="2"/>
                  <w:tcBorders>
                    <w:left w:val="single" w:color="000000" w:sz="4" w:space="0"/>
                  </w:tcBorders>
                  <w:vAlign w:val="center"/>
                </w:tcPr>
                <w:p w14:paraId="7511F7EE">
                  <w:pPr>
                    <w:pStyle w:val="166"/>
                    <w:adjustRightInd w:val="0"/>
                    <w:snapToGrid w:val="0"/>
                    <w:rPr>
                      <w:szCs w:val="21"/>
                      <w:u w:val="none"/>
                    </w:rPr>
                  </w:pPr>
                  <w:r>
                    <w:rPr>
                      <w:rFonts w:hint="eastAsia"/>
                      <w:szCs w:val="21"/>
                      <w:u w:val="none"/>
                    </w:rPr>
                    <w:t>委托当地村民定期清掏，全部作为农肥使用</w:t>
                  </w:r>
                </w:p>
              </w:tc>
            </w:tr>
            <w:tr w14:paraId="4B22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98" w:type="pct"/>
                  <w:vAlign w:val="center"/>
                </w:tcPr>
                <w:p w14:paraId="2071C379">
                  <w:pPr>
                    <w:widowControl/>
                    <w:adjustRightInd w:val="0"/>
                    <w:snapToGrid w:val="0"/>
                    <w:jc w:val="center"/>
                    <w:rPr>
                      <w:b/>
                      <w:szCs w:val="21"/>
                      <w:u w:val="none"/>
                    </w:rPr>
                  </w:pPr>
                  <w:r>
                    <w:rPr>
                      <w:b/>
                      <w:szCs w:val="21"/>
                      <w:u w:val="none"/>
                    </w:rPr>
                    <w:t>利用或处置量</w:t>
                  </w:r>
                  <w:r>
                    <w:rPr>
                      <w:rFonts w:hint="eastAsia"/>
                      <w:b/>
                      <w:kern w:val="0"/>
                      <w:szCs w:val="21"/>
                      <w:u w:val="none"/>
                      <w:lang w:bidi="ar"/>
                    </w:rPr>
                    <w:t>（t/a）</w:t>
                  </w:r>
                </w:p>
              </w:tc>
              <w:tc>
                <w:tcPr>
                  <w:tcW w:w="904" w:type="pct"/>
                  <w:vAlign w:val="center"/>
                </w:tcPr>
                <w:p w14:paraId="20694D6E">
                  <w:pPr>
                    <w:pStyle w:val="166"/>
                    <w:adjustRightInd w:val="0"/>
                    <w:snapToGrid w:val="0"/>
                    <w:rPr>
                      <w:bCs/>
                      <w:szCs w:val="21"/>
                      <w:u w:val="none"/>
                    </w:rPr>
                  </w:pPr>
                  <w:r>
                    <w:rPr>
                      <w:rFonts w:hint="eastAsia"/>
                      <w:bCs/>
                      <w:szCs w:val="21"/>
                      <w:u w:val="none"/>
                    </w:rPr>
                    <w:t>1</w:t>
                  </w:r>
                </w:p>
              </w:tc>
              <w:tc>
                <w:tcPr>
                  <w:tcW w:w="993" w:type="pct"/>
                  <w:vAlign w:val="center"/>
                </w:tcPr>
                <w:p w14:paraId="08D054D0">
                  <w:pPr>
                    <w:pStyle w:val="166"/>
                    <w:adjustRightInd w:val="0"/>
                    <w:snapToGrid w:val="0"/>
                    <w:rPr>
                      <w:bCs/>
                      <w:szCs w:val="21"/>
                      <w:u w:val="none"/>
                    </w:rPr>
                  </w:pPr>
                  <w:r>
                    <w:rPr>
                      <w:rFonts w:hint="eastAsia"/>
                      <w:bCs/>
                      <w:szCs w:val="21"/>
                      <w:u w:val="none"/>
                    </w:rPr>
                    <w:t>9</w:t>
                  </w:r>
                </w:p>
              </w:tc>
              <w:tc>
                <w:tcPr>
                  <w:tcW w:w="944" w:type="pct"/>
                  <w:vAlign w:val="center"/>
                </w:tcPr>
                <w:p w14:paraId="3380A80F">
                  <w:pPr>
                    <w:pStyle w:val="166"/>
                    <w:adjustRightInd w:val="0"/>
                    <w:snapToGrid w:val="0"/>
                    <w:rPr>
                      <w:bCs/>
                      <w:szCs w:val="21"/>
                      <w:u w:val="none"/>
                    </w:rPr>
                  </w:pPr>
                  <w:r>
                    <w:rPr>
                      <w:rFonts w:hint="eastAsia"/>
                      <w:bCs/>
                      <w:szCs w:val="21"/>
                      <w:u w:val="none"/>
                    </w:rPr>
                    <w:t>0.75</w:t>
                  </w:r>
                </w:p>
              </w:tc>
              <w:tc>
                <w:tcPr>
                  <w:tcW w:w="680" w:type="pct"/>
                  <w:vAlign w:val="center"/>
                </w:tcPr>
                <w:p w14:paraId="573847A4">
                  <w:pPr>
                    <w:pStyle w:val="166"/>
                    <w:adjustRightInd w:val="0"/>
                    <w:snapToGrid w:val="0"/>
                    <w:rPr>
                      <w:bCs/>
                      <w:szCs w:val="21"/>
                      <w:u w:val="none"/>
                    </w:rPr>
                  </w:pPr>
                  <w:r>
                    <w:rPr>
                      <w:rFonts w:hint="eastAsia"/>
                      <w:bCs/>
                      <w:szCs w:val="21"/>
                      <w:u w:val="none"/>
                    </w:rPr>
                    <w:t>1</w:t>
                  </w:r>
                </w:p>
              </w:tc>
              <w:tc>
                <w:tcPr>
                  <w:tcW w:w="679" w:type="pct"/>
                  <w:vAlign w:val="center"/>
                </w:tcPr>
                <w:p w14:paraId="2D9712D8">
                  <w:pPr>
                    <w:pStyle w:val="166"/>
                    <w:adjustRightInd w:val="0"/>
                    <w:snapToGrid w:val="0"/>
                    <w:rPr>
                      <w:bCs/>
                      <w:szCs w:val="21"/>
                      <w:u w:val="none"/>
                    </w:rPr>
                  </w:pPr>
                  <w:r>
                    <w:rPr>
                      <w:rFonts w:hint="eastAsia"/>
                      <w:bCs/>
                      <w:szCs w:val="21"/>
                      <w:u w:val="none"/>
                    </w:rPr>
                    <w:t>0.021</w:t>
                  </w:r>
                </w:p>
              </w:tc>
            </w:tr>
          </w:tbl>
          <w:p w14:paraId="5A6A547D">
            <w:pPr>
              <w:pStyle w:val="15"/>
              <w:snapToGrid/>
              <w:spacing w:after="0" w:line="360" w:lineRule="auto"/>
              <w:ind w:firstLine="482" w:firstLineChars="200"/>
              <w:rPr>
                <w:b/>
                <w:bCs/>
                <w:kern w:val="2"/>
                <w:sz w:val="24"/>
                <w:szCs w:val="24"/>
                <w:u w:val="none"/>
              </w:rPr>
            </w:pPr>
            <w:r>
              <w:rPr>
                <w:rFonts w:hint="eastAsia"/>
                <w:b/>
                <w:bCs/>
                <w:kern w:val="2"/>
                <w:sz w:val="24"/>
                <w:szCs w:val="24"/>
                <w:u w:val="none"/>
              </w:rPr>
              <w:t>4.2、固体废物的环境影响</w:t>
            </w:r>
          </w:p>
          <w:p w14:paraId="7A142A36">
            <w:pPr>
              <w:pStyle w:val="2"/>
              <w:spacing w:line="360" w:lineRule="auto"/>
              <w:ind w:firstLine="480" w:firstLineChars="200"/>
              <w:rPr>
                <w:rFonts w:ascii="Times New Roman" w:hAnsi="Times New Roman" w:cs="Times New Roman"/>
                <w:sz w:val="24"/>
                <w:szCs w:val="24"/>
                <w:u w:val="none"/>
              </w:rPr>
            </w:pPr>
            <w:r>
              <w:rPr>
                <w:rFonts w:ascii="Times New Roman" w:hAnsi="Times New Roman" w:cs="Times New Roman"/>
                <w:sz w:val="24"/>
                <w:szCs w:val="24"/>
                <w:u w:val="none"/>
              </w:rPr>
              <w:t>本项目产生的固体废物</w:t>
            </w:r>
            <w:r>
              <w:rPr>
                <w:rFonts w:hint="eastAsia" w:ascii="Times New Roman" w:hAnsi="Times New Roman" w:cs="Times New Roman"/>
                <w:sz w:val="24"/>
                <w:szCs w:val="24"/>
                <w:u w:val="none"/>
              </w:rPr>
              <w:t>均</w:t>
            </w:r>
            <w:r>
              <w:rPr>
                <w:rFonts w:ascii="Times New Roman" w:hAnsi="Times New Roman" w:cs="Times New Roman"/>
                <w:sz w:val="24"/>
                <w:szCs w:val="24"/>
                <w:u w:val="none"/>
              </w:rPr>
              <w:t>可得到妥善处置和利用，固体废物去向明确，处置方式合理、可行，处置率</w:t>
            </w:r>
            <w:r>
              <w:rPr>
                <w:rFonts w:hint="eastAsia" w:ascii="Times New Roman" w:hAnsi="Times New Roman" w:cs="Times New Roman"/>
                <w:sz w:val="24"/>
                <w:szCs w:val="24"/>
                <w:u w:val="none"/>
              </w:rPr>
              <w:t>达</w:t>
            </w:r>
            <w:r>
              <w:rPr>
                <w:rFonts w:ascii="Times New Roman" w:hAnsi="Times New Roman" w:cs="Times New Roman"/>
                <w:sz w:val="24"/>
                <w:szCs w:val="24"/>
                <w:u w:val="none"/>
              </w:rPr>
              <w:t>100%，</w:t>
            </w:r>
            <w:r>
              <w:rPr>
                <w:rFonts w:hint="eastAsia" w:ascii="Times New Roman" w:hAnsi="Times New Roman" w:cs="Times New Roman"/>
                <w:sz w:val="24"/>
                <w:szCs w:val="24"/>
                <w:u w:val="none"/>
              </w:rPr>
              <w:t>对</w:t>
            </w:r>
            <w:r>
              <w:rPr>
                <w:rFonts w:ascii="Times New Roman" w:hAnsi="Times New Roman" w:cs="Times New Roman"/>
                <w:sz w:val="24"/>
                <w:szCs w:val="24"/>
                <w:u w:val="none"/>
              </w:rPr>
              <w:t>环境影响</w:t>
            </w:r>
            <w:r>
              <w:rPr>
                <w:rFonts w:hint="eastAsia" w:ascii="Times New Roman" w:hAnsi="Times New Roman" w:cs="Times New Roman"/>
                <w:sz w:val="24"/>
                <w:szCs w:val="24"/>
                <w:u w:val="none"/>
              </w:rPr>
              <w:t>小</w:t>
            </w:r>
            <w:r>
              <w:rPr>
                <w:rFonts w:ascii="Times New Roman" w:hAnsi="Times New Roman" w:cs="Times New Roman"/>
                <w:sz w:val="24"/>
                <w:szCs w:val="24"/>
                <w:u w:val="none"/>
              </w:rPr>
              <w:t>。</w:t>
            </w:r>
          </w:p>
          <w:p w14:paraId="16908CB8">
            <w:pPr>
              <w:pStyle w:val="15"/>
              <w:wordWrap w:val="0"/>
              <w:snapToGrid/>
              <w:spacing w:after="0" w:line="360" w:lineRule="auto"/>
              <w:ind w:firstLine="482" w:firstLineChars="200"/>
              <w:rPr>
                <w:b/>
                <w:bCs/>
                <w:kern w:val="2"/>
                <w:sz w:val="24"/>
                <w:szCs w:val="24"/>
                <w:u w:val="none"/>
              </w:rPr>
            </w:pPr>
            <w:r>
              <w:rPr>
                <w:rFonts w:hint="eastAsia"/>
                <w:b/>
                <w:bCs/>
                <w:kern w:val="2"/>
                <w:sz w:val="24"/>
                <w:szCs w:val="24"/>
                <w:u w:val="none"/>
              </w:rPr>
              <w:t>5、土壤和地下水环境影响分析和保护措施</w:t>
            </w:r>
          </w:p>
          <w:p w14:paraId="287D848F">
            <w:pPr>
              <w:pStyle w:val="15"/>
              <w:wordWrap w:val="0"/>
              <w:snapToGrid/>
              <w:spacing w:after="0" w:line="360" w:lineRule="auto"/>
              <w:ind w:firstLine="482" w:firstLineChars="200"/>
              <w:rPr>
                <w:b/>
                <w:bCs/>
                <w:kern w:val="2"/>
                <w:sz w:val="24"/>
                <w:szCs w:val="24"/>
                <w:u w:val="none"/>
              </w:rPr>
            </w:pPr>
            <w:r>
              <w:rPr>
                <w:rFonts w:hint="eastAsia"/>
                <w:b/>
                <w:bCs/>
                <w:kern w:val="2"/>
                <w:sz w:val="24"/>
                <w:szCs w:val="24"/>
                <w:u w:val="none"/>
              </w:rPr>
              <w:t>5.1、地下水环境影响分析和保护措施</w:t>
            </w:r>
          </w:p>
          <w:p w14:paraId="36AEAEE8">
            <w:pPr>
              <w:spacing w:line="360" w:lineRule="auto"/>
              <w:ind w:firstLine="480"/>
              <w:rPr>
                <w:u w:val="none"/>
              </w:rPr>
            </w:pPr>
            <w:r>
              <w:rPr>
                <w:rFonts w:hint="eastAsia"/>
                <w:sz w:val="24"/>
                <w:u w:val="none"/>
              </w:rPr>
              <w:t>根据《环境影响评价技术导则 地下水环境》（HJ 610-2016），本项目为“J非金属矿采选及制品制造”中“55、化学矿采选”，为编制报告表项目，无地下水环境影响评价项目类别，因此不开展地下水环境影响评价。为预防项目废水对土壤和地下水的影响，建设单位拟采取分区防渗措施，仓储大棚、化粪池、场地雨污水收集池、一体化污水处理站、清水池和车辆清洗废水沉淀池进行一般防渗；办公生活区及其他区域进行简单防渗，进行一般地面硬化。</w:t>
            </w:r>
          </w:p>
          <w:p w14:paraId="37899C97">
            <w:pPr>
              <w:pStyle w:val="15"/>
              <w:wordWrap w:val="0"/>
              <w:snapToGrid/>
              <w:spacing w:after="0" w:line="360" w:lineRule="auto"/>
              <w:ind w:firstLine="482" w:firstLineChars="200"/>
              <w:rPr>
                <w:b/>
                <w:bCs/>
                <w:kern w:val="2"/>
                <w:sz w:val="24"/>
                <w:szCs w:val="24"/>
                <w:u w:val="none"/>
              </w:rPr>
            </w:pPr>
            <w:r>
              <w:rPr>
                <w:rFonts w:hint="eastAsia"/>
                <w:b/>
                <w:bCs/>
                <w:kern w:val="2"/>
                <w:sz w:val="24"/>
                <w:szCs w:val="24"/>
                <w:u w:val="none"/>
              </w:rPr>
              <w:t>5.2、土壤环境影响分析和保护措施</w:t>
            </w:r>
          </w:p>
          <w:p w14:paraId="6897C311">
            <w:pPr>
              <w:pStyle w:val="15"/>
              <w:snapToGrid/>
              <w:spacing w:after="0" w:line="360" w:lineRule="auto"/>
              <w:ind w:firstLine="480" w:firstLineChars="200"/>
              <w:rPr>
                <w:kern w:val="2"/>
                <w:sz w:val="24"/>
                <w:szCs w:val="24"/>
                <w:u w:val="none"/>
              </w:rPr>
            </w:pPr>
            <w:r>
              <w:rPr>
                <w:rFonts w:hint="eastAsia"/>
                <w:kern w:val="2"/>
                <w:sz w:val="24"/>
                <w:szCs w:val="24"/>
                <w:u w:val="none"/>
              </w:rPr>
              <w:t>对照《环境影响评价技术导则 土壤环境（试行）》（</w:t>
            </w:r>
            <w:r>
              <w:rPr>
                <w:rFonts w:hint="eastAsia"/>
                <w:kern w:val="2"/>
                <w:sz w:val="24"/>
                <w:szCs w:val="24"/>
                <w:u w:val="thick" w:color="FFB03A"/>
                <w:shd w:val="clear" w:fill="FFEFD7"/>
              </w:rPr>
              <w:t>HJ 964-2018</w:t>
            </w:r>
            <w:r>
              <w:rPr>
                <w:rFonts w:hint="eastAsia"/>
                <w:kern w:val="2"/>
                <w:sz w:val="24"/>
                <w:szCs w:val="24"/>
                <w:u w:val="none"/>
              </w:rPr>
              <w:t>），本项目为“采矿业”的“其他”，为</w:t>
            </w:r>
            <w:r>
              <w:rPr>
                <w:kern w:val="2"/>
                <w:sz w:val="24"/>
                <w:szCs w:val="24"/>
                <w:u w:val="none"/>
              </w:rPr>
              <w:t>Ⅲ</w:t>
            </w:r>
            <w:r>
              <w:rPr>
                <w:rFonts w:hint="eastAsia"/>
                <w:kern w:val="2"/>
                <w:sz w:val="24"/>
                <w:szCs w:val="24"/>
                <w:u w:val="none"/>
              </w:rPr>
              <w:t>类建设项目，项目占地规模为小型，位于工业园区中，</w:t>
            </w:r>
            <w:r>
              <w:rPr>
                <w:rFonts w:hint="eastAsia"/>
                <w:kern w:val="2"/>
                <w:sz w:val="24"/>
                <w:szCs w:val="24"/>
                <w:u w:val="thick" w:color="FFB03A"/>
                <w:shd w:val="clear" w:fill="FFEFD7"/>
              </w:rPr>
              <w:t>土壤</w:t>
            </w:r>
            <w:r>
              <w:rPr>
                <w:rFonts w:hint="eastAsia"/>
                <w:kern w:val="2"/>
                <w:sz w:val="24"/>
                <w:szCs w:val="24"/>
                <w:u w:val="none"/>
              </w:rPr>
              <w:t>环境不敏感，可不开展土壤环境影响评价。</w:t>
            </w:r>
          </w:p>
          <w:p w14:paraId="6D130CE0">
            <w:pPr>
              <w:pStyle w:val="15"/>
              <w:wordWrap w:val="0"/>
              <w:snapToGrid/>
              <w:spacing w:after="0" w:line="360" w:lineRule="auto"/>
              <w:ind w:firstLine="482" w:firstLineChars="200"/>
              <w:rPr>
                <w:b/>
                <w:bCs/>
                <w:kern w:val="2"/>
                <w:sz w:val="24"/>
                <w:szCs w:val="24"/>
                <w:u w:val="none"/>
              </w:rPr>
            </w:pPr>
            <w:r>
              <w:rPr>
                <w:rFonts w:hint="eastAsia"/>
                <w:b/>
                <w:bCs/>
                <w:kern w:val="2"/>
                <w:sz w:val="24"/>
                <w:szCs w:val="24"/>
                <w:u w:val="none"/>
              </w:rPr>
              <w:t>6、生态环境影响分析</w:t>
            </w:r>
          </w:p>
          <w:p w14:paraId="48B4B87C">
            <w:pPr>
              <w:spacing w:line="360" w:lineRule="auto"/>
              <w:ind w:firstLine="480"/>
              <w:rPr>
                <w:u w:val="none"/>
              </w:rPr>
            </w:pPr>
            <w:r>
              <w:rPr>
                <w:rFonts w:ascii="宋体" w:hAnsi="宋体" w:cs="宋体"/>
                <w:sz w:val="24"/>
                <w:u w:val="none"/>
              </w:rPr>
              <w:t>项目</w:t>
            </w:r>
            <w:r>
              <w:rPr>
                <w:rFonts w:hint="eastAsia" w:ascii="宋体" w:hAnsi="宋体" w:cs="宋体"/>
                <w:sz w:val="24"/>
                <w:u w:val="none"/>
              </w:rPr>
              <w:t>位于</w:t>
            </w:r>
            <w:r>
              <w:rPr>
                <w:rFonts w:hint="eastAsia"/>
                <w:sz w:val="24"/>
                <w:u w:val="none"/>
              </w:rPr>
              <w:t>羊场产业园</w:t>
            </w:r>
            <w:r>
              <w:rPr>
                <w:rFonts w:hint="eastAsia" w:ascii="宋体" w:hAnsi="宋体" w:cs="宋体"/>
                <w:sz w:val="24"/>
                <w:u w:val="none"/>
              </w:rPr>
              <w:t>，</w:t>
            </w:r>
            <w:r>
              <w:rPr>
                <w:rFonts w:ascii="宋体" w:hAnsi="宋体" w:cs="宋体"/>
                <w:sz w:val="24"/>
                <w:u w:val="none"/>
              </w:rPr>
              <w:t>不占用耕地及基本农田。项目</w:t>
            </w:r>
            <w:r>
              <w:rPr>
                <w:rFonts w:hint="eastAsia" w:ascii="宋体" w:hAnsi="宋体" w:cs="宋体"/>
                <w:sz w:val="24"/>
                <w:u w:val="none"/>
              </w:rPr>
              <w:t>区域</w:t>
            </w:r>
            <w:r>
              <w:rPr>
                <w:rFonts w:ascii="宋体" w:hAnsi="宋体" w:cs="宋体"/>
                <w:sz w:val="24"/>
                <w:u w:val="none"/>
              </w:rPr>
              <w:t>人类活动频繁，区域生态环境一般。项目运营过程不破坏</w:t>
            </w:r>
            <w:r>
              <w:rPr>
                <w:rFonts w:hint="eastAsia" w:ascii="宋体" w:hAnsi="宋体" w:cs="宋体"/>
                <w:sz w:val="24"/>
                <w:u w:val="none"/>
              </w:rPr>
              <w:t>周边</w:t>
            </w:r>
            <w:r>
              <w:rPr>
                <w:rFonts w:ascii="宋体" w:hAnsi="宋体" w:cs="宋体"/>
                <w:sz w:val="24"/>
                <w:u w:val="none"/>
              </w:rPr>
              <w:t>植被，不捕杀动物，对周围生态环境影响小。</w:t>
            </w:r>
          </w:p>
          <w:p w14:paraId="29097F6F">
            <w:pPr>
              <w:pStyle w:val="15"/>
              <w:wordWrap w:val="0"/>
              <w:snapToGrid/>
              <w:spacing w:after="0" w:line="360" w:lineRule="auto"/>
              <w:ind w:firstLine="482" w:firstLineChars="200"/>
              <w:rPr>
                <w:b/>
                <w:bCs/>
                <w:kern w:val="2"/>
                <w:sz w:val="24"/>
                <w:szCs w:val="24"/>
                <w:u w:val="none"/>
              </w:rPr>
            </w:pPr>
            <w:r>
              <w:rPr>
                <w:rFonts w:hint="eastAsia"/>
                <w:b/>
                <w:bCs/>
                <w:kern w:val="2"/>
                <w:sz w:val="24"/>
                <w:szCs w:val="24"/>
                <w:u w:val="none"/>
              </w:rPr>
              <w:t>7、环境风险分析和保护措施</w:t>
            </w:r>
          </w:p>
          <w:p w14:paraId="41A225FB">
            <w:pPr>
              <w:pStyle w:val="15"/>
              <w:snapToGrid/>
              <w:spacing w:after="0" w:line="360" w:lineRule="auto"/>
              <w:ind w:firstLine="480" w:firstLineChars="200"/>
              <w:rPr>
                <w:kern w:val="2"/>
                <w:sz w:val="24"/>
                <w:szCs w:val="24"/>
                <w:u w:val="none"/>
              </w:rPr>
            </w:pPr>
            <w:bookmarkStart w:id="15" w:name="_Toc10644"/>
            <w:bookmarkStart w:id="16" w:name="_Toc163376165"/>
            <w:bookmarkStart w:id="17" w:name="_Toc30108"/>
            <w:bookmarkStart w:id="18" w:name="_Toc180141828"/>
            <w:bookmarkStart w:id="19" w:name="_Toc161069519"/>
            <w:bookmarkStart w:id="20" w:name="_Toc202939314"/>
            <w:bookmarkStart w:id="21" w:name="_Toc23504"/>
            <w:bookmarkStart w:id="22" w:name="_Toc180318058"/>
            <w:bookmarkStart w:id="23" w:name="_Toc156631122"/>
            <w:bookmarkStart w:id="24" w:name="_Toc6612"/>
            <w:bookmarkStart w:id="25" w:name="_Toc441910487"/>
            <w:bookmarkStart w:id="26" w:name="_Toc174896477"/>
            <w:bookmarkStart w:id="27" w:name="_Toc177964396"/>
            <w:bookmarkStart w:id="28" w:name="_Toc178325849"/>
            <w:bookmarkStart w:id="29" w:name="_Toc215739701"/>
            <w:bookmarkStart w:id="30" w:name="_Toc213125602"/>
            <w:bookmarkStart w:id="31" w:name="_Toc180318154"/>
            <w:bookmarkStart w:id="32" w:name="_Toc489634001"/>
            <w:bookmarkStart w:id="33" w:name="_Toc26196"/>
            <w:bookmarkStart w:id="34" w:name="_Toc160889891"/>
            <w:bookmarkStart w:id="35" w:name="_Toc13797"/>
            <w:r>
              <w:rPr>
                <w:kern w:val="2"/>
                <w:sz w:val="24"/>
                <w:szCs w:val="24"/>
                <w:u w:val="none"/>
              </w:rPr>
              <w:t>环境风险评价的目的是分析和预测建设项目存在的潜在危险、有害因素，运行期间可能发生的突发性事件或事故（一般不包括人为破坏及自然灾害），引起有毒有害和易燃易爆等物质泄漏，所造成的人身安全与环境影响的损害程度，提出合理可行的防范、应急与减缓措施，以使建设项目事故率、损失和环境影响达到可接受水平。</w:t>
            </w:r>
          </w:p>
          <w:p w14:paraId="08B9BDD9">
            <w:pPr>
              <w:pStyle w:val="15"/>
              <w:snapToGrid/>
              <w:spacing w:after="0" w:line="360" w:lineRule="auto"/>
              <w:ind w:firstLine="480" w:firstLineChars="200"/>
              <w:rPr>
                <w:kern w:val="2"/>
                <w:sz w:val="24"/>
                <w:szCs w:val="24"/>
                <w:u w:val="none"/>
              </w:rPr>
            </w:pPr>
            <w:r>
              <w:rPr>
                <w:rFonts w:ascii="宋体" w:hAnsi="宋体" w:cs="宋体"/>
                <w:sz w:val="24"/>
                <w:szCs w:val="24"/>
                <w:u w:val="none"/>
              </w:rPr>
              <w:t>根据调查，本项目为简单的磷矿石集运项目，且磷矿石中的磷以矿化物的形式存在，</w:t>
            </w:r>
            <w:r>
              <w:rPr>
                <w:rFonts w:hint="eastAsia" w:ascii="宋体" w:hAnsi="宋体" w:cs="宋体"/>
                <w:sz w:val="24"/>
                <w:szCs w:val="24"/>
                <w:u w:val="none"/>
              </w:rPr>
              <w:t>无白磷，</w:t>
            </w:r>
            <w:r>
              <w:rPr>
                <w:rFonts w:ascii="宋体" w:hAnsi="宋体" w:cs="宋体"/>
                <w:sz w:val="24"/>
                <w:szCs w:val="24"/>
                <w:u w:val="none"/>
              </w:rPr>
              <w:t>不存在风险物质，即本项目不存在环境风险源。</w:t>
            </w:r>
            <w:r>
              <w:rPr>
                <w:kern w:val="2"/>
                <w:sz w:val="24"/>
                <w:szCs w:val="24"/>
                <w:u w:val="none"/>
              </w:rPr>
              <w:t>根据《建设项目环境风险评价技术导则》（HJ</w:t>
            </w:r>
            <w:r>
              <w:rPr>
                <w:rFonts w:hint="eastAsia"/>
                <w:kern w:val="2"/>
                <w:sz w:val="24"/>
                <w:szCs w:val="24"/>
                <w:u w:val="none"/>
              </w:rPr>
              <w:t xml:space="preserve"> </w:t>
            </w:r>
            <w:r>
              <w:rPr>
                <w:kern w:val="2"/>
                <w:sz w:val="24"/>
                <w:szCs w:val="24"/>
                <w:u w:val="none"/>
              </w:rPr>
              <w:t>169-2018）附录B中的</w:t>
            </w:r>
            <w:r>
              <w:rPr>
                <w:rFonts w:hint="eastAsia"/>
                <w:kern w:val="2"/>
                <w:sz w:val="24"/>
                <w:szCs w:val="24"/>
                <w:u w:val="none"/>
              </w:rPr>
              <w:t>“</w:t>
            </w:r>
            <w:r>
              <w:rPr>
                <w:kern w:val="2"/>
                <w:sz w:val="24"/>
                <w:szCs w:val="24"/>
                <w:u w:val="none"/>
              </w:rPr>
              <w:t>重点关注的危险物质及临界量</w:t>
            </w:r>
            <w:r>
              <w:rPr>
                <w:rFonts w:hint="eastAsia"/>
                <w:kern w:val="2"/>
                <w:sz w:val="24"/>
                <w:szCs w:val="24"/>
                <w:u w:val="none"/>
              </w:rPr>
              <w:t>”</w:t>
            </w:r>
            <w:r>
              <w:rPr>
                <w:kern w:val="2"/>
                <w:sz w:val="24"/>
                <w:szCs w:val="24"/>
                <w:u w:val="none"/>
              </w:rPr>
              <w:t>，对本项目运营过程中所使用的物质及排放的污染物进行危险性识别，本项目不涉及风险物质。</w:t>
            </w:r>
          </w:p>
          <w:p w14:paraId="565E8C5A">
            <w:pPr>
              <w:autoSpaceDE w:val="0"/>
              <w:autoSpaceDN w:val="0"/>
              <w:spacing w:line="360" w:lineRule="auto"/>
              <w:ind w:firstLine="482" w:firstLineChars="200"/>
              <w:jc w:val="left"/>
              <w:rPr>
                <w:b/>
                <w:bCs/>
                <w:kern w:val="0"/>
                <w:sz w:val="24"/>
                <w:u w:val="none"/>
              </w:rPr>
            </w:pPr>
            <w:r>
              <w:rPr>
                <w:rFonts w:hint="eastAsia"/>
                <w:b/>
                <w:bCs/>
                <w:kern w:val="0"/>
                <w:sz w:val="24"/>
                <w:u w:val="none"/>
              </w:rPr>
              <w:t>8、排污许可管理</w:t>
            </w:r>
            <w:bookmarkEnd w:id="15"/>
          </w:p>
          <w:p w14:paraId="28146222">
            <w:pPr>
              <w:wordWrap w:val="0"/>
              <w:spacing w:line="360" w:lineRule="auto"/>
              <w:ind w:firstLine="480" w:firstLineChars="200"/>
              <w:rPr>
                <w:sz w:val="24"/>
                <w:u w:val="none"/>
              </w:rPr>
            </w:pPr>
            <w:r>
              <w:rPr>
                <w:sz w:val="24"/>
                <w:u w:val="none"/>
              </w:rPr>
              <w:t>环境保护部办公厅于2017年11月15日发布《关于做好环境影响评价制度与排污许可制衔接相关工作的通知》（环办环评</w:t>
            </w:r>
            <w:r>
              <w:rPr>
                <w:rFonts w:hint="eastAsia"/>
                <w:sz w:val="24"/>
                <w:u w:val="none"/>
              </w:rPr>
              <w:t>〔2017〕84号</w:t>
            </w:r>
            <w:r>
              <w:rPr>
                <w:sz w:val="24"/>
                <w:u w:val="none"/>
              </w:rPr>
              <w:t>）。本项目在执行环境影响评价中的相关要求的同时，应做好</w:t>
            </w:r>
            <w:r>
              <w:rPr>
                <w:sz w:val="24"/>
                <w:u w:val="thick" w:color="FFB03A"/>
                <w:shd w:val="clear" w:fill="FFEFD7"/>
              </w:rPr>
              <w:t>排污</w:t>
            </w:r>
            <w:r>
              <w:rPr>
                <w:sz w:val="24"/>
                <w:u w:val="none"/>
              </w:rPr>
              <w:t>许可制度的衔接工作。</w:t>
            </w:r>
          </w:p>
          <w:p w14:paraId="210BB5CA">
            <w:pPr>
              <w:spacing w:line="360" w:lineRule="auto"/>
              <w:ind w:firstLine="480" w:firstLineChars="200"/>
              <w:rPr>
                <w:u w:val="none"/>
              </w:rPr>
            </w:pPr>
            <w:r>
              <w:rPr>
                <w:rFonts w:hint="eastAsia"/>
                <w:sz w:val="24"/>
                <w:u w:val="none"/>
              </w:rPr>
              <w:t>本项目不涉及通用工序，根据</w:t>
            </w:r>
            <w:r>
              <w:rPr>
                <w:sz w:val="24"/>
                <w:u w:val="none"/>
              </w:rPr>
              <w:t>《固定污染源排污许可分类管理名录》（</w:t>
            </w:r>
            <w:r>
              <w:rPr>
                <w:rFonts w:hint="eastAsia"/>
                <w:sz w:val="24"/>
                <w:u w:val="none"/>
              </w:rPr>
              <w:t>2019版</w:t>
            </w:r>
            <w:r>
              <w:rPr>
                <w:sz w:val="24"/>
                <w:u w:val="none"/>
              </w:rPr>
              <w:t>）</w:t>
            </w:r>
            <w:r>
              <w:rPr>
                <w:rFonts w:hint="eastAsia"/>
                <w:sz w:val="24"/>
                <w:u w:val="none"/>
              </w:rPr>
              <w:t>，本项目实行登记管理。项目在发生实际排污行为之前，应按照国家环境保护相关法律法规要求填报排污登记表。</w:t>
            </w:r>
          </w:p>
          <w:p w14:paraId="3FD07312">
            <w:pPr>
              <w:autoSpaceDE w:val="0"/>
              <w:autoSpaceDN w:val="0"/>
              <w:spacing w:line="360" w:lineRule="auto"/>
              <w:ind w:firstLine="482" w:firstLineChars="200"/>
              <w:jc w:val="left"/>
              <w:rPr>
                <w:b/>
                <w:bCs/>
                <w:kern w:val="0"/>
                <w:sz w:val="24"/>
                <w:u w:val="none"/>
              </w:rPr>
            </w:pPr>
            <w:r>
              <w:rPr>
                <w:rFonts w:hint="eastAsia"/>
                <w:b/>
                <w:bCs/>
                <w:kern w:val="0"/>
                <w:sz w:val="24"/>
                <w:u w:val="none"/>
              </w:rPr>
              <w:t>9、竣工环境保护验收</w:t>
            </w: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065928F4">
            <w:pPr>
              <w:autoSpaceDE w:val="0"/>
              <w:autoSpaceDN w:val="0"/>
              <w:spacing w:line="360" w:lineRule="auto"/>
              <w:ind w:firstLine="480" w:firstLineChars="200"/>
              <w:rPr>
                <w:sz w:val="24"/>
                <w:u w:val="none"/>
              </w:rPr>
            </w:pPr>
            <w:bookmarkStart w:id="36" w:name="_Toc10824"/>
            <w:bookmarkStart w:id="37" w:name="_Toc7977"/>
            <w:bookmarkStart w:id="38" w:name="_Toc19426"/>
            <w:bookmarkStart w:id="39" w:name="_Toc1512"/>
            <w:r>
              <w:rPr>
                <w:rFonts w:hint="eastAsia"/>
                <w:sz w:val="24"/>
                <w:u w:val="none"/>
              </w:rPr>
              <w:t>根据《建设项目竣工环境保护验收暂行办法》，本工程所有环保设施均应与主体工程“三同时”，工程完工后建设单位应当如实查验、监测、记载建设项目环境保护设施的建设和调试情况，可自行编制或委托有能力的技术机构编制竣工环境保护验收监测报告，并组织自主竣工环境保护验收，验收期限一般不超过3个月；需要对环境保护设施进行调试或者整改的，验收期限可以适当延期，但最长不超过12个月，验收合格后方可正式投入生产。</w:t>
            </w:r>
          </w:p>
          <w:p w14:paraId="2986E474">
            <w:pPr>
              <w:autoSpaceDE w:val="0"/>
              <w:autoSpaceDN w:val="0"/>
              <w:spacing w:line="360" w:lineRule="auto"/>
              <w:ind w:firstLine="482" w:firstLineChars="200"/>
              <w:rPr>
                <w:b/>
                <w:bCs/>
                <w:sz w:val="24"/>
                <w:u w:val="none"/>
              </w:rPr>
            </w:pPr>
            <w:r>
              <w:rPr>
                <w:rFonts w:hint="eastAsia"/>
                <w:b/>
                <w:bCs/>
                <w:sz w:val="24"/>
                <w:u w:val="none"/>
              </w:rPr>
              <w:t>10、</w:t>
            </w:r>
            <w:r>
              <w:rPr>
                <w:b/>
                <w:bCs/>
                <w:sz w:val="24"/>
                <w:u w:val="none"/>
              </w:rPr>
              <w:t>环境</w:t>
            </w:r>
            <w:bookmarkEnd w:id="36"/>
            <w:bookmarkEnd w:id="37"/>
            <w:r>
              <w:rPr>
                <w:rFonts w:hint="eastAsia"/>
                <w:b/>
                <w:bCs/>
                <w:sz w:val="24"/>
                <w:u w:val="none"/>
              </w:rPr>
              <w:t>管理</w:t>
            </w:r>
            <w:bookmarkEnd w:id="38"/>
            <w:bookmarkEnd w:id="39"/>
          </w:p>
          <w:p w14:paraId="011537C3">
            <w:pPr>
              <w:autoSpaceDE w:val="0"/>
              <w:autoSpaceDN w:val="0"/>
              <w:spacing w:line="360" w:lineRule="auto"/>
              <w:ind w:firstLine="482" w:firstLineChars="200"/>
              <w:jc w:val="left"/>
              <w:rPr>
                <w:b/>
                <w:bCs/>
                <w:kern w:val="0"/>
                <w:sz w:val="24"/>
                <w:u w:val="none"/>
              </w:rPr>
            </w:pPr>
            <w:bookmarkStart w:id="40" w:name="_bookmark219"/>
            <w:bookmarkEnd w:id="40"/>
            <w:bookmarkStart w:id="41" w:name="_Toc25619"/>
            <w:bookmarkStart w:id="42" w:name="_Toc27942"/>
            <w:bookmarkStart w:id="43" w:name="_Toc18171"/>
            <w:bookmarkStart w:id="44" w:name="_Toc27900"/>
            <w:r>
              <w:rPr>
                <w:rFonts w:hint="eastAsia"/>
                <w:b/>
                <w:bCs/>
                <w:kern w:val="0"/>
                <w:sz w:val="24"/>
                <w:u w:val="none"/>
              </w:rPr>
              <w:t>10.1、环境管理机构</w:t>
            </w:r>
            <w:bookmarkEnd w:id="41"/>
            <w:bookmarkEnd w:id="42"/>
            <w:bookmarkEnd w:id="43"/>
            <w:bookmarkEnd w:id="44"/>
          </w:p>
          <w:p w14:paraId="2679BC3A">
            <w:pPr>
              <w:autoSpaceDE w:val="0"/>
              <w:autoSpaceDN w:val="0"/>
              <w:spacing w:line="360" w:lineRule="auto"/>
              <w:ind w:firstLine="482" w:firstLineChars="200"/>
              <w:jc w:val="left"/>
              <w:rPr>
                <w:b/>
                <w:bCs/>
                <w:kern w:val="0"/>
                <w:sz w:val="24"/>
                <w:u w:val="none"/>
              </w:rPr>
            </w:pPr>
            <w:bookmarkStart w:id="45" w:name="_Toc24576"/>
            <w:r>
              <w:rPr>
                <w:rFonts w:hint="eastAsia"/>
                <w:b/>
                <w:bCs/>
                <w:kern w:val="0"/>
                <w:sz w:val="24"/>
                <w:u w:val="none"/>
              </w:rPr>
              <w:t>（1）</w:t>
            </w:r>
            <w:bookmarkEnd w:id="45"/>
            <w:r>
              <w:rPr>
                <w:rFonts w:hint="eastAsia"/>
                <w:b/>
                <w:bCs/>
                <w:kern w:val="0"/>
                <w:sz w:val="24"/>
                <w:u w:val="none"/>
              </w:rPr>
              <w:t>机构组成</w:t>
            </w:r>
          </w:p>
          <w:p w14:paraId="7830582B">
            <w:pPr>
              <w:widowControl/>
              <w:autoSpaceDE w:val="0"/>
              <w:autoSpaceDN w:val="0"/>
              <w:spacing w:line="360" w:lineRule="auto"/>
              <w:ind w:firstLine="480" w:firstLineChars="200"/>
              <w:jc w:val="left"/>
              <w:rPr>
                <w:rFonts w:ascii="宋体" w:hAnsi="宋体" w:cs="宋体"/>
                <w:kern w:val="0"/>
                <w:sz w:val="24"/>
                <w:u w:val="none"/>
                <w:lang w:bidi="ar"/>
              </w:rPr>
            </w:pPr>
            <w:r>
              <w:rPr>
                <w:kern w:val="0"/>
                <w:sz w:val="24"/>
                <w:u w:val="none"/>
              </w:rPr>
              <w:t>公司</w:t>
            </w:r>
            <w:r>
              <w:rPr>
                <w:rFonts w:hint="eastAsia" w:ascii="宋体" w:hAnsi="宋体" w:cs="宋体"/>
                <w:kern w:val="0"/>
                <w:sz w:val="24"/>
                <w:u w:val="none"/>
                <w:lang w:bidi="ar"/>
              </w:rPr>
              <w:t>根据建设项目的实际情况，在建设施工阶段，工程指挥部应设专人负责环境保护事宜。项目投入运营后，环境管理机构由后勤管理部门负责，下设环境管理小组对该项目环境管理和环境监控负责，并受项目主管单位及曲靖市生态环境局宣威分局的监督和指导。</w:t>
            </w:r>
          </w:p>
          <w:p w14:paraId="4698BA8C">
            <w:pPr>
              <w:autoSpaceDE w:val="0"/>
              <w:autoSpaceDN w:val="0"/>
              <w:spacing w:line="360" w:lineRule="auto"/>
              <w:ind w:firstLine="482" w:firstLineChars="200"/>
              <w:jc w:val="left"/>
              <w:rPr>
                <w:b/>
                <w:bCs/>
                <w:kern w:val="0"/>
                <w:sz w:val="24"/>
                <w:u w:val="none"/>
              </w:rPr>
            </w:pPr>
            <w:r>
              <w:rPr>
                <w:rFonts w:hint="eastAsia"/>
                <w:b/>
                <w:bCs/>
                <w:kern w:val="0"/>
                <w:sz w:val="24"/>
                <w:u w:val="none"/>
              </w:rPr>
              <w:t>（2）环境管理机构职责</w:t>
            </w:r>
          </w:p>
          <w:p w14:paraId="6249B35B">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贯彻、宣传国家的环保方针、政策和法律法规。</w:t>
            </w:r>
          </w:p>
          <w:p w14:paraId="43782B85">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制定本项目的环保管理制度、环保技术经济政策、环境保护发展规划和年度实施计划。</w:t>
            </w:r>
          </w:p>
          <w:p w14:paraId="4480F119">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监督检查本项目执行</w:t>
            </w:r>
            <w:r>
              <w:rPr>
                <w:rFonts w:hint="eastAsia" w:ascii="宋体" w:hAnsi="宋体" w:cs="宋体"/>
                <w:kern w:val="0"/>
                <w:sz w:val="24"/>
                <w:u w:val="none"/>
              </w:rPr>
              <w:t>“三同时”规</w:t>
            </w:r>
            <w:r>
              <w:rPr>
                <w:rFonts w:hint="eastAsia"/>
                <w:kern w:val="0"/>
                <w:sz w:val="24"/>
                <w:u w:val="none"/>
              </w:rPr>
              <w:t>定的情况。</w:t>
            </w:r>
          </w:p>
          <w:p w14:paraId="1B12B9B8">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定期进行环保设备检查、维修和保养工作，确保环保设施长期、稳定、达标运转。</w:t>
            </w:r>
          </w:p>
          <w:p w14:paraId="110F76B5">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 xml:space="preserve">负责环保设施的日常运行管理工作，制定事故防范措施，一旦发生事故，组织污染源调查及控制工作，并及时总结经验教训。 </w:t>
            </w:r>
          </w:p>
          <w:p w14:paraId="25CCB6EC">
            <w:pPr>
              <w:numPr>
                <w:ilvl w:val="0"/>
                <w:numId w:val="8"/>
              </w:numPr>
              <w:autoSpaceDE w:val="0"/>
              <w:autoSpaceDN w:val="0"/>
              <w:spacing w:line="360" w:lineRule="auto"/>
              <w:ind w:firstLine="480" w:firstLineChars="200"/>
              <w:jc w:val="left"/>
              <w:rPr>
                <w:kern w:val="0"/>
                <w:sz w:val="24"/>
                <w:u w:val="none"/>
              </w:rPr>
            </w:pPr>
            <w:r>
              <w:rPr>
                <w:rFonts w:hint="eastAsia"/>
                <w:kern w:val="0"/>
                <w:sz w:val="24"/>
                <w:u w:val="none"/>
              </w:rPr>
              <w:t>负责对项目环保人员和其他人员进行环境保护教育，不断增强项目工作人员的环境意识和环保人员的业务素质。</w:t>
            </w:r>
          </w:p>
          <w:p w14:paraId="762C857C">
            <w:pPr>
              <w:autoSpaceDE w:val="0"/>
              <w:autoSpaceDN w:val="0"/>
              <w:spacing w:line="360" w:lineRule="auto"/>
              <w:ind w:firstLine="482" w:firstLineChars="200"/>
              <w:jc w:val="left"/>
              <w:rPr>
                <w:b/>
                <w:bCs/>
                <w:kern w:val="0"/>
                <w:sz w:val="24"/>
                <w:u w:val="none"/>
              </w:rPr>
            </w:pPr>
            <w:r>
              <w:rPr>
                <w:rFonts w:hint="eastAsia"/>
                <w:b/>
                <w:bCs/>
                <w:kern w:val="0"/>
                <w:sz w:val="24"/>
                <w:u w:val="none"/>
              </w:rPr>
              <w:t>（3）环境管理人员配备</w:t>
            </w:r>
          </w:p>
          <w:p w14:paraId="18504845">
            <w:pPr>
              <w:widowControl/>
              <w:autoSpaceDE w:val="0"/>
              <w:autoSpaceDN w:val="0"/>
              <w:spacing w:line="360" w:lineRule="auto"/>
              <w:ind w:firstLine="480" w:firstLineChars="200"/>
              <w:jc w:val="left"/>
              <w:rPr>
                <w:rFonts w:cs="宋体"/>
                <w:kern w:val="0"/>
                <w:sz w:val="24"/>
                <w:szCs w:val="22"/>
                <w:u w:val="none"/>
              </w:rPr>
            </w:pPr>
            <w:r>
              <w:rPr>
                <w:rFonts w:hint="eastAsia" w:ascii="宋体" w:hAnsi="宋体" w:cs="宋体"/>
                <w:kern w:val="0"/>
                <w:sz w:val="24"/>
                <w:u w:val="none"/>
                <w:lang w:bidi="ar"/>
              </w:rPr>
              <w:t>本项目的环境保护工作由负责环保工作的人员统一管理。其职责是实施环保工作计划、规划、审查、监督项目的“三同时”工作，并对</w:t>
            </w:r>
            <w:r>
              <w:rPr>
                <w:kern w:val="0"/>
                <w:sz w:val="24"/>
                <w:u w:val="none"/>
                <w:lang w:bidi="ar"/>
              </w:rPr>
              <w:t>“</w:t>
            </w:r>
            <w:r>
              <w:rPr>
                <w:rFonts w:hint="eastAsia" w:ascii="宋体" w:hAnsi="宋体" w:cs="宋体"/>
                <w:kern w:val="0"/>
                <w:sz w:val="24"/>
                <w:u w:val="none"/>
                <w:lang w:bidi="ar"/>
              </w:rPr>
              <w:t>三废</w:t>
            </w:r>
            <w:r>
              <w:rPr>
                <w:kern w:val="0"/>
                <w:sz w:val="24"/>
                <w:u w:val="none"/>
                <w:lang w:bidi="ar"/>
              </w:rPr>
              <w:t>”</w:t>
            </w:r>
            <w:r>
              <w:rPr>
                <w:rFonts w:hint="eastAsia" w:ascii="宋体" w:hAnsi="宋体" w:cs="宋体"/>
                <w:kern w:val="0"/>
                <w:sz w:val="24"/>
                <w:u w:val="none"/>
                <w:lang w:bidi="ar"/>
              </w:rPr>
              <w:t>的达标排放进行监控。负责处理污染事故，编制环保统计及环保考核等报告。项目建成后，配备专职或兼职环保管理人员</w:t>
            </w:r>
            <w:r>
              <w:rPr>
                <w:kern w:val="0"/>
                <w:sz w:val="24"/>
                <w:u w:val="none"/>
                <w:lang w:bidi="ar"/>
              </w:rPr>
              <w:t>1</w:t>
            </w:r>
            <w:r>
              <w:rPr>
                <w:rFonts w:hint="eastAsia" w:ascii="宋体" w:hAnsi="宋体" w:cs="宋体"/>
                <w:kern w:val="0"/>
                <w:sz w:val="24"/>
                <w:u w:val="none"/>
                <w:lang w:bidi="ar"/>
              </w:rPr>
              <w:t>名，负责环境监督管理工作，同时要加强对</w:t>
            </w:r>
            <w:r>
              <w:rPr>
                <w:rFonts w:hint="eastAsia" w:ascii="宋体" w:hAnsi="宋体" w:cs="宋体"/>
                <w:kern w:val="0"/>
                <w:sz w:val="24"/>
                <w:u w:val="thick" w:color="FFB03A"/>
                <w:shd w:val="clear" w:fill="FFEFD7"/>
                <w:lang w:bidi="ar"/>
              </w:rPr>
              <w:t>管理</w:t>
            </w:r>
            <w:r>
              <w:rPr>
                <w:rFonts w:hint="eastAsia" w:ascii="宋体" w:hAnsi="宋体" w:cs="宋体"/>
                <w:kern w:val="0"/>
                <w:sz w:val="24"/>
                <w:u w:val="none"/>
                <w:lang w:bidi="ar"/>
              </w:rPr>
              <w:t>人员的环保培训。</w:t>
            </w:r>
          </w:p>
          <w:p w14:paraId="11F2BC60">
            <w:pPr>
              <w:autoSpaceDE w:val="0"/>
              <w:autoSpaceDN w:val="0"/>
              <w:spacing w:line="360" w:lineRule="auto"/>
              <w:ind w:firstLine="482" w:firstLineChars="200"/>
              <w:jc w:val="left"/>
              <w:rPr>
                <w:b/>
                <w:bCs/>
                <w:kern w:val="0"/>
                <w:sz w:val="24"/>
                <w:u w:val="none"/>
              </w:rPr>
            </w:pPr>
            <w:r>
              <w:rPr>
                <w:rFonts w:hint="eastAsia"/>
                <w:b/>
                <w:bCs/>
                <w:kern w:val="0"/>
                <w:sz w:val="24"/>
                <w:u w:val="none"/>
              </w:rPr>
              <w:t>10.2、环境管理制度</w:t>
            </w:r>
          </w:p>
          <w:p w14:paraId="23A987EA">
            <w:pPr>
              <w:widowControl/>
              <w:autoSpaceDE w:val="0"/>
              <w:autoSpaceDN w:val="0"/>
              <w:spacing w:line="360" w:lineRule="auto"/>
              <w:ind w:firstLine="480" w:firstLineChars="200"/>
              <w:jc w:val="left"/>
              <w:rPr>
                <w:rFonts w:cs="宋体"/>
                <w:kern w:val="0"/>
                <w:sz w:val="24"/>
                <w:szCs w:val="22"/>
                <w:u w:val="none"/>
              </w:rPr>
            </w:pPr>
            <w:r>
              <w:rPr>
                <w:rFonts w:hint="eastAsia" w:ascii="宋体" w:hAnsi="宋体" w:cs="宋体"/>
                <w:kern w:val="0"/>
                <w:sz w:val="24"/>
                <w:u w:val="none"/>
                <w:lang w:bidi="ar"/>
              </w:rPr>
              <w:t>建设单位应制定一系列规章制度以促进环境保护工作，使环境保护工作规范化和程序化，并通过经济杠杆来保证环境保护管理制度的认真执行。根据需要，建议制定的环境保护工作条例有：</w:t>
            </w:r>
          </w:p>
          <w:p w14:paraId="09A63151">
            <w:pPr>
              <w:numPr>
                <w:ilvl w:val="0"/>
                <w:numId w:val="9"/>
              </w:numPr>
              <w:autoSpaceDE w:val="0"/>
              <w:autoSpaceDN w:val="0"/>
              <w:spacing w:line="360" w:lineRule="auto"/>
              <w:ind w:firstLine="480" w:firstLineChars="200"/>
              <w:jc w:val="left"/>
              <w:rPr>
                <w:kern w:val="0"/>
                <w:sz w:val="24"/>
                <w:u w:val="none"/>
              </w:rPr>
            </w:pPr>
            <w:r>
              <w:rPr>
                <w:rFonts w:hint="eastAsia"/>
                <w:kern w:val="0"/>
                <w:sz w:val="24"/>
                <w:u w:val="none"/>
              </w:rPr>
              <w:t>环境保护职责管理条例；</w:t>
            </w:r>
          </w:p>
          <w:p w14:paraId="6B20F5CC">
            <w:pPr>
              <w:numPr>
                <w:ilvl w:val="0"/>
                <w:numId w:val="9"/>
              </w:numPr>
              <w:autoSpaceDE w:val="0"/>
              <w:autoSpaceDN w:val="0"/>
              <w:spacing w:line="360" w:lineRule="auto"/>
              <w:ind w:firstLine="480" w:firstLineChars="200"/>
              <w:jc w:val="left"/>
              <w:rPr>
                <w:kern w:val="0"/>
                <w:sz w:val="24"/>
                <w:u w:val="none"/>
              </w:rPr>
            </w:pPr>
            <w:r>
              <w:rPr>
                <w:rFonts w:hint="eastAsia"/>
                <w:kern w:val="0"/>
                <w:sz w:val="24"/>
                <w:u w:val="none"/>
              </w:rPr>
              <w:t>废水、噪声、废气、固体废物排放管理制度；</w:t>
            </w:r>
          </w:p>
          <w:p w14:paraId="002928A1">
            <w:pPr>
              <w:numPr>
                <w:ilvl w:val="0"/>
                <w:numId w:val="9"/>
              </w:numPr>
              <w:autoSpaceDE w:val="0"/>
              <w:autoSpaceDN w:val="0"/>
              <w:spacing w:line="360" w:lineRule="auto"/>
              <w:ind w:firstLine="480" w:firstLineChars="200"/>
              <w:jc w:val="left"/>
              <w:rPr>
                <w:kern w:val="0"/>
                <w:sz w:val="24"/>
                <w:u w:val="none"/>
              </w:rPr>
            </w:pPr>
            <w:r>
              <w:rPr>
                <w:rFonts w:hint="eastAsia" w:ascii="宋体" w:hAnsi="宋体" w:cs="宋体"/>
                <w:kern w:val="0"/>
                <w:sz w:val="24"/>
                <w:u w:val="none"/>
              </w:rPr>
              <w:t>“三废”</w:t>
            </w:r>
            <w:r>
              <w:rPr>
                <w:rFonts w:hint="eastAsia"/>
                <w:kern w:val="0"/>
                <w:sz w:val="24"/>
                <w:u w:val="none"/>
              </w:rPr>
              <w:t>处理装置日常运行管理制度；</w:t>
            </w:r>
          </w:p>
          <w:p w14:paraId="4C12AA8C">
            <w:pPr>
              <w:numPr>
                <w:ilvl w:val="0"/>
                <w:numId w:val="9"/>
              </w:numPr>
              <w:autoSpaceDE w:val="0"/>
              <w:autoSpaceDN w:val="0"/>
              <w:spacing w:line="360" w:lineRule="auto"/>
              <w:ind w:firstLine="480" w:firstLineChars="200"/>
              <w:jc w:val="left"/>
              <w:rPr>
                <w:kern w:val="0"/>
                <w:sz w:val="24"/>
                <w:u w:val="none"/>
              </w:rPr>
            </w:pPr>
            <w:r>
              <w:rPr>
                <w:rFonts w:hint="eastAsia"/>
                <w:kern w:val="0"/>
                <w:sz w:val="24"/>
                <w:u w:val="none"/>
              </w:rPr>
              <w:t>排污情况报告制度；</w:t>
            </w:r>
          </w:p>
          <w:p w14:paraId="16169248">
            <w:pPr>
              <w:numPr>
                <w:ilvl w:val="0"/>
                <w:numId w:val="9"/>
              </w:numPr>
              <w:autoSpaceDE w:val="0"/>
              <w:autoSpaceDN w:val="0"/>
              <w:spacing w:line="360" w:lineRule="auto"/>
              <w:ind w:firstLine="480" w:firstLineChars="200"/>
              <w:jc w:val="left"/>
              <w:rPr>
                <w:kern w:val="0"/>
                <w:sz w:val="24"/>
                <w:u w:val="none"/>
              </w:rPr>
            </w:pPr>
            <w:r>
              <w:rPr>
                <w:rFonts w:hint="eastAsia"/>
                <w:kern w:val="0"/>
                <w:sz w:val="24"/>
                <w:u w:val="none"/>
              </w:rPr>
              <w:t>污染事故处理制度；</w:t>
            </w:r>
          </w:p>
          <w:p w14:paraId="2848A03F">
            <w:pPr>
              <w:numPr>
                <w:ilvl w:val="0"/>
                <w:numId w:val="9"/>
              </w:numPr>
              <w:autoSpaceDE w:val="0"/>
              <w:autoSpaceDN w:val="0"/>
              <w:spacing w:line="360" w:lineRule="auto"/>
              <w:ind w:firstLine="480" w:firstLineChars="200"/>
              <w:jc w:val="left"/>
              <w:rPr>
                <w:kern w:val="0"/>
                <w:sz w:val="24"/>
                <w:u w:val="none"/>
              </w:rPr>
            </w:pPr>
            <w:r>
              <w:rPr>
                <w:rFonts w:hint="eastAsia"/>
                <w:kern w:val="0"/>
                <w:sz w:val="24"/>
                <w:u w:val="none"/>
              </w:rPr>
              <w:t>环保教育制度。</w:t>
            </w:r>
          </w:p>
          <w:p w14:paraId="50BD3AB7">
            <w:pPr>
              <w:autoSpaceDE w:val="0"/>
              <w:autoSpaceDN w:val="0"/>
              <w:spacing w:line="360" w:lineRule="auto"/>
              <w:ind w:firstLine="482" w:firstLineChars="200"/>
              <w:jc w:val="left"/>
              <w:rPr>
                <w:b/>
                <w:bCs/>
                <w:kern w:val="0"/>
                <w:sz w:val="24"/>
                <w:u w:val="none"/>
              </w:rPr>
            </w:pPr>
            <w:r>
              <w:rPr>
                <w:rFonts w:hint="eastAsia"/>
                <w:b/>
                <w:bCs/>
                <w:kern w:val="0"/>
                <w:sz w:val="24"/>
                <w:u w:val="none"/>
              </w:rPr>
              <w:t>10.3、环境管理计划</w:t>
            </w:r>
          </w:p>
          <w:p w14:paraId="169E6896">
            <w:pPr>
              <w:numPr>
                <w:ilvl w:val="0"/>
                <w:numId w:val="10"/>
              </w:numPr>
              <w:autoSpaceDE w:val="0"/>
              <w:autoSpaceDN w:val="0"/>
              <w:spacing w:line="360" w:lineRule="auto"/>
              <w:ind w:firstLine="480" w:firstLineChars="200"/>
              <w:jc w:val="left"/>
              <w:rPr>
                <w:kern w:val="0"/>
                <w:sz w:val="24"/>
                <w:u w:val="none"/>
              </w:rPr>
            </w:pPr>
            <w:r>
              <w:rPr>
                <w:rFonts w:hint="eastAsia"/>
                <w:kern w:val="0"/>
                <w:sz w:val="24"/>
                <w:u w:val="none"/>
              </w:rPr>
              <w:t>项目建成投产前，应对建设项目进行竣工环境保护验收，检查环保设施是否达到</w:t>
            </w:r>
            <w:r>
              <w:rPr>
                <w:rFonts w:hint="eastAsia" w:ascii="宋体" w:hAnsi="宋体" w:cs="宋体"/>
                <w:kern w:val="0"/>
                <w:sz w:val="24"/>
                <w:u w:val="none"/>
              </w:rPr>
              <w:t>“三同时”要</w:t>
            </w:r>
            <w:r>
              <w:rPr>
                <w:rFonts w:hint="eastAsia"/>
                <w:kern w:val="0"/>
                <w:sz w:val="24"/>
                <w:u w:val="none"/>
              </w:rPr>
              <w:t>求。</w:t>
            </w:r>
          </w:p>
          <w:p w14:paraId="29559DBA">
            <w:pPr>
              <w:numPr>
                <w:ilvl w:val="0"/>
                <w:numId w:val="10"/>
              </w:numPr>
              <w:autoSpaceDE w:val="0"/>
              <w:autoSpaceDN w:val="0"/>
              <w:spacing w:line="360" w:lineRule="auto"/>
              <w:ind w:firstLine="480" w:firstLineChars="200"/>
              <w:jc w:val="left"/>
              <w:rPr>
                <w:kern w:val="0"/>
                <w:sz w:val="24"/>
                <w:u w:val="none"/>
              </w:rPr>
            </w:pPr>
            <w:r>
              <w:rPr>
                <w:rFonts w:hint="eastAsia"/>
                <w:kern w:val="0"/>
                <w:sz w:val="24"/>
                <w:u w:val="none"/>
              </w:rPr>
              <w:t>加强环保设施的管理，定期检查项目区内环保设施运行情况，如排污管道、废水处理系统等设施是否正常运行，防止污水溢出污染项目区内外环境。若发现故障，要及时排除，保证环保设施正常运转。</w:t>
            </w:r>
          </w:p>
          <w:p w14:paraId="1C9511D2">
            <w:pPr>
              <w:numPr>
                <w:ilvl w:val="0"/>
                <w:numId w:val="10"/>
              </w:numPr>
              <w:autoSpaceDE w:val="0"/>
              <w:autoSpaceDN w:val="0"/>
              <w:spacing w:line="360" w:lineRule="auto"/>
              <w:ind w:firstLine="480" w:firstLineChars="200"/>
              <w:jc w:val="left"/>
              <w:rPr>
                <w:kern w:val="0"/>
                <w:sz w:val="24"/>
                <w:u w:val="none"/>
              </w:rPr>
            </w:pPr>
            <w:r>
              <w:rPr>
                <w:rFonts w:hint="eastAsia"/>
                <w:kern w:val="0"/>
                <w:sz w:val="24"/>
                <w:u w:val="none"/>
              </w:rPr>
              <w:t>运用经济、教育、行政、法律及其他手段，加强项目内人员的环保意识，</w:t>
            </w:r>
            <w:r>
              <w:rPr>
                <w:rFonts w:hint="eastAsia"/>
                <w:kern w:val="0"/>
                <w:sz w:val="24"/>
                <w:u w:val="thick" w:color="FFB03A"/>
                <w:shd w:val="clear" w:fill="FFEFD7"/>
              </w:rPr>
              <w:t>加强</w:t>
            </w:r>
            <w:r>
              <w:rPr>
                <w:rFonts w:hint="eastAsia"/>
                <w:kern w:val="0"/>
                <w:sz w:val="24"/>
                <w:u w:val="none"/>
              </w:rPr>
              <w:t>环境保护的自觉性，不断提高环境管理水平。</w:t>
            </w:r>
          </w:p>
          <w:p w14:paraId="056296DC">
            <w:pPr>
              <w:numPr>
                <w:ilvl w:val="0"/>
                <w:numId w:val="10"/>
              </w:numPr>
              <w:autoSpaceDE w:val="0"/>
              <w:autoSpaceDN w:val="0"/>
              <w:spacing w:line="360" w:lineRule="auto"/>
              <w:ind w:firstLine="480" w:firstLineChars="200"/>
              <w:jc w:val="left"/>
              <w:rPr>
                <w:kern w:val="0"/>
                <w:sz w:val="24"/>
                <w:u w:val="none"/>
              </w:rPr>
            </w:pPr>
            <w:r>
              <w:rPr>
                <w:rFonts w:hint="eastAsia"/>
                <w:kern w:val="0"/>
                <w:sz w:val="24"/>
                <w:u w:val="none"/>
              </w:rPr>
              <w:t>实施环境监测计划。</w:t>
            </w:r>
          </w:p>
          <w:p w14:paraId="013BD15C">
            <w:pPr>
              <w:numPr>
                <w:ilvl w:val="0"/>
                <w:numId w:val="10"/>
              </w:numPr>
              <w:autoSpaceDE w:val="0"/>
              <w:autoSpaceDN w:val="0"/>
              <w:spacing w:line="360" w:lineRule="auto"/>
              <w:ind w:firstLine="480" w:firstLineChars="200"/>
              <w:jc w:val="left"/>
              <w:rPr>
                <w:b/>
                <w:bCs/>
                <w:spacing w:val="-10"/>
                <w:u w:val="none"/>
              </w:rPr>
            </w:pPr>
            <w:r>
              <w:rPr>
                <w:rFonts w:hint="eastAsia"/>
                <w:kern w:val="0"/>
                <w:sz w:val="24"/>
                <w:u w:val="none"/>
              </w:rPr>
              <w:t>项目在发生实际排污行为之前，应按照国家环境保护相关法律法规要求填报排污登记表，落实污染物排放控制措施和环境管理要求，开展自行监测，建立完整的环境管理台账，建立从过程到结果的完整环境守法链条。</w:t>
            </w:r>
          </w:p>
        </w:tc>
      </w:tr>
    </w:tbl>
    <w:p w14:paraId="1DAA9375">
      <w:pPr>
        <w:rPr>
          <w:u w:val="none"/>
        </w:rPr>
        <w:sectPr>
          <w:pgSz w:w="11907" w:h="16840"/>
          <w:pgMar w:top="1701" w:right="1531" w:bottom="2127" w:left="1531" w:header="851" w:footer="851" w:gutter="0"/>
          <w:cols w:space="720" w:num="1"/>
          <w:docGrid w:linePitch="312" w:charSpace="0"/>
        </w:sectPr>
      </w:pPr>
    </w:p>
    <w:p w14:paraId="6D2EC8CC">
      <w:pPr>
        <w:pStyle w:val="32"/>
        <w:ind w:firstLine="420"/>
        <w:jc w:val="center"/>
        <w:outlineLvl w:val="0"/>
        <w:rPr>
          <w:rFonts w:ascii="Times New Roman" w:hAnsi="Times New Roman"/>
          <w:b/>
          <w:bCs/>
          <w:snapToGrid w:val="0"/>
          <w:sz w:val="30"/>
          <w:szCs w:val="30"/>
          <w:u w:val="none"/>
        </w:rPr>
      </w:pPr>
      <w:bookmarkStart w:id="46" w:name="_Toc4693"/>
      <w:r>
        <w:rPr>
          <w:rFonts w:ascii="Times New Roman" w:hAnsi="Times New Roman"/>
          <w:b/>
          <w:bCs/>
          <w:snapToGrid w:val="0"/>
          <w:sz w:val="30"/>
          <w:szCs w:val="30"/>
          <w:u w:val="none"/>
        </w:rPr>
        <w:t>五、</w:t>
      </w:r>
      <w:bookmarkStart w:id="47" w:name="_Hlk54167917"/>
      <w:r>
        <w:rPr>
          <w:rFonts w:ascii="Times New Roman" w:hAnsi="Times New Roman"/>
          <w:b/>
          <w:bCs/>
          <w:snapToGrid w:val="0"/>
          <w:sz w:val="30"/>
          <w:szCs w:val="30"/>
          <w:u w:val="none"/>
        </w:rPr>
        <w:t>环境保护措施监督检查清单</w:t>
      </w:r>
      <w:bookmarkEnd w:id="46"/>
      <w:bookmarkEnd w:id="47"/>
    </w:p>
    <w:tbl>
      <w:tblPr>
        <w:tblStyle w:val="37"/>
        <w:tblW w:w="95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755"/>
        <w:gridCol w:w="1023"/>
        <w:gridCol w:w="3555"/>
        <w:gridCol w:w="1684"/>
      </w:tblGrid>
      <w:tr w14:paraId="7FB71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tcBorders>
              <w:tl2br w:val="single" w:color="auto" w:sz="4" w:space="0"/>
            </w:tcBorders>
          </w:tcPr>
          <w:p w14:paraId="6DE2D1A1">
            <w:pPr>
              <w:ind w:firstLine="630" w:firstLineChars="300"/>
              <w:rPr>
                <w:szCs w:val="21"/>
                <w:u w:val="none"/>
              </w:rPr>
            </w:pPr>
            <w:r>
              <w:rPr>
                <w:szCs w:val="21"/>
                <w:u w:val="none"/>
              </w:rPr>
              <w:t>内容</w:t>
            </w:r>
          </w:p>
          <w:p w14:paraId="7D35E547">
            <w:pPr>
              <w:rPr>
                <w:szCs w:val="21"/>
                <w:u w:val="none"/>
              </w:rPr>
            </w:pPr>
            <w:r>
              <w:rPr>
                <w:szCs w:val="21"/>
                <w:u w:val="none"/>
              </w:rPr>
              <w:t>要素</w:t>
            </w:r>
          </w:p>
        </w:tc>
        <w:tc>
          <w:tcPr>
            <w:tcW w:w="1755" w:type="dxa"/>
            <w:vAlign w:val="center"/>
          </w:tcPr>
          <w:p w14:paraId="4E656738">
            <w:pPr>
              <w:jc w:val="center"/>
              <w:rPr>
                <w:szCs w:val="21"/>
                <w:u w:val="none"/>
              </w:rPr>
            </w:pPr>
            <w:r>
              <w:rPr>
                <w:szCs w:val="21"/>
                <w:u w:val="none"/>
              </w:rPr>
              <w:t>排放口</w:t>
            </w:r>
            <w:r>
              <w:rPr>
                <w:rFonts w:hint="eastAsia"/>
                <w:szCs w:val="21"/>
                <w:u w:val="none"/>
              </w:rPr>
              <w:t>（</w:t>
            </w:r>
            <w:r>
              <w:rPr>
                <w:szCs w:val="21"/>
                <w:u w:val="none"/>
              </w:rPr>
              <w:t>编号、</w:t>
            </w:r>
          </w:p>
          <w:p w14:paraId="75A9A8D8">
            <w:pPr>
              <w:jc w:val="center"/>
              <w:rPr>
                <w:szCs w:val="21"/>
                <w:u w:val="none"/>
              </w:rPr>
            </w:pPr>
            <w:r>
              <w:rPr>
                <w:szCs w:val="21"/>
                <w:u w:val="none"/>
              </w:rPr>
              <w:t>名称</w:t>
            </w:r>
            <w:r>
              <w:rPr>
                <w:rFonts w:hint="eastAsia"/>
                <w:szCs w:val="21"/>
                <w:u w:val="none"/>
              </w:rPr>
              <w:t>）</w:t>
            </w:r>
            <w:r>
              <w:rPr>
                <w:szCs w:val="21"/>
                <w:u w:val="none"/>
              </w:rPr>
              <w:t>/污染源</w:t>
            </w:r>
          </w:p>
        </w:tc>
        <w:tc>
          <w:tcPr>
            <w:tcW w:w="1023" w:type="dxa"/>
            <w:vAlign w:val="center"/>
          </w:tcPr>
          <w:p w14:paraId="6C16E79D">
            <w:pPr>
              <w:jc w:val="center"/>
              <w:rPr>
                <w:szCs w:val="21"/>
                <w:u w:val="none"/>
              </w:rPr>
            </w:pPr>
            <w:r>
              <w:rPr>
                <w:szCs w:val="21"/>
                <w:u w:val="none"/>
              </w:rPr>
              <w:t>污染物项目</w:t>
            </w:r>
          </w:p>
        </w:tc>
        <w:tc>
          <w:tcPr>
            <w:tcW w:w="3555" w:type="dxa"/>
            <w:vAlign w:val="center"/>
          </w:tcPr>
          <w:p w14:paraId="5EF4C812">
            <w:pPr>
              <w:jc w:val="center"/>
              <w:rPr>
                <w:szCs w:val="21"/>
                <w:u w:val="none"/>
              </w:rPr>
            </w:pPr>
            <w:r>
              <w:rPr>
                <w:szCs w:val="21"/>
                <w:u w:val="none"/>
              </w:rPr>
              <w:t>环境保护措施</w:t>
            </w:r>
          </w:p>
        </w:tc>
        <w:tc>
          <w:tcPr>
            <w:tcW w:w="1684" w:type="dxa"/>
            <w:vAlign w:val="center"/>
          </w:tcPr>
          <w:p w14:paraId="02529F56">
            <w:pPr>
              <w:jc w:val="center"/>
              <w:rPr>
                <w:szCs w:val="21"/>
                <w:u w:val="none"/>
              </w:rPr>
            </w:pPr>
            <w:r>
              <w:rPr>
                <w:szCs w:val="21"/>
                <w:u w:val="none"/>
              </w:rPr>
              <w:t>执行标准</w:t>
            </w:r>
          </w:p>
        </w:tc>
      </w:tr>
      <w:tr w14:paraId="34E8B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518" w:type="dxa"/>
            <w:vMerge w:val="restart"/>
            <w:vAlign w:val="center"/>
          </w:tcPr>
          <w:p w14:paraId="6139A365">
            <w:pPr>
              <w:jc w:val="center"/>
              <w:rPr>
                <w:szCs w:val="21"/>
                <w:u w:val="none"/>
              </w:rPr>
            </w:pPr>
            <w:r>
              <w:rPr>
                <w:rFonts w:hint="eastAsia"/>
                <w:szCs w:val="21"/>
                <w:u w:val="none"/>
              </w:rPr>
              <w:t>大气环境</w:t>
            </w:r>
          </w:p>
        </w:tc>
        <w:tc>
          <w:tcPr>
            <w:tcW w:w="1755" w:type="dxa"/>
            <w:vAlign w:val="center"/>
          </w:tcPr>
          <w:p w14:paraId="32778D58">
            <w:pPr>
              <w:pStyle w:val="129"/>
              <w:adjustRightInd/>
              <w:snapToGrid/>
              <w:spacing w:before="0" w:after="0"/>
              <w:rPr>
                <w:szCs w:val="21"/>
                <w:u w:val="none"/>
              </w:rPr>
            </w:pPr>
            <w:r>
              <w:rPr>
                <w:rFonts w:hint="eastAsia"/>
                <w:szCs w:val="21"/>
                <w:u w:val="none"/>
              </w:rPr>
              <w:t>仓储大棚</w:t>
            </w:r>
          </w:p>
        </w:tc>
        <w:tc>
          <w:tcPr>
            <w:tcW w:w="1023" w:type="dxa"/>
            <w:vMerge w:val="restart"/>
            <w:vAlign w:val="center"/>
          </w:tcPr>
          <w:p w14:paraId="152367B7">
            <w:pPr>
              <w:pStyle w:val="129"/>
              <w:adjustRightInd/>
              <w:snapToGrid/>
              <w:spacing w:before="0" w:after="0"/>
              <w:rPr>
                <w:szCs w:val="21"/>
                <w:u w:val="none"/>
              </w:rPr>
            </w:pPr>
            <w:r>
              <w:rPr>
                <w:rFonts w:hint="eastAsia"/>
                <w:szCs w:val="21"/>
                <w:u w:val="none"/>
              </w:rPr>
              <w:t>颗粒物</w:t>
            </w:r>
          </w:p>
        </w:tc>
        <w:tc>
          <w:tcPr>
            <w:tcW w:w="3555" w:type="dxa"/>
            <w:vMerge w:val="restart"/>
            <w:vAlign w:val="center"/>
          </w:tcPr>
          <w:p w14:paraId="6BD1802C">
            <w:pPr>
              <w:pStyle w:val="129"/>
              <w:adjustRightInd/>
              <w:snapToGrid/>
              <w:spacing w:before="0" w:after="0"/>
              <w:jc w:val="left"/>
              <w:rPr>
                <w:szCs w:val="21"/>
                <w:u w:val="none"/>
              </w:rPr>
            </w:pPr>
            <w:r>
              <w:rPr>
                <w:rFonts w:hint="eastAsia"/>
                <w:szCs w:val="21"/>
                <w:u w:val="none"/>
              </w:rPr>
              <w:t>仓储大棚</w:t>
            </w:r>
            <w:r>
              <w:rPr>
                <w:bCs/>
                <w:spacing w:val="-10"/>
                <w:szCs w:val="21"/>
                <w:u w:val="none"/>
              </w:rPr>
              <w:t>建设为全封闭</w:t>
            </w:r>
            <w:r>
              <w:rPr>
                <w:rFonts w:hint="eastAsia"/>
                <w:szCs w:val="21"/>
                <w:u w:val="none"/>
              </w:rPr>
              <w:t>仓储大棚</w:t>
            </w:r>
            <w:r>
              <w:rPr>
                <w:bCs/>
                <w:spacing w:val="-10"/>
                <w:szCs w:val="21"/>
                <w:u w:val="none"/>
              </w:rPr>
              <w:t>，仅留设车辆进出口，同时在</w:t>
            </w:r>
            <w:r>
              <w:rPr>
                <w:rFonts w:hint="eastAsia"/>
                <w:szCs w:val="21"/>
                <w:u w:val="none"/>
              </w:rPr>
              <w:t>仓储大棚顶部</w:t>
            </w:r>
            <w:r>
              <w:rPr>
                <w:bCs/>
                <w:spacing w:val="-10"/>
                <w:szCs w:val="21"/>
                <w:u w:val="none"/>
              </w:rPr>
              <w:t>安装</w:t>
            </w:r>
            <w:r>
              <w:rPr>
                <w:rFonts w:hint="eastAsia"/>
                <w:bCs/>
                <w:spacing w:val="-10"/>
                <w:szCs w:val="21"/>
                <w:u w:val="none"/>
              </w:rPr>
              <w:t>喷雾降尘装置</w:t>
            </w:r>
          </w:p>
        </w:tc>
        <w:tc>
          <w:tcPr>
            <w:tcW w:w="1684" w:type="dxa"/>
            <w:vMerge w:val="restart"/>
            <w:tcBorders>
              <w:top w:val="single" w:color="000000" w:sz="4" w:space="0"/>
            </w:tcBorders>
            <w:vAlign w:val="center"/>
          </w:tcPr>
          <w:p w14:paraId="10C9A7F1">
            <w:pPr>
              <w:pStyle w:val="129"/>
              <w:adjustRightInd/>
              <w:snapToGrid/>
              <w:spacing w:before="0" w:after="0"/>
              <w:rPr>
                <w:szCs w:val="21"/>
                <w:u w:val="none"/>
              </w:rPr>
            </w:pPr>
            <w:r>
              <w:rPr>
                <w:rFonts w:hint="eastAsia"/>
                <w:szCs w:val="21"/>
                <w:u w:val="none"/>
              </w:rPr>
              <w:t>《大气污染物综合排放标准》（GB16297-1996）</w:t>
            </w:r>
          </w:p>
        </w:tc>
      </w:tr>
      <w:tr w14:paraId="6EC07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8" w:type="dxa"/>
            <w:vMerge w:val="continue"/>
            <w:vAlign w:val="center"/>
          </w:tcPr>
          <w:p w14:paraId="03CA5708">
            <w:pPr>
              <w:jc w:val="center"/>
              <w:rPr>
                <w:szCs w:val="21"/>
                <w:u w:val="none"/>
              </w:rPr>
            </w:pPr>
          </w:p>
        </w:tc>
        <w:tc>
          <w:tcPr>
            <w:tcW w:w="1755" w:type="dxa"/>
            <w:vAlign w:val="center"/>
          </w:tcPr>
          <w:p w14:paraId="3A2EA6D5">
            <w:pPr>
              <w:pStyle w:val="129"/>
              <w:adjustRightInd/>
              <w:snapToGrid/>
              <w:spacing w:before="0" w:after="0"/>
              <w:rPr>
                <w:szCs w:val="21"/>
                <w:u w:val="none"/>
              </w:rPr>
            </w:pPr>
            <w:r>
              <w:rPr>
                <w:rFonts w:hint="eastAsia"/>
                <w:szCs w:val="21"/>
                <w:u w:val="none"/>
              </w:rPr>
              <w:t>磷矿装卸</w:t>
            </w:r>
          </w:p>
        </w:tc>
        <w:tc>
          <w:tcPr>
            <w:tcW w:w="1023" w:type="dxa"/>
            <w:vMerge w:val="continue"/>
            <w:vAlign w:val="center"/>
          </w:tcPr>
          <w:p w14:paraId="4EF2A887">
            <w:pPr>
              <w:pStyle w:val="129"/>
              <w:adjustRightInd/>
              <w:snapToGrid/>
              <w:spacing w:before="0" w:after="0"/>
              <w:rPr>
                <w:szCs w:val="21"/>
                <w:u w:val="none"/>
              </w:rPr>
            </w:pPr>
          </w:p>
        </w:tc>
        <w:tc>
          <w:tcPr>
            <w:tcW w:w="3555" w:type="dxa"/>
            <w:vMerge w:val="continue"/>
            <w:vAlign w:val="center"/>
          </w:tcPr>
          <w:p w14:paraId="3B6531B6">
            <w:pPr>
              <w:pStyle w:val="129"/>
              <w:adjustRightInd/>
              <w:snapToGrid/>
              <w:spacing w:before="0" w:after="0"/>
              <w:jc w:val="left"/>
              <w:rPr>
                <w:szCs w:val="21"/>
                <w:u w:val="none"/>
              </w:rPr>
            </w:pPr>
          </w:p>
        </w:tc>
        <w:tc>
          <w:tcPr>
            <w:tcW w:w="1684" w:type="dxa"/>
            <w:vMerge w:val="continue"/>
            <w:vAlign w:val="center"/>
          </w:tcPr>
          <w:p w14:paraId="74C357B2">
            <w:pPr>
              <w:pStyle w:val="129"/>
              <w:wordWrap w:val="0"/>
              <w:adjustRightInd/>
              <w:snapToGrid/>
              <w:spacing w:before="0" w:after="0"/>
              <w:rPr>
                <w:szCs w:val="21"/>
                <w:u w:val="none"/>
              </w:rPr>
            </w:pPr>
          </w:p>
        </w:tc>
      </w:tr>
      <w:tr w14:paraId="5DB31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518" w:type="dxa"/>
            <w:vMerge w:val="continue"/>
            <w:vAlign w:val="center"/>
          </w:tcPr>
          <w:p w14:paraId="067473EB">
            <w:pPr>
              <w:jc w:val="center"/>
              <w:rPr>
                <w:szCs w:val="21"/>
                <w:u w:val="none"/>
              </w:rPr>
            </w:pPr>
          </w:p>
        </w:tc>
        <w:tc>
          <w:tcPr>
            <w:tcW w:w="1755" w:type="dxa"/>
            <w:vAlign w:val="center"/>
          </w:tcPr>
          <w:p w14:paraId="768AFBB8">
            <w:pPr>
              <w:pStyle w:val="129"/>
              <w:adjustRightInd/>
              <w:snapToGrid/>
              <w:spacing w:before="0" w:after="0"/>
              <w:rPr>
                <w:szCs w:val="21"/>
                <w:u w:val="none"/>
              </w:rPr>
            </w:pPr>
            <w:r>
              <w:rPr>
                <w:rFonts w:hint="eastAsia"/>
                <w:szCs w:val="21"/>
                <w:u w:val="none"/>
              </w:rPr>
              <w:t>厂区</w:t>
            </w:r>
          </w:p>
        </w:tc>
        <w:tc>
          <w:tcPr>
            <w:tcW w:w="1023" w:type="dxa"/>
            <w:vMerge w:val="continue"/>
            <w:vAlign w:val="center"/>
          </w:tcPr>
          <w:p w14:paraId="0D49750C">
            <w:pPr>
              <w:pStyle w:val="129"/>
              <w:adjustRightInd/>
              <w:snapToGrid/>
              <w:spacing w:before="0" w:after="0"/>
              <w:rPr>
                <w:szCs w:val="21"/>
                <w:u w:val="none"/>
              </w:rPr>
            </w:pPr>
          </w:p>
        </w:tc>
        <w:tc>
          <w:tcPr>
            <w:tcW w:w="3555" w:type="dxa"/>
            <w:vAlign w:val="center"/>
          </w:tcPr>
          <w:p w14:paraId="44A662FB">
            <w:pPr>
              <w:pStyle w:val="129"/>
              <w:adjustRightInd/>
              <w:snapToGrid/>
              <w:spacing w:before="0" w:after="0"/>
              <w:jc w:val="left"/>
              <w:rPr>
                <w:szCs w:val="21"/>
                <w:u w:val="none"/>
              </w:rPr>
            </w:pPr>
            <w:r>
              <w:rPr>
                <w:rFonts w:hint="eastAsia"/>
                <w:bCs/>
                <w:u w:val="none"/>
              </w:rPr>
              <w:t>设置1个洗车平台，对运输车辆进行清洗，防止车辆带泥上路，车辆运输磷矿采取密闭运输；</w:t>
            </w:r>
            <w:r>
              <w:rPr>
                <w:rFonts w:hint="eastAsia"/>
                <w:bCs/>
                <w:spacing w:val="-10"/>
                <w:szCs w:val="21"/>
                <w:u w:val="none"/>
              </w:rPr>
              <w:t>对厂区内地面进行定期洒水、清扫</w:t>
            </w:r>
          </w:p>
        </w:tc>
        <w:tc>
          <w:tcPr>
            <w:tcW w:w="1684" w:type="dxa"/>
            <w:vMerge w:val="continue"/>
            <w:vAlign w:val="center"/>
          </w:tcPr>
          <w:p w14:paraId="4FDD9130">
            <w:pPr>
              <w:pStyle w:val="129"/>
              <w:adjustRightInd/>
              <w:snapToGrid/>
              <w:spacing w:before="0" w:after="0"/>
              <w:rPr>
                <w:szCs w:val="21"/>
                <w:u w:val="none"/>
              </w:rPr>
            </w:pPr>
          </w:p>
        </w:tc>
      </w:tr>
      <w:tr w14:paraId="27B4B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restart"/>
            <w:vAlign w:val="center"/>
          </w:tcPr>
          <w:p w14:paraId="7CB98267">
            <w:pPr>
              <w:jc w:val="center"/>
              <w:rPr>
                <w:szCs w:val="21"/>
                <w:u w:val="none"/>
              </w:rPr>
            </w:pPr>
            <w:r>
              <w:rPr>
                <w:szCs w:val="21"/>
                <w:u w:val="none"/>
              </w:rPr>
              <w:t>地表水环境</w:t>
            </w:r>
          </w:p>
        </w:tc>
        <w:tc>
          <w:tcPr>
            <w:tcW w:w="1755" w:type="dxa"/>
            <w:vAlign w:val="center"/>
          </w:tcPr>
          <w:p w14:paraId="5C0992C3">
            <w:pPr>
              <w:pStyle w:val="129"/>
              <w:adjustRightInd/>
              <w:snapToGrid/>
              <w:spacing w:before="0" w:after="0"/>
              <w:rPr>
                <w:szCs w:val="21"/>
                <w:u w:val="none"/>
              </w:rPr>
            </w:pPr>
            <w:r>
              <w:rPr>
                <w:rFonts w:hint="eastAsia"/>
                <w:szCs w:val="21"/>
                <w:u w:val="none"/>
              </w:rPr>
              <w:t>职工</w:t>
            </w:r>
          </w:p>
        </w:tc>
        <w:tc>
          <w:tcPr>
            <w:tcW w:w="1023" w:type="dxa"/>
            <w:vAlign w:val="center"/>
          </w:tcPr>
          <w:p w14:paraId="3FC2A443">
            <w:pPr>
              <w:pStyle w:val="129"/>
              <w:adjustRightInd/>
              <w:snapToGrid/>
              <w:spacing w:before="0" w:after="0"/>
              <w:rPr>
                <w:szCs w:val="21"/>
                <w:u w:val="none"/>
              </w:rPr>
            </w:pPr>
            <w:r>
              <w:rPr>
                <w:rFonts w:hint="eastAsia"/>
                <w:szCs w:val="21"/>
                <w:u w:val="none"/>
              </w:rPr>
              <w:t>职工办公生活污水</w:t>
            </w:r>
          </w:p>
        </w:tc>
        <w:tc>
          <w:tcPr>
            <w:tcW w:w="3555" w:type="dxa"/>
            <w:vAlign w:val="center"/>
          </w:tcPr>
          <w:p w14:paraId="3FD873FF">
            <w:pPr>
              <w:pStyle w:val="129"/>
              <w:adjustRightInd/>
              <w:snapToGrid/>
              <w:spacing w:before="0" w:after="0"/>
              <w:jc w:val="both"/>
              <w:rPr>
                <w:szCs w:val="21"/>
                <w:u w:val="none"/>
              </w:rPr>
            </w:pPr>
            <w:r>
              <w:rPr>
                <w:rFonts w:hint="eastAsia"/>
                <w:szCs w:val="21"/>
                <w:u w:val="none"/>
              </w:rPr>
              <w:t>建设</w:t>
            </w:r>
            <w:r>
              <w:rPr>
                <w:szCs w:val="21"/>
                <w:u w:val="none"/>
              </w:rPr>
              <w:t>1个容积为</w:t>
            </w:r>
            <w:r>
              <w:rPr>
                <w:rFonts w:hint="eastAsia"/>
                <w:szCs w:val="21"/>
                <w:u w:val="none"/>
              </w:rPr>
              <w:t>5</w:t>
            </w:r>
            <w:r>
              <w:rPr>
                <w:szCs w:val="21"/>
                <w:u w:val="none"/>
              </w:rPr>
              <w:t>m</w:t>
            </w:r>
            <w:r>
              <w:rPr>
                <w:szCs w:val="21"/>
                <w:u w:val="none"/>
                <w:vertAlign w:val="superscript"/>
              </w:rPr>
              <w:t>3</w:t>
            </w:r>
            <w:r>
              <w:rPr>
                <w:szCs w:val="21"/>
                <w:u w:val="none"/>
              </w:rPr>
              <w:t>的化粪池</w:t>
            </w:r>
            <w:r>
              <w:rPr>
                <w:rFonts w:hint="eastAsia"/>
                <w:szCs w:val="21"/>
                <w:u w:val="none"/>
              </w:rPr>
              <w:t>、</w:t>
            </w:r>
            <w:r>
              <w:rPr>
                <w:szCs w:val="21"/>
                <w:u w:val="none"/>
              </w:rPr>
              <w:t>1个容积为</w:t>
            </w:r>
            <w:r>
              <w:rPr>
                <w:rFonts w:hint="eastAsia"/>
                <w:szCs w:val="21"/>
                <w:u w:val="none"/>
              </w:rPr>
              <w:t>1.5</w:t>
            </w:r>
            <w:r>
              <w:rPr>
                <w:szCs w:val="21"/>
                <w:u w:val="none"/>
              </w:rPr>
              <w:t>m</w:t>
            </w:r>
            <w:r>
              <w:rPr>
                <w:szCs w:val="21"/>
                <w:u w:val="none"/>
                <w:vertAlign w:val="superscript"/>
              </w:rPr>
              <w:t>3</w:t>
            </w:r>
            <w:r>
              <w:rPr>
                <w:szCs w:val="21"/>
                <w:u w:val="none"/>
              </w:rPr>
              <w:t>的</w:t>
            </w:r>
            <w:r>
              <w:rPr>
                <w:rFonts w:hint="eastAsia"/>
                <w:szCs w:val="21"/>
                <w:u w:val="none"/>
              </w:rPr>
              <w:t>清水</w:t>
            </w:r>
            <w:r>
              <w:rPr>
                <w:szCs w:val="21"/>
                <w:u w:val="none"/>
              </w:rPr>
              <w:t>池</w:t>
            </w:r>
            <w:r>
              <w:rPr>
                <w:rFonts w:hint="eastAsia"/>
                <w:szCs w:val="21"/>
                <w:u w:val="none"/>
              </w:rPr>
              <w:t>和1套处理能力为1m</w:t>
            </w:r>
            <w:r>
              <w:rPr>
                <w:rFonts w:hint="eastAsia"/>
                <w:szCs w:val="21"/>
                <w:u w:val="none"/>
                <w:vertAlign w:val="superscript"/>
              </w:rPr>
              <w:t>3</w:t>
            </w:r>
            <w:r>
              <w:rPr>
                <w:rFonts w:hint="eastAsia"/>
                <w:szCs w:val="21"/>
                <w:u w:val="none"/>
              </w:rPr>
              <w:t>/d的一体化污水处理站</w:t>
            </w:r>
            <w:r>
              <w:rPr>
                <w:szCs w:val="21"/>
                <w:u w:val="none"/>
              </w:rPr>
              <w:t>，</w:t>
            </w:r>
            <w:r>
              <w:rPr>
                <w:bCs/>
                <w:szCs w:val="21"/>
                <w:u w:val="none"/>
              </w:rPr>
              <w:t>职工办公生活污水经化粪池处理后排入1套处理能力为1m</w:t>
            </w:r>
            <w:r>
              <w:rPr>
                <w:bCs/>
                <w:szCs w:val="21"/>
                <w:u w:val="none"/>
                <w:vertAlign w:val="superscript"/>
              </w:rPr>
              <w:t>3</w:t>
            </w:r>
            <w:r>
              <w:rPr>
                <w:bCs/>
                <w:szCs w:val="21"/>
                <w:u w:val="none"/>
              </w:rPr>
              <w:t>/d的一体化污水处理站处理</w:t>
            </w:r>
            <w:r>
              <w:rPr>
                <w:bCs/>
                <w:szCs w:val="21"/>
                <w:u w:val="none"/>
                <w:lang w:val="zh-TW"/>
              </w:rPr>
              <w:t>，处理达</w:t>
            </w:r>
            <w:r>
              <w:rPr>
                <w:rFonts w:hint="eastAsia"/>
                <w:bCs/>
                <w:szCs w:val="21"/>
                <w:u w:val="none"/>
              </w:rPr>
              <w:t>到</w:t>
            </w:r>
            <w:r>
              <w:rPr>
                <w:rFonts w:hint="eastAsia"/>
                <w:u w:val="none"/>
                <w:lang w:val="zh-TW"/>
              </w:rPr>
              <w:t>《农田灌溉水质标准》（GB5084-2021）中蔬菜标准限值后，采用密闭运输工具清运用于周边旱地、种植基地及菜地灌溉</w:t>
            </w:r>
          </w:p>
        </w:tc>
        <w:tc>
          <w:tcPr>
            <w:tcW w:w="1684" w:type="dxa"/>
            <w:vAlign w:val="center"/>
          </w:tcPr>
          <w:p w14:paraId="4685AE0B">
            <w:pPr>
              <w:pStyle w:val="129"/>
              <w:adjustRightInd/>
              <w:snapToGrid/>
              <w:spacing w:before="0" w:after="0"/>
              <w:rPr>
                <w:szCs w:val="21"/>
                <w:u w:val="none"/>
              </w:rPr>
            </w:pPr>
            <w:r>
              <w:rPr>
                <w:rFonts w:hint="eastAsia"/>
                <w:u w:val="none"/>
                <w:lang w:val="zh-TW"/>
              </w:rPr>
              <w:t>《农田灌溉水质标准》（GB5084-2021）中蔬菜标准限值</w:t>
            </w:r>
          </w:p>
        </w:tc>
      </w:tr>
      <w:tr w14:paraId="56506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14:paraId="0903F648">
            <w:pPr>
              <w:jc w:val="center"/>
              <w:rPr>
                <w:szCs w:val="21"/>
                <w:u w:val="none"/>
              </w:rPr>
            </w:pPr>
          </w:p>
        </w:tc>
        <w:tc>
          <w:tcPr>
            <w:tcW w:w="1755" w:type="dxa"/>
            <w:vAlign w:val="center"/>
          </w:tcPr>
          <w:p w14:paraId="13B0C547">
            <w:pPr>
              <w:pStyle w:val="129"/>
              <w:adjustRightInd/>
              <w:snapToGrid/>
              <w:spacing w:before="0" w:after="0"/>
              <w:rPr>
                <w:szCs w:val="21"/>
                <w:u w:val="none"/>
              </w:rPr>
            </w:pPr>
            <w:r>
              <w:rPr>
                <w:rFonts w:hint="eastAsia"/>
                <w:szCs w:val="21"/>
                <w:u w:val="none"/>
              </w:rPr>
              <w:t>运输车辆</w:t>
            </w:r>
          </w:p>
        </w:tc>
        <w:tc>
          <w:tcPr>
            <w:tcW w:w="1023" w:type="dxa"/>
            <w:vAlign w:val="center"/>
          </w:tcPr>
          <w:p w14:paraId="13D1A8A9">
            <w:pPr>
              <w:pStyle w:val="129"/>
              <w:adjustRightInd/>
              <w:snapToGrid/>
              <w:spacing w:before="0" w:after="0"/>
              <w:rPr>
                <w:szCs w:val="21"/>
                <w:u w:val="none"/>
              </w:rPr>
            </w:pPr>
            <w:r>
              <w:rPr>
                <w:rFonts w:hint="eastAsia"/>
                <w:szCs w:val="21"/>
                <w:u w:val="none"/>
              </w:rPr>
              <w:t>车辆清洗废水</w:t>
            </w:r>
          </w:p>
        </w:tc>
        <w:tc>
          <w:tcPr>
            <w:tcW w:w="3555" w:type="dxa"/>
            <w:vAlign w:val="center"/>
          </w:tcPr>
          <w:p w14:paraId="63B19D65">
            <w:pPr>
              <w:pStyle w:val="129"/>
              <w:adjustRightInd/>
              <w:snapToGrid/>
              <w:spacing w:before="0" w:after="0"/>
              <w:jc w:val="left"/>
              <w:rPr>
                <w:szCs w:val="21"/>
                <w:u w:val="none"/>
              </w:rPr>
            </w:pPr>
            <w:r>
              <w:rPr>
                <w:rFonts w:hint="eastAsia"/>
                <w:szCs w:val="21"/>
                <w:u w:val="none"/>
              </w:rPr>
              <w:t>洗车平台1侧建设1座54m</w:t>
            </w:r>
            <w:r>
              <w:rPr>
                <w:rFonts w:hint="eastAsia"/>
                <w:szCs w:val="21"/>
                <w:u w:val="none"/>
                <w:vertAlign w:val="superscript"/>
              </w:rPr>
              <w:t>3</w:t>
            </w:r>
            <w:r>
              <w:rPr>
                <w:rFonts w:hint="eastAsia"/>
                <w:szCs w:val="21"/>
                <w:u w:val="none"/>
              </w:rPr>
              <w:t>的车辆清洗废水沉淀池，并配置回用水泵及管道，车辆清洗废水经沉淀后循环利用</w:t>
            </w:r>
          </w:p>
        </w:tc>
        <w:tc>
          <w:tcPr>
            <w:tcW w:w="1684" w:type="dxa"/>
            <w:vAlign w:val="center"/>
          </w:tcPr>
          <w:p w14:paraId="2B571B39">
            <w:pPr>
              <w:pStyle w:val="129"/>
              <w:adjustRightInd/>
              <w:snapToGrid/>
              <w:spacing w:before="0" w:after="0"/>
              <w:rPr>
                <w:szCs w:val="21"/>
                <w:u w:val="none"/>
              </w:rPr>
            </w:pPr>
            <w:r>
              <w:rPr>
                <w:rFonts w:hint="eastAsia"/>
                <w:szCs w:val="21"/>
                <w:u w:val="none"/>
              </w:rPr>
              <w:t>不外排</w:t>
            </w:r>
          </w:p>
        </w:tc>
      </w:tr>
      <w:tr w14:paraId="383B9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Merge w:val="continue"/>
            <w:vAlign w:val="center"/>
          </w:tcPr>
          <w:p w14:paraId="129D838A">
            <w:pPr>
              <w:jc w:val="center"/>
              <w:rPr>
                <w:szCs w:val="21"/>
                <w:u w:val="none"/>
              </w:rPr>
            </w:pPr>
          </w:p>
        </w:tc>
        <w:tc>
          <w:tcPr>
            <w:tcW w:w="1755" w:type="dxa"/>
            <w:vAlign w:val="center"/>
          </w:tcPr>
          <w:p w14:paraId="7A81FDFD">
            <w:pPr>
              <w:pStyle w:val="129"/>
              <w:adjustRightInd/>
              <w:snapToGrid/>
              <w:spacing w:before="0" w:after="0"/>
              <w:rPr>
                <w:szCs w:val="21"/>
                <w:u w:val="none"/>
              </w:rPr>
            </w:pPr>
            <w:r>
              <w:rPr>
                <w:rFonts w:hint="eastAsia"/>
                <w:szCs w:val="21"/>
                <w:u w:val="none"/>
              </w:rPr>
              <w:t>厂区空地</w:t>
            </w:r>
          </w:p>
        </w:tc>
        <w:tc>
          <w:tcPr>
            <w:tcW w:w="1023" w:type="dxa"/>
            <w:vAlign w:val="center"/>
          </w:tcPr>
          <w:p w14:paraId="3DA18E2C">
            <w:pPr>
              <w:pStyle w:val="129"/>
              <w:adjustRightInd/>
              <w:snapToGrid/>
              <w:spacing w:before="0" w:after="0"/>
              <w:rPr>
                <w:szCs w:val="21"/>
                <w:u w:val="none"/>
              </w:rPr>
            </w:pPr>
            <w:r>
              <w:rPr>
                <w:rFonts w:hint="eastAsia"/>
                <w:szCs w:val="21"/>
                <w:u w:val="none"/>
              </w:rPr>
              <w:t>场地雨污水</w:t>
            </w:r>
          </w:p>
        </w:tc>
        <w:tc>
          <w:tcPr>
            <w:tcW w:w="3555" w:type="dxa"/>
            <w:vAlign w:val="center"/>
          </w:tcPr>
          <w:p w14:paraId="615F032D">
            <w:pPr>
              <w:pStyle w:val="129"/>
              <w:adjustRightInd/>
              <w:snapToGrid/>
              <w:spacing w:before="0" w:after="0"/>
              <w:jc w:val="left"/>
              <w:rPr>
                <w:szCs w:val="21"/>
                <w:u w:val="none"/>
              </w:rPr>
            </w:pPr>
            <w:r>
              <w:rPr>
                <w:rFonts w:hint="eastAsia"/>
                <w:szCs w:val="21"/>
                <w:u w:val="none"/>
              </w:rPr>
              <w:t>建设</w:t>
            </w:r>
            <w:r>
              <w:rPr>
                <w:szCs w:val="21"/>
                <w:u w:val="none"/>
              </w:rPr>
              <w:t>1个容积为</w:t>
            </w:r>
            <w:r>
              <w:rPr>
                <w:rFonts w:hint="eastAsia"/>
                <w:szCs w:val="21"/>
                <w:u w:val="none"/>
              </w:rPr>
              <w:t>144</w:t>
            </w:r>
            <w:r>
              <w:rPr>
                <w:szCs w:val="21"/>
                <w:u w:val="none"/>
              </w:rPr>
              <w:t>m</w:t>
            </w:r>
            <w:r>
              <w:rPr>
                <w:szCs w:val="21"/>
                <w:u w:val="none"/>
                <w:vertAlign w:val="superscript"/>
              </w:rPr>
              <w:t>3</w:t>
            </w:r>
            <w:r>
              <w:rPr>
                <w:szCs w:val="21"/>
                <w:u w:val="none"/>
              </w:rPr>
              <w:t>的</w:t>
            </w:r>
            <w:r>
              <w:rPr>
                <w:rFonts w:hint="eastAsia"/>
                <w:szCs w:val="21"/>
                <w:u w:val="none"/>
              </w:rPr>
              <w:t>场地雨污水收集池</w:t>
            </w:r>
            <w:r>
              <w:rPr>
                <w:szCs w:val="21"/>
                <w:u w:val="none"/>
              </w:rPr>
              <w:t>，</w:t>
            </w:r>
            <w:r>
              <w:rPr>
                <w:rFonts w:hint="eastAsia"/>
                <w:szCs w:val="21"/>
                <w:u w:val="none"/>
              </w:rPr>
              <w:t>场地雨污水排入场地雨污水收集池</w:t>
            </w:r>
            <w:r>
              <w:rPr>
                <w:szCs w:val="21"/>
                <w:u w:val="none"/>
              </w:rPr>
              <w:t>处理，经</w:t>
            </w:r>
            <w:r>
              <w:rPr>
                <w:rFonts w:hint="eastAsia"/>
                <w:szCs w:val="21"/>
                <w:u w:val="none"/>
              </w:rPr>
              <w:t>场地雨污水收集池沉淀</w:t>
            </w:r>
            <w:r>
              <w:rPr>
                <w:szCs w:val="21"/>
                <w:u w:val="none"/>
              </w:rPr>
              <w:t>处理后</w:t>
            </w:r>
            <w:r>
              <w:rPr>
                <w:rFonts w:hint="eastAsia"/>
                <w:szCs w:val="21"/>
                <w:u w:val="none"/>
              </w:rPr>
              <w:t>回用于大棚喷雾降尘、车辆清洗</w:t>
            </w:r>
          </w:p>
        </w:tc>
        <w:tc>
          <w:tcPr>
            <w:tcW w:w="1684" w:type="dxa"/>
            <w:vAlign w:val="center"/>
          </w:tcPr>
          <w:p w14:paraId="0136ACFD">
            <w:pPr>
              <w:pStyle w:val="129"/>
              <w:adjustRightInd/>
              <w:snapToGrid/>
              <w:spacing w:before="0" w:after="0"/>
              <w:rPr>
                <w:szCs w:val="21"/>
                <w:u w:val="none"/>
              </w:rPr>
            </w:pPr>
            <w:r>
              <w:rPr>
                <w:rFonts w:hint="eastAsia"/>
                <w:szCs w:val="21"/>
                <w:u w:val="none"/>
              </w:rPr>
              <w:t>不外排</w:t>
            </w:r>
          </w:p>
        </w:tc>
      </w:tr>
      <w:tr w14:paraId="7EEE3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6C736FD5">
            <w:pPr>
              <w:jc w:val="center"/>
              <w:rPr>
                <w:szCs w:val="21"/>
                <w:u w:val="none"/>
              </w:rPr>
            </w:pPr>
            <w:r>
              <w:rPr>
                <w:szCs w:val="21"/>
                <w:u w:val="none"/>
              </w:rPr>
              <w:t>声环境</w:t>
            </w:r>
          </w:p>
        </w:tc>
        <w:tc>
          <w:tcPr>
            <w:tcW w:w="1755" w:type="dxa"/>
            <w:vAlign w:val="center"/>
          </w:tcPr>
          <w:p w14:paraId="770208C4">
            <w:pPr>
              <w:pStyle w:val="144"/>
              <w:rPr>
                <w:u w:val="none"/>
              </w:rPr>
            </w:pPr>
            <w:r>
              <w:rPr>
                <w:rFonts w:hint="eastAsia"/>
                <w:u w:val="none"/>
              </w:rPr>
              <w:t>生产设备</w:t>
            </w:r>
          </w:p>
        </w:tc>
        <w:tc>
          <w:tcPr>
            <w:tcW w:w="1023" w:type="dxa"/>
            <w:vAlign w:val="center"/>
          </w:tcPr>
          <w:p w14:paraId="43945BF1">
            <w:pPr>
              <w:pStyle w:val="144"/>
              <w:rPr>
                <w:u w:val="none"/>
              </w:rPr>
            </w:pPr>
            <w:r>
              <w:rPr>
                <w:rFonts w:hint="eastAsia"/>
                <w:u w:val="none"/>
              </w:rPr>
              <w:t>等效连续A声级</w:t>
            </w:r>
          </w:p>
        </w:tc>
        <w:tc>
          <w:tcPr>
            <w:tcW w:w="3555" w:type="dxa"/>
            <w:vAlign w:val="center"/>
          </w:tcPr>
          <w:p w14:paraId="68E20BAC">
            <w:pPr>
              <w:pStyle w:val="129"/>
              <w:adjustRightInd/>
              <w:snapToGrid/>
              <w:spacing w:before="0" w:after="0"/>
              <w:rPr>
                <w:szCs w:val="21"/>
                <w:u w:val="none"/>
              </w:rPr>
            </w:pPr>
            <w:r>
              <w:rPr>
                <w:rFonts w:hint="eastAsia"/>
                <w:szCs w:val="21"/>
                <w:u w:val="none"/>
              </w:rPr>
              <w:t>厂房和围墙</w:t>
            </w:r>
            <w:r>
              <w:rPr>
                <w:szCs w:val="21"/>
                <w:u w:val="none"/>
              </w:rPr>
              <w:t>隔声</w:t>
            </w:r>
          </w:p>
        </w:tc>
        <w:tc>
          <w:tcPr>
            <w:tcW w:w="1684" w:type="dxa"/>
            <w:vAlign w:val="center"/>
          </w:tcPr>
          <w:p w14:paraId="656371C3">
            <w:pPr>
              <w:pStyle w:val="129"/>
              <w:wordWrap w:val="0"/>
              <w:adjustRightInd/>
              <w:snapToGrid/>
              <w:spacing w:before="0" w:after="0"/>
              <w:rPr>
                <w:szCs w:val="21"/>
                <w:u w:val="none"/>
              </w:rPr>
            </w:pPr>
            <w:r>
              <w:rPr>
                <w:szCs w:val="21"/>
                <w:u w:val="none"/>
              </w:rPr>
              <w:t>《工业企业厂界环境噪声排放标准》（GB12348-2008）</w:t>
            </w:r>
            <w:r>
              <w:rPr>
                <w:rFonts w:hint="eastAsia"/>
                <w:szCs w:val="21"/>
                <w:u w:val="none"/>
              </w:rPr>
              <w:t>中3类标准</w:t>
            </w:r>
          </w:p>
        </w:tc>
      </w:tr>
      <w:tr w14:paraId="6AB2C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7F8F3905">
            <w:pPr>
              <w:jc w:val="center"/>
              <w:rPr>
                <w:szCs w:val="21"/>
                <w:u w:val="none"/>
              </w:rPr>
            </w:pPr>
            <w:r>
              <w:rPr>
                <w:szCs w:val="21"/>
                <w:u w:val="none"/>
              </w:rPr>
              <w:t>电磁辐射</w:t>
            </w:r>
          </w:p>
        </w:tc>
        <w:tc>
          <w:tcPr>
            <w:tcW w:w="1755" w:type="dxa"/>
            <w:vAlign w:val="center"/>
          </w:tcPr>
          <w:p w14:paraId="5F409805">
            <w:pPr>
              <w:pStyle w:val="129"/>
              <w:adjustRightInd/>
              <w:snapToGrid/>
              <w:spacing w:before="0" w:after="0"/>
              <w:rPr>
                <w:szCs w:val="21"/>
                <w:u w:val="none"/>
              </w:rPr>
            </w:pPr>
            <w:r>
              <w:rPr>
                <w:szCs w:val="21"/>
                <w:u w:val="none"/>
              </w:rPr>
              <w:t>/</w:t>
            </w:r>
          </w:p>
        </w:tc>
        <w:tc>
          <w:tcPr>
            <w:tcW w:w="1023" w:type="dxa"/>
            <w:vAlign w:val="center"/>
          </w:tcPr>
          <w:p w14:paraId="5B8DD85C">
            <w:pPr>
              <w:pStyle w:val="129"/>
              <w:adjustRightInd/>
              <w:snapToGrid/>
              <w:spacing w:before="0" w:after="0"/>
              <w:rPr>
                <w:szCs w:val="21"/>
                <w:u w:val="none"/>
              </w:rPr>
            </w:pPr>
            <w:r>
              <w:rPr>
                <w:szCs w:val="21"/>
                <w:u w:val="none"/>
              </w:rPr>
              <w:t>/</w:t>
            </w:r>
          </w:p>
        </w:tc>
        <w:tc>
          <w:tcPr>
            <w:tcW w:w="3555" w:type="dxa"/>
            <w:vAlign w:val="center"/>
          </w:tcPr>
          <w:p w14:paraId="7733A4EE">
            <w:pPr>
              <w:pStyle w:val="129"/>
              <w:adjustRightInd/>
              <w:snapToGrid/>
              <w:spacing w:before="0" w:after="0"/>
              <w:rPr>
                <w:szCs w:val="21"/>
                <w:u w:val="none"/>
              </w:rPr>
            </w:pPr>
            <w:r>
              <w:rPr>
                <w:szCs w:val="21"/>
                <w:u w:val="none"/>
              </w:rPr>
              <w:t>/</w:t>
            </w:r>
          </w:p>
        </w:tc>
        <w:tc>
          <w:tcPr>
            <w:tcW w:w="1684" w:type="dxa"/>
            <w:vAlign w:val="center"/>
          </w:tcPr>
          <w:p w14:paraId="57B9A24D">
            <w:pPr>
              <w:pStyle w:val="129"/>
              <w:adjustRightInd/>
              <w:snapToGrid/>
              <w:spacing w:before="0" w:after="0"/>
              <w:rPr>
                <w:szCs w:val="21"/>
                <w:u w:val="none"/>
              </w:rPr>
            </w:pPr>
            <w:r>
              <w:rPr>
                <w:szCs w:val="21"/>
                <w:u w:val="none"/>
              </w:rPr>
              <w:t>/</w:t>
            </w:r>
          </w:p>
        </w:tc>
      </w:tr>
      <w:tr w14:paraId="7766B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3EE39FD0">
            <w:pPr>
              <w:jc w:val="center"/>
              <w:rPr>
                <w:sz w:val="24"/>
                <w:u w:val="none"/>
              </w:rPr>
            </w:pPr>
            <w:r>
              <w:rPr>
                <w:sz w:val="24"/>
                <w:u w:val="none"/>
              </w:rPr>
              <w:t>固体废物</w:t>
            </w:r>
          </w:p>
        </w:tc>
        <w:tc>
          <w:tcPr>
            <w:tcW w:w="8017" w:type="dxa"/>
            <w:gridSpan w:val="4"/>
            <w:vAlign w:val="center"/>
          </w:tcPr>
          <w:p w14:paraId="3BDB680D">
            <w:pPr>
              <w:spacing w:line="360" w:lineRule="auto"/>
              <w:ind w:firstLine="480" w:firstLineChars="200"/>
              <w:rPr>
                <w:sz w:val="24"/>
                <w:u w:val="none"/>
              </w:rPr>
            </w:pPr>
            <w:r>
              <w:rPr>
                <w:rFonts w:hint="eastAsia"/>
                <w:sz w:val="24"/>
                <w:u w:val="none"/>
              </w:rPr>
              <w:t>设置加盖生活垃圾收集桶1只，生活垃圾统一收集于垃圾桶内，由环卫部门定期清运处理；场地雨污水收集池沉渣和车辆清洗废水沉淀池沉渣定期清掏后掺入磷矿中转运；</w:t>
            </w:r>
            <w:r>
              <w:rPr>
                <w:sz w:val="24"/>
                <w:u w:val="none"/>
              </w:rPr>
              <w:t>化粪池污泥</w:t>
            </w:r>
            <w:r>
              <w:rPr>
                <w:rFonts w:hint="eastAsia"/>
                <w:sz w:val="24"/>
                <w:u w:val="none"/>
              </w:rPr>
              <w:t>及一体化污水处理站污泥</w:t>
            </w:r>
            <w:r>
              <w:rPr>
                <w:sz w:val="24"/>
                <w:u w:val="none"/>
              </w:rPr>
              <w:t>委托</w:t>
            </w:r>
            <w:r>
              <w:rPr>
                <w:rFonts w:hint="eastAsia"/>
                <w:sz w:val="24"/>
                <w:u w:val="none"/>
              </w:rPr>
              <w:t>当地村民定期清掏，全部作为农肥使用</w:t>
            </w:r>
            <w:r>
              <w:rPr>
                <w:sz w:val="24"/>
                <w:u w:val="none"/>
              </w:rPr>
              <w:t>。</w:t>
            </w:r>
          </w:p>
        </w:tc>
      </w:tr>
      <w:tr w14:paraId="491043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37A5500F">
            <w:pPr>
              <w:jc w:val="center"/>
              <w:rPr>
                <w:sz w:val="24"/>
                <w:u w:val="none"/>
              </w:rPr>
            </w:pPr>
            <w:r>
              <w:rPr>
                <w:sz w:val="24"/>
                <w:u w:val="none"/>
              </w:rPr>
              <w:t>土壤及地下水污染防治措施</w:t>
            </w:r>
          </w:p>
        </w:tc>
        <w:tc>
          <w:tcPr>
            <w:tcW w:w="8017" w:type="dxa"/>
            <w:gridSpan w:val="4"/>
            <w:vAlign w:val="center"/>
          </w:tcPr>
          <w:p w14:paraId="02D9B5E2">
            <w:pPr>
              <w:spacing w:line="360" w:lineRule="auto"/>
              <w:ind w:firstLine="480" w:firstLineChars="200"/>
              <w:rPr>
                <w:sz w:val="24"/>
                <w:u w:val="none"/>
              </w:rPr>
            </w:pPr>
            <w:r>
              <w:rPr>
                <w:rFonts w:hint="eastAsia"/>
                <w:sz w:val="24"/>
                <w:u w:val="none"/>
              </w:rPr>
              <w:t>分区防渗：仓储大棚、化粪池、场地雨污水收集池、一体化污水处理站、清水池和车辆清洗废水沉淀池进行一般防渗；办公生活区及其他区域进行简单防渗，进行一般地面硬化。</w:t>
            </w:r>
          </w:p>
        </w:tc>
      </w:tr>
      <w:tr w14:paraId="7A248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7559F49E">
            <w:pPr>
              <w:jc w:val="center"/>
              <w:rPr>
                <w:sz w:val="24"/>
                <w:u w:val="none"/>
              </w:rPr>
            </w:pPr>
            <w:r>
              <w:rPr>
                <w:sz w:val="24"/>
                <w:u w:val="none"/>
              </w:rPr>
              <w:t>生态保护</w:t>
            </w:r>
          </w:p>
          <w:p w14:paraId="73AF4719">
            <w:pPr>
              <w:jc w:val="center"/>
              <w:rPr>
                <w:sz w:val="24"/>
                <w:u w:val="none"/>
              </w:rPr>
            </w:pPr>
            <w:r>
              <w:rPr>
                <w:sz w:val="24"/>
                <w:u w:val="none"/>
              </w:rPr>
              <w:t>措施</w:t>
            </w:r>
          </w:p>
        </w:tc>
        <w:tc>
          <w:tcPr>
            <w:tcW w:w="8017" w:type="dxa"/>
            <w:gridSpan w:val="4"/>
            <w:vAlign w:val="center"/>
          </w:tcPr>
          <w:p w14:paraId="5B09C51F">
            <w:pPr>
              <w:pStyle w:val="129"/>
              <w:adjustRightInd/>
              <w:snapToGrid/>
              <w:spacing w:before="0" w:after="0"/>
              <w:rPr>
                <w:sz w:val="24"/>
                <w:szCs w:val="24"/>
                <w:u w:val="none"/>
              </w:rPr>
            </w:pPr>
            <w:r>
              <w:rPr>
                <w:rFonts w:hint="eastAsia"/>
                <w:sz w:val="24"/>
                <w:szCs w:val="24"/>
                <w:u w:val="none"/>
              </w:rPr>
              <w:t>无</w:t>
            </w:r>
          </w:p>
        </w:tc>
      </w:tr>
      <w:tr w14:paraId="177B7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18" w:type="dxa"/>
            <w:vAlign w:val="center"/>
          </w:tcPr>
          <w:p w14:paraId="4FF223AE">
            <w:pPr>
              <w:jc w:val="center"/>
              <w:rPr>
                <w:spacing w:val="-8"/>
                <w:sz w:val="24"/>
                <w:u w:val="none"/>
              </w:rPr>
            </w:pPr>
            <w:r>
              <w:rPr>
                <w:spacing w:val="-8"/>
                <w:sz w:val="24"/>
                <w:u w:val="none"/>
              </w:rPr>
              <w:t>环境风险</w:t>
            </w:r>
          </w:p>
          <w:p w14:paraId="4AE12FBB">
            <w:pPr>
              <w:jc w:val="center"/>
              <w:rPr>
                <w:spacing w:val="-8"/>
                <w:sz w:val="24"/>
                <w:u w:val="none"/>
              </w:rPr>
            </w:pPr>
            <w:r>
              <w:rPr>
                <w:spacing w:val="-8"/>
                <w:sz w:val="24"/>
                <w:u w:val="none"/>
              </w:rPr>
              <w:t>防范措施</w:t>
            </w:r>
          </w:p>
        </w:tc>
        <w:tc>
          <w:tcPr>
            <w:tcW w:w="8017" w:type="dxa"/>
            <w:gridSpan w:val="4"/>
            <w:vAlign w:val="center"/>
          </w:tcPr>
          <w:p w14:paraId="36D9E0AE">
            <w:pPr>
              <w:pStyle w:val="129"/>
              <w:adjustRightInd/>
              <w:snapToGrid/>
              <w:spacing w:before="0" w:after="0"/>
              <w:rPr>
                <w:sz w:val="24"/>
                <w:szCs w:val="24"/>
                <w:u w:val="none"/>
              </w:rPr>
            </w:pPr>
            <w:r>
              <w:rPr>
                <w:rFonts w:hint="eastAsia"/>
                <w:sz w:val="24"/>
                <w:szCs w:val="24"/>
                <w:u w:val="none"/>
              </w:rPr>
              <w:t>无</w:t>
            </w:r>
          </w:p>
        </w:tc>
      </w:tr>
      <w:tr w14:paraId="31509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1518" w:type="dxa"/>
            <w:vAlign w:val="center"/>
          </w:tcPr>
          <w:p w14:paraId="03FBB1BC">
            <w:pPr>
              <w:rPr>
                <w:spacing w:val="-8"/>
                <w:sz w:val="24"/>
                <w:u w:val="none"/>
              </w:rPr>
            </w:pPr>
            <w:r>
              <w:rPr>
                <w:spacing w:val="-8"/>
                <w:sz w:val="24"/>
                <w:u w:val="none"/>
              </w:rPr>
              <w:t>其他环境管理要求</w:t>
            </w:r>
          </w:p>
        </w:tc>
        <w:tc>
          <w:tcPr>
            <w:tcW w:w="8017" w:type="dxa"/>
            <w:gridSpan w:val="4"/>
            <w:vAlign w:val="center"/>
          </w:tcPr>
          <w:p w14:paraId="5EBED7AF">
            <w:pPr>
              <w:pStyle w:val="15"/>
              <w:numPr>
                <w:ilvl w:val="0"/>
                <w:numId w:val="11"/>
              </w:numPr>
              <w:wordWrap w:val="0"/>
              <w:snapToGrid/>
              <w:spacing w:after="0" w:line="360" w:lineRule="auto"/>
              <w:rPr>
                <w:sz w:val="24"/>
                <w:szCs w:val="24"/>
                <w:u w:val="none"/>
              </w:rPr>
            </w:pPr>
            <w:r>
              <w:rPr>
                <w:sz w:val="24"/>
                <w:szCs w:val="24"/>
                <w:u w:val="none"/>
              </w:rPr>
              <w:t>项目在执行环境影响评价中的相关要求的同时，应做好排污许可制度的衔接工作，在发生实际排污行为之前，按照国家环境保护相关法律法规要求</w:t>
            </w:r>
            <w:r>
              <w:rPr>
                <w:rFonts w:hint="eastAsia"/>
                <w:sz w:val="24"/>
                <w:szCs w:val="24"/>
                <w:u w:val="none"/>
              </w:rPr>
              <w:t>填报排污登记表</w:t>
            </w:r>
            <w:r>
              <w:rPr>
                <w:sz w:val="24"/>
                <w:szCs w:val="24"/>
                <w:u w:val="none"/>
              </w:rPr>
              <w:t>。</w:t>
            </w:r>
          </w:p>
          <w:p w14:paraId="42D23549">
            <w:pPr>
              <w:pStyle w:val="15"/>
              <w:numPr>
                <w:ilvl w:val="0"/>
                <w:numId w:val="11"/>
              </w:numPr>
              <w:wordWrap w:val="0"/>
              <w:snapToGrid/>
              <w:spacing w:after="0" w:line="360" w:lineRule="auto"/>
              <w:rPr>
                <w:sz w:val="24"/>
                <w:szCs w:val="24"/>
                <w:u w:val="none"/>
              </w:rPr>
            </w:pPr>
            <w:r>
              <w:rPr>
                <w:sz w:val="24"/>
                <w:szCs w:val="24"/>
                <w:u w:val="none"/>
              </w:rPr>
              <w:t>本工程所有环保设施均应与主体工程同时设计、同时施工、同时投产使用，工程完工后建设单位自行</w:t>
            </w:r>
            <w:r>
              <w:rPr>
                <w:rFonts w:hint="eastAsia"/>
                <w:sz w:val="24"/>
                <w:szCs w:val="24"/>
                <w:u w:val="none"/>
              </w:rPr>
              <w:t>组织</w:t>
            </w:r>
            <w:r>
              <w:rPr>
                <w:sz w:val="24"/>
                <w:szCs w:val="24"/>
                <w:u w:val="none"/>
              </w:rPr>
              <w:t>进行竣工验收，竣工验收通过后，建设单位方可正式投产运行。</w:t>
            </w:r>
          </w:p>
          <w:p w14:paraId="1D89373B">
            <w:pPr>
              <w:pStyle w:val="15"/>
              <w:numPr>
                <w:ilvl w:val="0"/>
                <w:numId w:val="11"/>
              </w:numPr>
              <w:wordWrap w:val="0"/>
              <w:snapToGrid/>
              <w:spacing w:after="0" w:line="360" w:lineRule="auto"/>
              <w:rPr>
                <w:sz w:val="24"/>
                <w:szCs w:val="24"/>
                <w:u w:val="none"/>
              </w:rPr>
            </w:pPr>
            <w:r>
              <w:rPr>
                <w:sz w:val="24"/>
                <w:szCs w:val="24"/>
                <w:u w:val="none"/>
              </w:rPr>
              <w:t>严格落实环境管理计划和制度</w:t>
            </w:r>
            <w:r>
              <w:rPr>
                <w:rFonts w:hint="eastAsia"/>
                <w:sz w:val="24"/>
                <w:szCs w:val="24"/>
                <w:u w:val="none"/>
              </w:rPr>
              <w:t>。</w:t>
            </w:r>
          </w:p>
          <w:p w14:paraId="1D26199A">
            <w:pPr>
              <w:pStyle w:val="15"/>
              <w:numPr>
                <w:ilvl w:val="0"/>
                <w:numId w:val="11"/>
              </w:numPr>
              <w:wordWrap w:val="0"/>
              <w:snapToGrid/>
              <w:spacing w:after="0" w:line="360" w:lineRule="auto"/>
              <w:rPr>
                <w:sz w:val="24"/>
                <w:szCs w:val="24"/>
                <w:u w:val="none"/>
              </w:rPr>
            </w:pPr>
            <w:r>
              <w:rPr>
                <w:sz w:val="24"/>
                <w:szCs w:val="24"/>
                <w:u w:val="none"/>
              </w:rPr>
              <w:t>加强设备巡检，消除设备隐患，</w:t>
            </w:r>
            <w:r>
              <w:rPr>
                <w:sz w:val="24"/>
                <w:szCs w:val="24"/>
                <w:u w:val="thick" w:color="FFB03A"/>
                <w:shd w:val="clear" w:fill="FFEFD7"/>
              </w:rPr>
              <w:t>保证</w:t>
            </w:r>
            <w:r>
              <w:rPr>
                <w:sz w:val="24"/>
                <w:szCs w:val="24"/>
                <w:u w:val="none"/>
              </w:rPr>
              <w:t>正常运行。</w:t>
            </w:r>
          </w:p>
          <w:p w14:paraId="5BA5874F">
            <w:pPr>
              <w:pStyle w:val="15"/>
              <w:numPr>
                <w:ilvl w:val="0"/>
                <w:numId w:val="11"/>
              </w:numPr>
              <w:wordWrap w:val="0"/>
              <w:snapToGrid/>
              <w:spacing w:after="0" w:line="360" w:lineRule="auto"/>
              <w:rPr>
                <w:sz w:val="24"/>
                <w:szCs w:val="24"/>
                <w:u w:val="none"/>
              </w:rPr>
            </w:pPr>
            <w:r>
              <w:rPr>
                <w:sz w:val="24"/>
                <w:szCs w:val="24"/>
                <w:u w:val="none"/>
              </w:rPr>
              <w:t>加强环境管理，</w:t>
            </w:r>
            <w:r>
              <w:rPr>
                <w:rFonts w:hint="eastAsia"/>
                <w:sz w:val="24"/>
                <w:szCs w:val="24"/>
                <w:u w:val="none"/>
              </w:rPr>
              <w:t>制</w:t>
            </w:r>
            <w:r>
              <w:rPr>
                <w:sz w:val="24"/>
                <w:szCs w:val="24"/>
                <w:u w:val="none"/>
              </w:rPr>
              <w:t>定环保相关管理制度，并加强员工培训教育。</w:t>
            </w:r>
          </w:p>
          <w:p w14:paraId="10297812">
            <w:pPr>
              <w:pStyle w:val="15"/>
              <w:numPr>
                <w:ilvl w:val="0"/>
                <w:numId w:val="11"/>
              </w:numPr>
              <w:wordWrap w:val="0"/>
              <w:snapToGrid/>
              <w:spacing w:after="0" w:line="360" w:lineRule="auto"/>
              <w:rPr>
                <w:sz w:val="24"/>
                <w:szCs w:val="24"/>
                <w:u w:val="none"/>
              </w:rPr>
            </w:pPr>
            <w:r>
              <w:rPr>
                <w:sz w:val="24"/>
                <w:szCs w:val="24"/>
                <w:u w:val="none"/>
              </w:rPr>
              <w:t>落实环境监测计划。</w:t>
            </w:r>
          </w:p>
          <w:p w14:paraId="3628DCEC">
            <w:pPr>
              <w:pStyle w:val="15"/>
              <w:numPr>
                <w:ilvl w:val="0"/>
                <w:numId w:val="11"/>
              </w:numPr>
              <w:wordWrap w:val="0"/>
              <w:snapToGrid/>
              <w:spacing w:after="0" w:line="360" w:lineRule="auto"/>
              <w:rPr>
                <w:snapToGrid w:val="0"/>
                <w:sz w:val="24"/>
                <w:szCs w:val="24"/>
                <w:u w:val="none"/>
              </w:rPr>
            </w:pPr>
            <w:r>
              <w:rPr>
                <w:sz w:val="24"/>
                <w:szCs w:val="24"/>
                <w:u w:val="none"/>
              </w:rPr>
              <w:t>按要求进行环境信息公开。</w:t>
            </w:r>
          </w:p>
          <w:p w14:paraId="2FAAC18F">
            <w:pPr>
              <w:pStyle w:val="15"/>
              <w:numPr>
                <w:ilvl w:val="0"/>
                <w:numId w:val="11"/>
              </w:numPr>
              <w:wordWrap w:val="0"/>
              <w:snapToGrid/>
              <w:spacing w:after="0" w:line="360" w:lineRule="auto"/>
              <w:rPr>
                <w:sz w:val="24"/>
                <w:szCs w:val="24"/>
                <w:u w:val="none"/>
              </w:rPr>
            </w:pPr>
            <w:r>
              <w:rPr>
                <w:rFonts w:hint="eastAsia"/>
                <w:sz w:val="24"/>
                <w:szCs w:val="24"/>
                <w:u w:val="none"/>
              </w:rPr>
              <w:t>按要求张贴标识标牌。</w:t>
            </w:r>
          </w:p>
          <w:p w14:paraId="0CBD35F5">
            <w:pPr>
              <w:pStyle w:val="15"/>
              <w:numPr>
                <w:ilvl w:val="0"/>
                <w:numId w:val="11"/>
              </w:numPr>
              <w:wordWrap w:val="0"/>
              <w:snapToGrid/>
              <w:spacing w:after="0" w:line="360" w:lineRule="auto"/>
              <w:rPr>
                <w:sz w:val="24"/>
                <w:szCs w:val="24"/>
                <w:u w:val="none"/>
              </w:rPr>
            </w:pPr>
            <w:r>
              <w:rPr>
                <w:sz w:val="24"/>
                <w:szCs w:val="24"/>
                <w:u w:val="none"/>
              </w:rPr>
              <w:t>建立完整的环境管理台账</w:t>
            </w:r>
            <w:r>
              <w:rPr>
                <w:rFonts w:hint="eastAsia"/>
                <w:sz w:val="24"/>
                <w:szCs w:val="24"/>
                <w:u w:val="none"/>
              </w:rPr>
              <w:t>。</w:t>
            </w:r>
          </w:p>
          <w:p w14:paraId="2ED4F6C0">
            <w:pPr>
              <w:rPr>
                <w:sz w:val="24"/>
                <w:u w:val="none"/>
              </w:rPr>
            </w:pPr>
          </w:p>
          <w:p w14:paraId="0C9B13F4">
            <w:pPr>
              <w:pStyle w:val="49"/>
              <w:adjustRightInd/>
              <w:snapToGrid/>
              <w:spacing w:line="360" w:lineRule="auto"/>
              <w:ind w:firstLine="480" w:firstLineChars="200"/>
              <w:jc w:val="both"/>
              <w:rPr>
                <w:u w:val="none"/>
              </w:rPr>
            </w:pPr>
          </w:p>
          <w:p w14:paraId="0761E2F1">
            <w:pPr>
              <w:pStyle w:val="49"/>
              <w:adjustRightInd/>
              <w:snapToGrid/>
              <w:spacing w:line="360" w:lineRule="auto"/>
              <w:ind w:firstLine="480" w:firstLineChars="200"/>
              <w:jc w:val="both"/>
              <w:rPr>
                <w:u w:val="none"/>
              </w:rPr>
            </w:pPr>
          </w:p>
          <w:p w14:paraId="5ABA7070">
            <w:pPr>
              <w:pStyle w:val="49"/>
              <w:adjustRightInd/>
              <w:snapToGrid/>
              <w:spacing w:line="360" w:lineRule="auto"/>
              <w:ind w:firstLine="480" w:firstLineChars="200"/>
              <w:jc w:val="both"/>
              <w:rPr>
                <w:u w:val="none"/>
              </w:rPr>
            </w:pPr>
          </w:p>
          <w:p w14:paraId="6ED2A447">
            <w:pPr>
              <w:pStyle w:val="49"/>
              <w:adjustRightInd/>
              <w:snapToGrid/>
              <w:spacing w:line="360" w:lineRule="auto"/>
              <w:ind w:firstLine="480" w:firstLineChars="200"/>
              <w:jc w:val="both"/>
              <w:rPr>
                <w:u w:val="none"/>
              </w:rPr>
            </w:pPr>
          </w:p>
          <w:p w14:paraId="6716B25E">
            <w:pPr>
              <w:pStyle w:val="49"/>
              <w:adjustRightInd/>
              <w:snapToGrid/>
              <w:spacing w:line="360" w:lineRule="auto"/>
              <w:ind w:firstLine="0"/>
              <w:jc w:val="both"/>
              <w:rPr>
                <w:u w:val="none"/>
              </w:rPr>
            </w:pPr>
          </w:p>
          <w:p w14:paraId="3428E27C">
            <w:pPr>
              <w:pStyle w:val="49"/>
              <w:adjustRightInd/>
              <w:snapToGrid/>
              <w:spacing w:line="360" w:lineRule="auto"/>
              <w:ind w:firstLine="480" w:firstLineChars="200"/>
              <w:jc w:val="both"/>
              <w:rPr>
                <w:u w:val="none"/>
              </w:rPr>
            </w:pPr>
          </w:p>
          <w:p w14:paraId="554E56F7">
            <w:pPr>
              <w:pStyle w:val="49"/>
              <w:adjustRightInd/>
              <w:snapToGrid/>
              <w:spacing w:line="360" w:lineRule="auto"/>
              <w:ind w:firstLine="0"/>
              <w:jc w:val="both"/>
              <w:rPr>
                <w:u w:val="none"/>
              </w:rPr>
            </w:pPr>
          </w:p>
          <w:p w14:paraId="66CD1A39">
            <w:pPr>
              <w:pStyle w:val="49"/>
              <w:adjustRightInd/>
              <w:snapToGrid/>
              <w:spacing w:line="360" w:lineRule="auto"/>
              <w:ind w:firstLine="480" w:firstLineChars="200"/>
              <w:jc w:val="both"/>
              <w:rPr>
                <w:u w:val="none"/>
              </w:rPr>
            </w:pPr>
          </w:p>
          <w:p w14:paraId="66FE0316">
            <w:pPr>
              <w:pStyle w:val="49"/>
              <w:adjustRightInd/>
              <w:snapToGrid/>
              <w:spacing w:line="360" w:lineRule="auto"/>
              <w:ind w:firstLine="480" w:firstLineChars="200"/>
              <w:jc w:val="both"/>
              <w:rPr>
                <w:u w:val="none"/>
              </w:rPr>
            </w:pPr>
          </w:p>
          <w:p w14:paraId="629CFA36">
            <w:pPr>
              <w:pStyle w:val="49"/>
              <w:adjustRightInd/>
              <w:snapToGrid/>
              <w:spacing w:line="360" w:lineRule="auto"/>
              <w:ind w:firstLine="480" w:firstLineChars="200"/>
              <w:jc w:val="both"/>
              <w:rPr>
                <w:u w:val="none"/>
              </w:rPr>
            </w:pPr>
          </w:p>
          <w:p w14:paraId="5214EC7E">
            <w:pPr>
              <w:pStyle w:val="49"/>
              <w:adjustRightInd/>
              <w:snapToGrid/>
              <w:spacing w:line="360" w:lineRule="auto"/>
              <w:ind w:firstLine="480" w:firstLineChars="200"/>
              <w:jc w:val="both"/>
              <w:rPr>
                <w:u w:val="none"/>
              </w:rPr>
            </w:pPr>
          </w:p>
          <w:p w14:paraId="513FA152">
            <w:pPr>
              <w:pStyle w:val="49"/>
              <w:adjustRightInd/>
              <w:snapToGrid/>
              <w:spacing w:line="360" w:lineRule="auto"/>
              <w:ind w:firstLine="480" w:firstLineChars="200"/>
              <w:jc w:val="both"/>
              <w:rPr>
                <w:u w:val="none"/>
              </w:rPr>
            </w:pPr>
          </w:p>
          <w:p w14:paraId="4F6B6AB8">
            <w:pPr>
              <w:pStyle w:val="129"/>
              <w:adjustRightInd/>
              <w:snapToGrid/>
              <w:spacing w:before="0" w:after="0"/>
              <w:jc w:val="left"/>
              <w:rPr>
                <w:sz w:val="24"/>
                <w:szCs w:val="24"/>
                <w:u w:val="none"/>
              </w:rPr>
            </w:pPr>
          </w:p>
        </w:tc>
      </w:tr>
    </w:tbl>
    <w:p w14:paraId="2AC65261">
      <w:pPr>
        <w:pStyle w:val="32"/>
        <w:jc w:val="center"/>
        <w:outlineLvl w:val="0"/>
        <w:rPr>
          <w:rFonts w:ascii="Times New Roman" w:hAnsi="Times New Roman"/>
          <w:snapToGrid w:val="0"/>
          <w:sz w:val="30"/>
          <w:szCs w:val="30"/>
          <w:u w:val="none"/>
        </w:rPr>
      </w:pPr>
      <w:r>
        <w:rPr>
          <w:rFonts w:ascii="Times New Roman" w:hAnsi="Times New Roman"/>
          <w:snapToGrid w:val="0"/>
          <w:u w:val="none"/>
        </w:rPr>
        <w:br w:type="page"/>
      </w:r>
      <w:bookmarkStart w:id="48" w:name="_Toc14364"/>
      <w:r>
        <w:rPr>
          <w:rFonts w:ascii="Times New Roman" w:hAnsi="Times New Roman"/>
          <w:b/>
          <w:bCs/>
          <w:snapToGrid w:val="0"/>
          <w:sz w:val="30"/>
          <w:szCs w:val="30"/>
          <w:u w:val="none"/>
        </w:rPr>
        <w:t>六、结论</w:t>
      </w:r>
      <w:bookmarkEnd w:id="48"/>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7A1A2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244BB159">
            <w:pPr>
              <w:pStyle w:val="49"/>
              <w:adjustRightInd/>
              <w:snapToGrid/>
              <w:spacing w:line="360" w:lineRule="auto"/>
              <w:ind w:firstLine="480" w:firstLineChars="200"/>
              <w:jc w:val="both"/>
              <w:rPr>
                <w:u w:val="none"/>
              </w:rPr>
            </w:pPr>
            <w:r>
              <w:rPr>
                <w:rFonts w:hint="eastAsia"/>
                <w:u w:val="none"/>
              </w:rPr>
              <w:t>本项目选址于曲靖市宣威市羊场产业园区水泥厂大桥头起，所在区域不涉及自然保护区、风景名胜区、水源保护区等环境敏感区，亦不涉及当地生态保护红线和基本农田，符合“三线一单”、曲靖市生态环境分区管控动态更新方案（2023年）</w:t>
            </w:r>
            <w:r>
              <w:rPr>
                <w:u w:val="none"/>
              </w:rPr>
              <w:t>的相关要求，选址合理</w:t>
            </w:r>
            <w:r>
              <w:rPr>
                <w:rFonts w:hint="eastAsia"/>
                <w:u w:val="none"/>
              </w:rPr>
              <w:t>。</w:t>
            </w:r>
          </w:p>
          <w:p w14:paraId="1CACEE17">
            <w:pPr>
              <w:pStyle w:val="49"/>
              <w:adjustRightInd/>
              <w:snapToGrid/>
              <w:spacing w:line="360" w:lineRule="auto"/>
              <w:ind w:firstLine="480" w:firstLineChars="200"/>
              <w:jc w:val="both"/>
              <w:rPr>
                <w:u w:val="none"/>
              </w:rPr>
            </w:pPr>
            <w:r>
              <w:rPr>
                <w:rFonts w:hint="eastAsia"/>
                <w:u w:val="none"/>
              </w:rPr>
              <w:t>根据环评分析，项目建设1座封闭式钢结构彩钢瓦大棚，顶部设置1套喷雾洒水降尘装置，在厂区出入口处建设洗车平台，配置1台高压水枪对运输车辆进行冲洗，出厂运输车辆须加盖篷布遮盖严实，密闭运输，项目运营期粉尘可得到有效控制，无组织粉尘排放量较小，对周边环境影响较小；</w:t>
            </w:r>
            <w:r>
              <w:rPr>
                <w:u w:val="none"/>
              </w:rPr>
              <w:t>项目各类机械设备为低噪声设备，经</w:t>
            </w:r>
            <w:r>
              <w:rPr>
                <w:rFonts w:hint="eastAsia"/>
                <w:u w:val="none"/>
              </w:rPr>
              <w:t>建筑</w:t>
            </w:r>
            <w:r>
              <w:rPr>
                <w:u w:val="none"/>
              </w:rPr>
              <w:t>隔声、</w:t>
            </w:r>
            <w:r>
              <w:rPr>
                <w:rFonts w:hint="eastAsia"/>
                <w:u w:val="none"/>
              </w:rPr>
              <w:t>距离衰减</w:t>
            </w:r>
            <w:r>
              <w:rPr>
                <w:u w:val="none"/>
              </w:rPr>
              <w:t>后，厂界噪声满足《工业企业厂界环境噪声排放标准》（GB</w:t>
            </w:r>
            <w:r>
              <w:rPr>
                <w:rFonts w:hint="eastAsia"/>
                <w:u w:val="none"/>
              </w:rPr>
              <w:t xml:space="preserve"> </w:t>
            </w:r>
            <w:r>
              <w:rPr>
                <w:u w:val="none"/>
              </w:rPr>
              <w:t>12348-2008）中</w:t>
            </w:r>
            <w:r>
              <w:rPr>
                <w:rFonts w:hint="eastAsia"/>
                <w:u w:val="none"/>
              </w:rPr>
              <w:t>3</w:t>
            </w:r>
            <w:r>
              <w:rPr>
                <w:u w:val="none"/>
              </w:rPr>
              <w:t>类标准值要求；项目运营期</w:t>
            </w:r>
            <w:r>
              <w:rPr>
                <w:rFonts w:hint="eastAsia"/>
                <w:u w:val="none"/>
              </w:rPr>
              <w:t>车辆清洗废水经车辆清洗废水沉淀池处理后循环利用，不外排；</w:t>
            </w:r>
            <w:r>
              <w:rPr>
                <w:bCs/>
                <w:u w:val="none"/>
              </w:rPr>
              <w:t>职工办公生活污水经化粪池处理后排入1套处理能力为1m</w:t>
            </w:r>
            <w:r>
              <w:rPr>
                <w:bCs/>
                <w:u w:val="none"/>
                <w:vertAlign w:val="superscript"/>
              </w:rPr>
              <w:t>3</w:t>
            </w:r>
            <w:r>
              <w:rPr>
                <w:bCs/>
                <w:u w:val="none"/>
              </w:rPr>
              <w:t>/d的一体化污水处理站处理</w:t>
            </w:r>
            <w:r>
              <w:rPr>
                <w:bCs/>
                <w:u w:val="none"/>
                <w:lang w:val="zh-TW"/>
              </w:rPr>
              <w:t>，处理</w:t>
            </w:r>
            <w:r>
              <w:rPr>
                <w:rFonts w:hint="eastAsia"/>
                <w:bCs/>
                <w:u w:val="none"/>
                <w:lang w:val="zh-TW"/>
              </w:rPr>
              <w:t>达到</w:t>
            </w:r>
            <w:r>
              <w:rPr>
                <w:rFonts w:hint="eastAsia"/>
                <w:u w:val="none"/>
                <w:lang w:val="zh-TW"/>
              </w:rPr>
              <w:t>《农田灌溉水质标准》（GB5084-2021）中蔬菜标准限值后，采用密闭运输工具清运用于周边旱地、种植基地及菜地灌溉</w:t>
            </w:r>
            <w:r>
              <w:rPr>
                <w:rFonts w:hint="eastAsia"/>
                <w:bCs/>
                <w:u w:val="none"/>
              </w:rPr>
              <w:t>；</w:t>
            </w:r>
            <w:r>
              <w:rPr>
                <w:u w:val="none"/>
              </w:rPr>
              <w:t>运营期产生的固废经综合利用或合理处置，固废处置率</w:t>
            </w:r>
            <w:r>
              <w:rPr>
                <w:rFonts w:hint="eastAsia"/>
                <w:u w:val="none"/>
              </w:rPr>
              <w:t>达</w:t>
            </w:r>
            <w:r>
              <w:rPr>
                <w:u w:val="none"/>
              </w:rPr>
              <w:t>100%，对当地环境质量及主要关心点环境影响很小</w:t>
            </w:r>
            <w:r>
              <w:rPr>
                <w:rFonts w:hint="eastAsia"/>
                <w:u w:val="none"/>
              </w:rPr>
              <w:t>。</w:t>
            </w:r>
            <w:r>
              <w:rPr>
                <w:u w:val="none"/>
              </w:rPr>
              <w:t>综上，从环境保护角度论证，本项目的建设可行。</w:t>
            </w:r>
          </w:p>
          <w:p w14:paraId="51732617">
            <w:pPr>
              <w:pStyle w:val="49"/>
              <w:adjustRightInd/>
              <w:snapToGrid/>
              <w:spacing w:line="360" w:lineRule="auto"/>
              <w:ind w:firstLine="480" w:firstLineChars="200"/>
              <w:jc w:val="both"/>
              <w:rPr>
                <w:u w:val="none"/>
              </w:rPr>
            </w:pPr>
          </w:p>
          <w:p w14:paraId="2AC42433">
            <w:pPr>
              <w:pStyle w:val="2"/>
              <w:rPr>
                <w:u w:val="none"/>
              </w:rPr>
            </w:pPr>
          </w:p>
          <w:p w14:paraId="7C0AABAD">
            <w:pPr>
              <w:spacing w:line="360" w:lineRule="auto"/>
              <w:rPr>
                <w:rFonts w:ascii="宋体" w:cs="宋体"/>
                <w:sz w:val="24"/>
                <w:u w:val="none"/>
              </w:rPr>
            </w:pPr>
          </w:p>
        </w:tc>
      </w:tr>
    </w:tbl>
    <w:p w14:paraId="7E968D7E">
      <w:pPr>
        <w:pStyle w:val="2"/>
        <w:rPr>
          <w:u w:val="none"/>
        </w:rPr>
        <w:sectPr>
          <w:pgSz w:w="11906" w:h="16838"/>
          <w:pgMar w:top="1701" w:right="1531" w:bottom="1701" w:left="1531" w:header="851" w:footer="851" w:gutter="0"/>
          <w:cols w:space="720" w:num="1"/>
          <w:docGrid w:linePitch="312" w:charSpace="0"/>
        </w:sectPr>
      </w:pPr>
    </w:p>
    <w:p w14:paraId="5D1862A8">
      <w:pPr>
        <w:wordWrap w:val="0"/>
        <w:adjustRightInd w:val="0"/>
        <w:snapToGrid w:val="0"/>
        <w:spacing w:line="648" w:lineRule="auto"/>
        <w:rPr>
          <w:rFonts w:ascii="黑体" w:hAnsi="黑体" w:eastAsia="黑体"/>
          <w:snapToGrid w:val="0"/>
          <w:sz w:val="32"/>
          <w:szCs w:val="32"/>
          <w:u w:val="none"/>
        </w:rPr>
      </w:pPr>
      <w:r>
        <w:rPr>
          <w:rFonts w:hint="eastAsia" w:ascii="黑体" w:hAnsi="黑体" w:eastAsia="黑体"/>
          <w:snapToGrid w:val="0"/>
          <w:sz w:val="32"/>
          <w:szCs w:val="32"/>
          <w:u w:val="none"/>
        </w:rPr>
        <w:t>附表</w:t>
      </w:r>
    </w:p>
    <w:p w14:paraId="57F9552D">
      <w:pPr>
        <w:wordWrap w:val="0"/>
        <w:adjustRightInd w:val="0"/>
        <w:spacing w:line="360" w:lineRule="auto"/>
        <w:jc w:val="center"/>
        <w:rPr>
          <w:rFonts w:ascii="方正小标宋_GBK" w:hAnsi="黑体" w:eastAsia="方正小标宋_GBK"/>
          <w:snapToGrid w:val="0"/>
          <w:sz w:val="38"/>
          <w:szCs w:val="38"/>
          <w:u w:val="none"/>
        </w:rPr>
      </w:pPr>
      <w:bookmarkStart w:id="49" w:name="_Toc5883"/>
      <w:r>
        <w:rPr>
          <w:rFonts w:hint="eastAsia" w:ascii="方正小标宋_GBK" w:hAnsi="黑体" w:eastAsia="方正小标宋_GBK"/>
          <w:snapToGrid w:val="0"/>
          <w:sz w:val="38"/>
          <w:szCs w:val="38"/>
          <w:u w:val="none"/>
        </w:rPr>
        <w:t>建设项目污染物排放量汇总表</w:t>
      </w:r>
      <w:bookmarkEnd w:id="49"/>
    </w:p>
    <w:tbl>
      <w:tblPr>
        <w:tblStyle w:val="37"/>
        <w:tblW w:w="1415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1194"/>
      </w:tblGrid>
      <w:tr w14:paraId="6276E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14:paraId="64F14B6C">
            <w:pPr>
              <w:wordWrap w:val="0"/>
              <w:jc w:val="right"/>
              <w:rPr>
                <w:rFonts w:ascii="黑体" w:hAnsi="黑体" w:eastAsia="黑体" w:cs="宋体"/>
                <w:snapToGrid w:val="0"/>
                <w:spacing w:val="-6"/>
                <w:kern w:val="21"/>
                <w:szCs w:val="21"/>
                <w:u w:val="none"/>
              </w:rPr>
            </w:pPr>
            <w:r>
              <w:rPr>
                <w:rFonts w:hint="eastAsia" w:ascii="黑体" w:hAnsi="黑体" w:eastAsia="黑体" w:cs="宋体"/>
                <w:snapToGrid w:val="0"/>
                <w:spacing w:val="-6"/>
                <w:kern w:val="21"/>
                <w:szCs w:val="21"/>
                <w:u w:val="none"/>
              </w:rPr>
              <w:t>项目</w:t>
            </w:r>
          </w:p>
          <w:p w14:paraId="75F88DB0">
            <w:pPr>
              <w:wordWrap w:val="0"/>
              <w:jc w:val="left"/>
              <w:rPr>
                <w:rFonts w:ascii="黑体" w:hAnsi="黑体" w:eastAsia="黑体" w:cs="宋体"/>
                <w:snapToGrid w:val="0"/>
                <w:spacing w:val="-6"/>
                <w:kern w:val="21"/>
                <w:szCs w:val="21"/>
                <w:u w:val="none"/>
              </w:rPr>
            </w:pPr>
            <w:r>
              <w:rPr>
                <w:rFonts w:hint="eastAsia" w:ascii="黑体" w:hAnsi="黑体" w:eastAsia="黑体" w:cs="宋体"/>
                <w:snapToGrid w:val="0"/>
                <w:spacing w:val="-6"/>
                <w:kern w:val="21"/>
                <w:szCs w:val="21"/>
                <w:u w:val="none"/>
              </w:rPr>
              <w:t>分类</w:t>
            </w:r>
          </w:p>
        </w:tc>
        <w:tc>
          <w:tcPr>
            <w:tcW w:w="1417" w:type="dxa"/>
            <w:tcMar>
              <w:left w:w="28" w:type="dxa"/>
              <w:right w:w="28" w:type="dxa"/>
            </w:tcMar>
            <w:vAlign w:val="center"/>
          </w:tcPr>
          <w:p w14:paraId="5AEDB27D">
            <w:pPr>
              <w:wordWrap w:val="0"/>
              <w:rPr>
                <w:rFonts w:ascii="黑体" w:hAnsi="黑体" w:eastAsia="黑体" w:cs="宋体"/>
                <w:snapToGrid w:val="0"/>
                <w:spacing w:val="-6"/>
                <w:kern w:val="21"/>
                <w:szCs w:val="21"/>
                <w:u w:val="none"/>
              </w:rPr>
            </w:pPr>
            <w:r>
              <w:rPr>
                <w:rFonts w:hint="eastAsia" w:ascii="黑体" w:hAnsi="黑体" w:eastAsia="黑体" w:cs="宋体"/>
                <w:snapToGrid w:val="0"/>
                <w:spacing w:val="-6"/>
                <w:kern w:val="21"/>
                <w:szCs w:val="21"/>
                <w:u w:val="none"/>
              </w:rPr>
              <w:t>污染物名称</w:t>
            </w:r>
          </w:p>
        </w:tc>
        <w:tc>
          <w:tcPr>
            <w:tcW w:w="1701" w:type="dxa"/>
            <w:tcMar>
              <w:left w:w="28" w:type="dxa"/>
              <w:right w:w="28" w:type="dxa"/>
            </w:tcMar>
            <w:vAlign w:val="center"/>
          </w:tcPr>
          <w:p w14:paraId="6C4BB9B3">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现有工程</w:t>
            </w:r>
          </w:p>
          <w:p w14:paraId="137577EB">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排放量（固</w:t>
            </w:r>
            <w:r>
              <w:rPr>
                <w:rFonts w:hint="eastAsia" w:ascii="黑体" w:hAnsi="黑体" w:eastAsia="黑体"/>
                <w:snapToGrid w:val="0"/>
                <w:spacing w:val="-6"/>
                <w:kern w:val="21"/>
                <w:szCs w:val="21"/>
                <w:u w:val="none"/>
              </w:rPr>
              <w:t>体</w:t>
            </w:r>
            <w:r>
              <w:rPr>
                <w:rFonts w:ascii="黑体" w:hAnsi="黑体" w:eastAsia="黑体"/>
                <w:snapToGrid w:val="0"/>
                <w:spacing w:val="-6"/>
                <w:kern w:val="21"/>
                <w:szCs w:val="21"/>
                <w:u w:val="none"/>
              </w:rPr>
              <w:t>废</w:t>
            </w:r>
            <w:r>
              <w:rPr>
                <w:rFonts w:hint="eastAsia" w:ascii="黑体" w:hAnsi="黑体" w:eastAsia="黑体"/>
                <w:snapToGrid w:val="0"/>
                <w:spacing w:val="-6"/>
                <w:kern w:val="21"/>
                <w:szCs w:val="21"/>
                <w:u w:val="none"/>
              </w:rPr>
              <w:t>物</w:t>
            </w:r>
            <w:r>
              <w:rPr>
                <w:rFonts w:ascii="黑体" w:hAnsi="黑体" w:eastAsia="黑体"/>
                <w:snapToGrid w:val="0"/>
                <w:spacing w:val="-6"/>
                <w:kern w:val="21"/>
                <w:szCs w:val="21"/>
                <w:u w:val="none"/>
              </w:rPr>
              <w:t>产生量）</w:t>
            </w:r>
            <w:r>
              <w:rPr>
                <w:rFonts w:ascii="黑体" w:hAnsi="黑体" w:eastAsia="黑体"/>
                <w:snapToGrid w:val="0"/>
                <w:spacing w:val="-6"/>
                <w:kern w:val="21"/>
                <w:szCs w:val="21"/>
                <w:u w:val="none"/>
              </w:rPr>
              <w:fldChar w:fldCharType="begin"/>
            </w:r>
            <w:r>
              <w:rPr>
                <w:rFonts w:ascii="黑体" w:hAnsi="黑体" w:eastAsia="黑体"/>
                <w:snapToGrid w:val="0"/>
                <w:spacing w:val="-6"/>
                <w:kern w:val="21"/>
                <w:szCs w:val="21"/>
                <w:u w:val="none"/>
              </w:rPr>
              <w:instrText xml:space="preserve"> = 1 \* GB3 \* MERGEFORMAT </w:instrText>
            </w:r>
            <w:r>
              <w:rPr>
                <w:rFonts w:ascii="黑体" w:hAnsi="黑体" w:eastAsia="黑体"/>
                <w:snapToGrid w:val="0"/>
                <w:spacing w:val="-6"/>
                <w:kern w:val="21"/>
                <w:szCs w:val="21"/>
                <w:u w:val="none"/>
              </w:rPr>
              <w:fldChar w:fldCharType="separate"/>
            </w:r>
            <w:r>
              <w:rPr>
                <w:rFonts w:hint="eastAsia" w:ascii="黑体" w:hAnsi="黑体" w:eastAsia="黑体" w:cs="宋体"/>
                <w:szCs w:val="21"/>
                <w:u w:val="none"/>
              </w:rPr>
              <w:t>①</w:t>
            </w:r>
            <w:r>
              <w:rPr>
                <w:rFonts w:ascii="黑体" w:hAnsi="黑体" w:eastAsia="黑体"/>
                <w:snapToGrid w:val="0"/>
                <w:spacing w:val="-6"/>
                <w:kern w:val="21"/>
                <w:szCs w:val="21"/>
                <w:u w:val="none"/>
              </w:rPr>
              <w:fldChar w:fldCharType="end"/>
            </w:r>
          </w:p>
        </w:tc>
        <w:tc>
          <w:tcPr>
            <w:tcW w:w="1276" w:type="dxa"/>
            <w:tcMar>
              <w:left w:w="28" w:type="dxa"/>
              <w:right w:w="28" w:type="dxa"/>
            </w:tcMar>
            <w:vAlign w:val="center"/>
          </w:tcPr>
          <w:p w14:paraId="763CAB40">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现有工程</w:t>
            </w:r>
          </w:p>
          <w:p w14:paraId="4879C037">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许可排放量</w:t>
            </w:r>
          </w:p>
          <w:p w14:paraId="07D3B2C2">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fldChar w:fldCharType="begin"/>
            </w:r>
            <w:r>
              <w:rPr>
                <w:rFonts w:ascii="黑体" w:hAnsi="黑体" w:eastAsia="黑体"/>
                <w:snapToGrid w:val="0"/>
                <w:spacing w:val="-6"/>
                <w:kern w:val="21"/>
                <w:szCs w:val="21"/>
                <w:u w:val="none"/>
              </w:rPr>
              <w:instrText xml:space="preserve"> = 2 \* GB3 \* MERGEFORMAT </w:instrText>
            </w:r>
            <w:r>
              <w:rPr>
                <w:rFonts w:ascii="黑体" w:hAnsi="黑体" w:eastAsia="黑体"/>
                <w:snapToGrid w:val="0"/>
                <w:spacing w:val="-6"/>
                <w:kern w:val="21"/>
                <w:szCs w:val="21"/>
                <w:u w:val="none"/>
              </w:rPr>
              <w:fldChar w:fldCharType="separate"/>
            </w:r>
            <w:r>
              <w:rPr>
                <w:rFonts w:hint="eastAsia" w:ascii="黑体" w:hAnsi="黑体" w:eastAsia="黑体" w:cs="宋体"/>
                <w:snapToGrid w:val="0"/>
                <w:spacing w:val="-6"/>
                <w:kern w:val="21"/>
                <w:szCs w:val="21"/>
                <w:u w:val="none"/>
              </w:rPr>
              <w:t>②</w:t>
            </w:r>
            <w:r>
              <w:rPr>
                <w:rFonts w:ascii="黑体" w:hAnsi="黑体" w:eastAsia="黑体"/>
                <w:snapToGrid w:val="0"/>
                <w:spacing w:val="-6"/>
                <w:kern w:val="21"/>
                <w:szCs w:val="21"/>
                <w:u w:val="none"/>
              </w:rPr>
              <w:fldChar w:fldCharType="end"/>
            </w:r>
          </w:p>
        </w:tc>
        <w:tc>
          <w:tcPr>
            <w:tcW w:w="1701" w:type="dxa"/>
            <w:tcMar>
              <w:left w:w="28" w:type="dxa"/>
              <w:right w:w="28" w:type="dxa"/>
            </w:tcMar>
            <w:vAlign w:val="center"/>
          </w:tcPr>
          <w:p w14:paraId="3E1BC2A4">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在建工程</w:t>
            </w:r>
          </w:p>
          <w:p w14:paraId="059D66F2">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排放量（固</w:t>
            </w:r>
            <w:r>
              <w:rPr>
                <w:rFonts w:hint="eastAsia" w:ascii="黑体" w:hAnsi="黑体" w:eastAsia="黑体"/>
                <w:snapToGrid w:val="0"/>
                <w:spacing w:val="-6"/>
                <w:kern w:val="21"/>
                <w:szCs w:val="21"/>
                <w:u w:val="none"/>
              </w:rPr>
              <w:t>体</w:t>
            </w:r>
            <w:r>
              <w:rPr>
                <w:rFonts w:ascii="黑体" w:hAnsi="黑体" w:eastAsia="黑体"/>
                <w:snapToGrid w:val="0"/>
                <w:spacing w:val="-6"/>
                <w:kern w:val="21"/>
                <w:szCs w:val="21"/>
                <w:u w:val="none"/>
              </w:rPr>
              <w:t>废</w:t>
            </w:r>
            <w:r>
              <w:rPr>
                <w:rFonts w:hint="eastAsia" w:ascii="黑体" w:hAnsi="黑体" w:eastAsia="黑体"/>
                <w:snapToGrid w:val="0"/>
                <w:spacing w:val="-6"/>
                <w:kern w:val="21"/>
                <w:szCs w:val="21"/>
                <w:u w:val="none"/>
              </w:rPr>
              <w:t>物</w:t>
            </w:r>
            <w:r>
              <w:rPr>
                <w:rFonts w:ascii="黑体" w:hAnsi="黑体" w:eastAsia="黑体"/>
                <w:snapToGrid w:val="0"/>
                <w:spacing w:val="-6"/>
                <w:kern w:val="21"/>
                <w:szCs w:val="21"/>
                <w:u w:val="none"/>
              </w:rPr>
              <w:t>产生量）</w:t>
            </w:r>
            <w:r>
              <w:rPr>
                <w:rFonts w:ascii="黑体" w:hAnsi="黑体" w:eastAsia="黑体"/>
                <w:snapToGrid w:val="0"/>
                <w:spacing w:val="-6"/>
                <w:kern w:val="21"/>
                <w:szCs w:val="21"/>
                <w:u w:val="none"/>
              </w:rPr>
              <w:fldChar w:fldCharType="begin"/>
            </w:r>
            <w:r>
              <w:rPr>
                <w:rFonts w:ascii="黑体" w:hAnsi="黑体" w:eastAsia="黑体"/>
                <w:snapToGrid w:val="0"/>
                <w:spacing w:val="-6"/>
                <w:kern w:val="21"/>
                <w:szCs w:val="21"/>
                <w:u w:val="none"/>
              </w:rPr>
              <w:instrText xml:space="preserve"> = 3 \* GB3 \* MERGEFORMAT </w:instrText>
            </w:r>
            <w:r>
              <w:rPr>
                <w:rFonts w:ascii="黑体" w:hAnsi="黑体" w:eastAsia="黑体"/>
                <w:snapToGrid w:val="0"/>
                <w:spacing w:val="-6"/>
                <w:kern w:val="21"/>
                <w:szCs w:val="21"/>
                <w:u w:val="none"/>
              </w:rPr>
              <w:fldChar w:fldCharType="separate"/>
            </w:r>
            <w:r>
              <w:rPr>
                <w:rFonts w:hint="eastAsia" w:ascii="黑体" w:hAnsi="黑体" w:eastAsia="黑体" w:cs="宋体"/>
                <w:szCs w:val="21"/>
                <w:u w:val="none"/>
              </w:rPr>
              <w:t>③</w:t>
            </w:r>
            <w:r>
              <w:rPr>
                <w:rFonts w:ascii="黑体" w:hAnsi="黑体" w:eastAsia="黑体"/>
                <w:snapToGrid w:val="0"/>
                <w:spacing w:val="-6"/>
                <w:kern w:val="21"/>
                <w:szCs w:val="21"/>
                <w:u w:val="none"/>
              </w:rPr>
              <w:fldChar w:fldCharType="end"/>
            </w:r>
          </w:p>
        </w:tc>
        <w:tc>
          <w:tcPr>
            <w:tcW w:w="1559" w:type="dxa"/>
            <w:tcMar>
              <w:left w:w="28" w:type="dxa"/>
              <w:right w:w="28" w:type="dxa"/>
            </w:tcMar>
            <w:vAlign w:val="center"/>
          </w:tcPr>
          <w:p w14:paraId="55086D08">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本项目</w:t>
            </w:r>
          </w:p>
          <w:p w14:paraId="7B8F4EF2">
            <w:pPr>
              <w:wordWrap w:val="0"/>
              <w:rPr>
                <w:rFonts w:ascii="黑体" w:hAnsi="黑体" w:eastAsia="黑体"/>
                <w:snapToGrid w:val="0"/>
                <w:spacing w:val="-6"/>
                <w:kern w:val="21"/>
                <w:szCs w:val="21"/>
                <w:u w:val="none"/>
              </w:rPr>
            </w:pPr>
            <w:r>
              <w:rPr>
                <w:rFonts w:ascii="黑体" w:hAnsi="黑体" w:eastAsia="黑体"/>
                <w:snapToGrid w:val="0"/>
                <w:spacing w:val="-6"/>
                <w:kern w:val="21"/>
                <w:szCs w:val="21"/>
                <w:u w:val="none"/>
              </w:rPr>
              <w:t>排放量（固</w:t>
            </w:r>
            <w:r>
              <w:rPr>
                <w:rFonts w:hint="eastAsia" w:ascii="黑体" w:hAnsi="黑体" w:eastAsia="黑体"/>
                <w:snapToGrid w:val="0"/>
                <w:spacing w:val="-6"/>
                <w:kern w:val="21"/>
                <w:szCs w:val="21"/>
                <w:u w:val="none"/>
              </w:rPr>
              <w:t>体</w:t>
            </w:r>
            <w:r>
              <w:rPr>
                <w:rFonts w:ascii="黑体" w:hAnsi="黑体" w:eastAsia="黑体"/>
                <w:snapToGrid w:val="0"/>
                <w:spacing w:val="-6"/>
                <w:kern w:val="21"/>
                <w:szCs w:val="21"/>
                <w:u w:val="none"/>
              </w:rPr>
              <w:t>废</w:t>
            </w:r>
            <w:r>
              <w:rPr>
                <w:rFonts w:hint="eastAsia" w:ascii="黑体" w:hAnsi="黑体" w:eastAsia="黑体"/>
                <w:snapToGrid w:val="0"/>
                <w:spacing w:val="-6"/>
                <w:kern w:val="21"/>
                <w:szCs w:val="21"/>
                <w:u w:val="none"/>
              </w:rPr>
              <w:t>物</w:t>
            </w:r>
            <w:r>
              <w:rPr>
                <w:rFonts w:ascii="黑体" w:hAnsi="黑体" w:eastAsia="黑体"/>
                <w:snapToGrid w:val="0"/>
                <w:spacing w:val="-6"/>
                <w:kern w:val="21"/>
                <w:szCs w:val="21"/>
                <w:u w:val="none"/>
              </w:rPr>
              <w:t>产生量）</w:t>
            </w:r>
            <w:r>
              <w:rPr>
                <w:rFonts w:ascii="黑体" w:hAnsi="黑体" w:eastAsia="黑体"/>
                <w:snapToGrid w:val="0"/>
                <w:spacing w:val="-6"/>
                <w:kern w:val="21"/>
                <w:szCs w:val="21"/>
                <w:u w:val="none"/>
              </w:rPr>
              <w:fldChar w:fldCharType="begin"/>
            </w:r>
            <w:r>
              <w:rPr>
                <w:rFonts w:ascii="黑体" w:hAnsi="黑体" w:eastAsia="黑体"/>
                <w:snapToGrid w:val="0"/>
                <w:spacing w:val="-6"/>
                <w:kern w:val="21"/>
                <w:szCs w:val="21"/>
                <w:u w:val="none"/>
              </w:rPr>
              <w:instrText xml:space="preserve"> = 4 \* GB3 \* MERGEFORMAT </w:instrText>
            </w:r>
            <w:r>
              <w:rPr>
                <w:rFonts w:ascii="黑体" w:hAnsi="黑体" w:eastAsia="黑体"/>
                <w:snapToGrid w:val="0"/>
                <w:spacing w:val="-6"/>
                <w:kern w:val="21"/>
                <w:szCs w:val="21"/>
                <w:u w:val="none"/>
              </w:rPr>
              <w:fldChar w:fldCharType="separate"/>
            </w:r>
            <w:r>
              <w:rPr>
                <w:rFonts w:hint="eastAsia" w:ascii="黑体" w:hAnsi="黑体" w:eastAsia="黑体" w:cs="宋体"/>
                <w:szCs w:val="21"/>
                <w:u w:val="none"/>
              </w:rPr>
              <w:t>④</w:t>
            </w:r>
            <w:r>
              <w:rPr>
                <w:rFonts w:ascii="黑体" w:hAnsi="黑体" w:eastAsia="黑体"/>
                <w:snapToGrid w:val="0"/>
                <w:spacing w:val="-6"/>
                <w:kern w:val="21"/>
                <w:szCs w:val="21"/>
                <w:u w:val="none"/>
              </w:rPr>
              <w:fldChar w:fldCharType="end"/>
            </w:r>
          </w:p>
        </w:tc>
        <w:tc>
          <w:tcPr>
            <w:tcW w:w="1761" w:type="dxa"/>
            <w:tcMar>
              <w:left w:w="28" w:type="dxa"/>
              <w:right w:w="28" w:type="dxa"/>
            </w:tcMar>
            <w:vAlign w:val="center"/>
          </w:tcPr>
          <w:p w14:paraId="3C5BE0A2">
            <w:pPr>
              <w:wordWrap w:val="0"/>
              <w:rPr>
                <w:rFonts w:ascii="黑体" w:hAnsi="黑体" w:eastAsia="黑体"/>
                <w:snapToGrid w:val="0"/>
                <w:spacing w:val="-16"/>
                <w:kern w:val="21"/>
                <w:szCs w:val="21"/>
                <w:u w:val="none"/>
              </w:rPr>
            </w:pPr>
            <w:r>
              <w:rPr>
                <w:rFonts w:ascii="黑体" w:hAnsi="黑体" w:eastAsia="黑体"/>
                <w:snapToGrid w:val="0"/>
                <w:spacing w:val="-16"/>
                <w:kern w:val="21"/>
                <w:szCs w:val="21"/>
                <w:u w:val="none"/>
              </w:rPr>
              <w:t>以新带老</w:t>
            </w:r>
            <w:r>
              <w:rPr>
                <w:rFonts w:ascii="黑体" w:hAnsi="黑体" w:eastAsia="黑体"/>
                <w:snapToGrid w:val="0"/>
                <w:spacing w:val="-16"/>
                <w:kern w:val="21"/>
                <w:szCs w:val="21"/>
                <w:u w:val="thick" w:color="FFB03A"/>
                <w:shd w:val="clear" w:fill="FFEFD7"/>
              </w:rPr>
              <w:t>削减</w:t>
            </w:r>
            <w:r>
              <w:rPr>
                <w:rFonts w:ascii="黑体" w:hAnsi="黑体" w:eastAsia="黑体"/>
                <w:snapToGrid w:val="0"/>
                <w:spacing w:val="-16"/>
                <w:kern w:val="21"/>
                <w:szCs w:val="21"/>
                <w:u w:val="none"/>
              </w:rPr>
              <w:t>量</w:t>
            </w:r>
          </w:p>
          <w:p w14:paraId="46E0B113">
            <w:pPr>
              <w:wordWrap w:val="0"/>
              <w:rPr>
                <w:rFonts w:ascii="黑体" w:hAnsi="黑体" w:eastAsia="黑体"/>
                <w:snapToGrid w:val="0"/>
                <w:spacing w:val="-16"/>
                <w:kern w:val="21"/>
                <w:szCs w:val="21"/>
                <w:u w:val="none"/>
              </w:rPr>
            </w:pPr>
            <w:r>
              <w:rPr>
                <w:rFonts w:ascii="黑体" w:hAnsi="黑体" w:eastAsia="黑体"/>
                <w:snapToGrid w:val="0"/>
                <w:spacing w:val="-16"/>
                <w:kern w:val="21"/>
                <w:szCs w:val="21"/>
                <w:u w:val="none"/>
              </w:rPr>
              <w:t>（新建项目不填）</w:t>
            </w:r>
            <w:r>
              <w:rPr>
                <w:rFonts w:ascii="黑体" w:hAnsi="黑体" w:eastAsia="黑体"/>
                <w:snapToGrid w:val="0"/>
                <w:spacing w:val="-16"/>
                <w:kern w:val="21"/>
                <w:szCs w:val="21"/>
                <w:u w:val="none"/>
              </w:rPr>
              <w:fldChar w:fldCharType="begin"/>
            </w:r>
            <w:r>
              <w:rPr>
                <w:rFonts w:ascii="黑体" w:hAnsi="黑体" w:eastAsia="黑体"/>
                <w:snapToGrid w:val="0"/>
                <w:spacing w:val="-16"/>
                <w:kern w:val="21"/>
                <w:szCs w:val="21"/>
                <w:u w:val="none"/>
              </w:rPr>
              <w:instrText xml:space="preserve"> = 5 \* GB3 \* MERGEFORMAT </w:instrText>
            </w:r>
            <w:r>
              <w:rPr>
                <w:rFonts w:ascii="黑体" w:hAnsi="黑体" w:eastAsia="黑体"/>
                <w:snapToGrid w:val="0"/>
                <w:spacing w:val="-16"/>
                <w:kern w:val="21"/>
                <w:szCs w:val="21"/>
                <w:u w:val="none"/>
              </w:rPr>
              <w:fldChar w:fldCharType="separate"/>
            </w:r>
            <w:r>
              <w:rPr>
                <w:rFonts w:hint="eastAsia" w:ascii="黑体" w:hAnsi="黑体" w:eastAsia="黑体" w:cs="宋体"/>
                <w:szCs w:val="21"/>
                <w:u w:val="none"/>
              </w:rPr>
              <w:t>⑤</w:t>
            </w:r>
            <w:r>
              <w:rPr>
                <w:rFonts w:ascii="黑体" w:hAnsi="黑体" w:eastAsia="黑体"/>
                <w:snapToGrid w:val="0"/>
                <w:spacing w:val="-16"/>
                <w:kern w:val="21"/>
                <w:szCs w:val="21"/>
                <w:u w:val="none"/>
              </w:rPr>
              <w:fldChar w:fldCharType="end"/>
            </w:r>
          </w:p>
        </w:tc>
        <w:tc>
          <w:tcPr>
            <w:tcW w:w="1959" w:type="dxa"/>
            <w:tcMar>
              <w:left w:w="28" w:type="dxa"/>
              <w:right w:w="28" w:type="dxa"/>
            </w:tcMar>
            <w:vAlign w:val="center"/>
          </w:tcPr>
          <w:p w14:paraId="6382C3AC">
            <w:pPr>
              <w:wordWrap w:val="0"/>
              <w:rPr>
                <w:rFonts w:ascii="黑体" w:hAnsi="黑体" w:eastAsia="黑体"/>
                <w:snapToGrid w:val="0"/>
                <w:spacing w:val="-16"/>
                <w:kern w:val="21"/>
                <w:szCs w:val="21"/>
                <w:u w:val="none"/>
              </w:rPr>
            </w:pPr>
            <w:r>
              <w:rPr>
                <w:rFonts w:ascii="黑体" w:hAnsi="黑体" w:eastAsia="黑体"/>
                <w:snapToGrid w:val="0"/>
                <w:spacing w:val="-16"/>
                <w:kern w:val="21"/>
                <w:szCs w:val="21"/>
                <w:u w:val="none"/>
              </w:rPr>
              <w:t>本项目建成后</w:t>
            </w:r>
          </w:p>
          <w:p w14:paraId="35F55B03">
            <w:pPr>
              <w:wordWrap w:val="0"/>
              <w:rPr>
                <w:rFonts w:ascii="黑体" w:hAnsi="黑体" w:eastAsia="黑体"/>
                <w:snapToGrid w:val="0"/>
                <w:spacing w:val="-16"/>
                <w:kern w:val="21"/>
                <w:szCs w:val="21"/>
                <w:u w:val="none"/>
              </w:rPr>
            </w:pPr>
            <w:r>
              <w:rPr>
                <w:rFonts w:hint="eastAsia" w:ascii="黑体" w:hAnsi="黑体" w:eastAsia="黑体"/>
                <w:snapToGrid w:val="0"/>
                <w:spacing w:val="-16"/>
                <w:kern w:val="21"/>
                <w:szCs w:val="21"/>
                <w:u w:val="none"/>
              </w:rPr>
              <w:t>全厂</w:t>
            </w:r>
            <w:r>
              <w:rPr>
                <w:rFonts w:ascii="黑体" w:hAnsi="黑体" w:eastAsia="黑体"/>
                <w:snapToGrid w:val="0"/>
                <w:spacing w:val="-16"/>
                <w:kern w:val="21"/>
                <w:szCs w:val="21"/>
                <w:u w:val="none"/>
              </w:rPr>
              <w:t>排放量（固</w:t>
            </w:r>
            <w:r>
              <w:rPr>
                <w:rFonts w:hint="eastAsia" w:ascii="黑体" w:hAnsi="黑体" w:eastAsia="黑体"/>
                <w:snapToGrid w:val="0"/>
                <w:spacing w:val="-16"/>
                <w:kern w:val="21"/>
                <w:szCs w:val="21"/>
                <w:u w:val="none"/>
              </w:rPr>
              <w:t>体</w:t>
            </w:r>
            <w:r>
              <w:rPr>
                <w:rFonts w:ascii="黑体" w:hAnsi="黑体" w:eastAsia="黑体"/>
                <w:snapToGrid w:val="0"/>
                <w:spacing w:val="-16"/>
                <w:kern w:val="21"/>
                <w:szCs w:val="21"/>
                <w:u w:val="none"/>
              </w:rPr>
              <w:t>废</w:t>
            </w:r>
            <w:r>
              <w:rPr>
                <w:rFonts w:hint="eastAsia" w:ascii="黑体" w:hAnsi="黑体" w:eastAsia="黑体"/>
                <w:snapToGrid w:val="0"/>
                <w:spacing w:val="-16"/>
                <w:kern w:val="21"/>
                <w:szCs w:val="21"/>
                <w:u w:val="none"/>
              </w:rPr>
              <w:t>物</w:t>
            </w:r>
            <w:r>
              <w:rPr>
                <w:rFonts w:ascii="黑体" w:hAnsi="黑体" w:eastAsia="黑体"/>
                <w:snapToGrid w:val="0"/>
                <w:spacing w:val="-16"/>
                <w:kern w:val="21"/>
                <w:szCs w:val="21"/>
                <w:u w:val="none"/>
              </w:rPr>
              <w:t>产生量）</w:t>
            </w:r>
            <w:r>
              <w:rPr>
                <w:rFonts w:ascii="黑体" w:hAnsi="黑体" w:eastAsia="黑体"/>
                <w:snapToGrid w:val="0"/>
                <w:spacing w:val="-16"/>
                <w:kern w:val="21"/>
                <w:szCs w:val="21"/>
                <w:u w:val="none"/>
              </w:rPr>
              <w:fldChar w:fldCharType="begin"/>
            </w:r>
            <w:r>
              <w:rPr>
                <w:rFonts w:ascii="黑体" w:hAnsi="黑体" w:eastAsia="黑体"/>
                <w:snapToGrid w:val="0"/>
                <w:spacing w:val="-16"/>
                <w:kern w:val="21"/>
                <w:szCs w:val="21"/>
                <w:u w:val="none"/>
              </w:rPr>
              <w:instrText xml:space="preserve"> = 6 \* GB3 \* MERGEFORMAT </w:instrText>
            </w:r>
            <w:r>
              <w:rPr>
                <w:rFonts w:ascii="黑体" w:hAnsi="黑体" w:eastAsia="黑体"/>
                <w:snapToGrid w:val="0"/>
                <w:spacing w:val="-16"/>
                <w:kern w:val="21"/>
                <w:szCs w:val="21"/>
                <w:u w:val="none"/>
              </w:rPr>
              <w:fldChar w:fldCharType="separate"/>
            </w:r>
            <w:r>
              <w:rPr>
                <w:rFonts w:hint="eastAsia" w:ascii="黑体" w:hAnsi="黑体" w:eastAsia="黑体" w:cs="宋体"/>
                <w:szCs w:val="21"/>
                <w:u w:val="none"/>
              </w:rPr>
              <w:t>⑥</w:t>
            </w:r>
            <w:r>
              <w:rPr>
                <w:rFonts w:ascii="黑体" w:hAnsi="黑体" w:eastAsia="黑体"/>
                <w:snapToGrid w:val="0"/>
                <w:spacing w:val="-16"/>
                <w:kern w:val="21"/>
                <w:szCs w:val="21"/>
                <w:u w:val="none"/>
              </w:rPr>
              <w:fldChar w:fldCharType="end"/>
            </w:r>
          </w:p>
        </w:tc>
        <w:tc>
          <w:tcPr>
            <w:tcW w:w="1194" w:type="dxa"/>
            <w:tcMar>
              <w:left w:w="28" w:type="dxa"/>
              <w:right w:w="28" w:type="dxa"/>
            </w:tcMar>
            <w:vAlign w:val="center"/>
          </w:tcPr>
          <w:p w14:paraId="4BDB60DB">
            <w:pPr>
              <w:wordWrap w:val="0"/>
              <w:jc w:val="center"/>
              <w:rPr>
                <w:rFonts w:ascii="黑体" w:hAnsi="黑体" w:eastAsia="黑体"/>
                <w:snapToGrid w:val="0"/>
                <w:spacing w:val="-6"/>
                <w:kern w:val="21"/>
                <w:szCs w:val="21"/>
                <w:u w:val="none"/>
              </w:rPr>
            </w:pPr>
            <w:r>
              <w:rPr>
                <w:rFonts w:ascii="黑体" w:hAnsi="黑体" w:eastAsia="黑体"/>
                <w:snapToGrid w:val="0"/>
                <w:spacing w:val="-6"/>
                <w:kern w:val="21"/>
                <w:szCs w:val="21"/>
                <w:u w:val="none"/>
              </w:rPr>
              <w:t>变化量</w:t>
            </w:r>
          </w:p>
          <w:p w14:paraId="57BB72C9">
            <w:pPr>
              <w:wordWrap w:val="0"/>
              <w:jc w:val="center"/>
              <w:rPr>
                <w:rFonts w:ascii="黑体" w:hAnsi="黑体" w:eastAsia="黑体"/>
                <w:snapToGrid w:val="0"/>
                <w:spacing w:val="-6"/>
                <w:kern w:val="21"/>
                <w:szCs w:val="21"/>
                <w:u w:val="none"/>
              </w:rPr>
            </w:pPr>
            <w:r>
              <w:rPr>
                <w:rFonts w:ascii="黑体" w:hAnsi="黑体" w:eastAsia="黑体"/>
                <w:snapToGrid w:val="0"/>
                <w:spacing w:val="-6"/>
                <w:kern w:val="21"/>
                <w:szCs w:val="21"/>
                <w:u w:val="none"/>
              </w:rPr>
              <w:fldChar w:fldCharType="begin"/>
            </w:r>
            <w:r>
              <w:rPr>
                <w:rFonts w:ascii="黑体" w:hAnsi="黑体" w:eastAsia="黑体"/>
                <w:snapToGrid w:val="0"/>
                <w:spacing w:val="-6"/>
                <w:kern w:val="21"/>
                <w:szCs w:val="21"/>
                <w:u w:val="none"/>
              </w:rPr>
              <w:instrText xml:space="preserve"> = 7 \* GB3 \* MERGEFORMAT </w:instrText>
            </w:r>
            <w:r>
              <w:rPr>
                <w:rFonts w:ascii="黑体" w:hAnsi="黑体" w:eastAsia="黑体"/>
                <w:snapToGrid w:val="0"/>
                <w:spacing w:val="-6"/>
                <w:kern w:val="21"/>
                <w:szCs w:val="21"/>
                <w:u w:val="none"/>
              </w:rPr>
              <w:fldChar w:fldCharType="separate"/>
            </w:r>
            <w:r>
              <w:rPr>
                <w:rFonts w:hint="eastAsia" w:ascii="黑体" w:hAnsi="黑体" w:eastAsia="黑体" w:cs="宋体"/>
                <w:szCs w:val="21"/>
                <w:u w:val="none"/>
              </w:rPr>
              <w:t>⑦</w:t>
            </w:r>
            <w:r>
              <w:rPr>
                <w:rFonts w:ascii="黑体" w:hAnsi="黑体" w:eastAsia="黑体"/>
                <w:snapToGrid w:val="0"/>
                <w:spacing w:val="-6"/>
                <w:kern w:val="21"/>
                <w:szCs w:val="21"/>
                <w:u w:val="none"/>
              </w:rPr>
              <w:fldChar w:fldCharType="end"/>
            </w:r>
          </w:p>
        </w:tc>
      </w:tr>
      <w:tr w14:paraId="452E8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88" w:type="dxa"/>
            <w:vAlign w:val="center"/>
          </w:tcPr>
          <w:p w14:paraId="3B056212">
            <w:pPr>
              <w:wordWrap w:val="0"/>
              <w:jc w:val="center"/>
              <w:rPr>
                <w:rFonts w:hAnsi="宋体" w:cs="宋体"/>
                <w:snapToGrid w:val="0"/>
                <w:kern w:val="21"/>
                <w:szCs w:val="21"/>
                <w:u w:val="none"/>
              </w:rPr>
            </w:pPr>
            <w:r>
              <w:rPr>
                <w:rFonts w:hint="eastAsia" w:hAnsi="宋体" w:cs="宋体"/>
                <w:snapToGrid w:val="0"/>
                <w:kern w:val="21"/>
                <w:szCs w:val="21"/>
                <w:u w:val="none"/>
              </w:rPr>
              <w:t>废气</w:t>
            </w:r>
          </w:p>
        </w:tc>
        <w:tc>
          <w:tcPr>
            <w:tcW w:w="1417" w:type="dxa"/>
            <w:vAlign w:val="center"/>
          </w:tcPr>
          <w:p w14:paraId="6D83748A">
            <w:pPr>
              <w:wordWrap w:val="0"/>
              <w:jc w:val="center"/>
              <w:rPr>
                <w:rFonts w:hAnsi="宋体" w:cs="宋体"/>
                <w:snapToGrid w:val="0"/>
                <w:kern w:val="21"/>
                <w:szCs w:val="21"/>
                <w:u w:val="none"/>
              </w:rPr>
            </w:pPr>
            <w:r>
              <w:rPr>
                <w:rFonts w:hint="eastAsia" w:hAnsi="宋体" w:cs="宋体"/>
                <w:snapToGrid w:val="0"/>
                <w:kern w:val="21"/>
                <w:szCs w:val="21"/>
                <w:u w:val="none"/>
              </w:rPr>
              <w:t>颗粒物</w:t>
            </w:r>
          </w:p>
        </w:tc>
        <w:tc>
          <w:tcPr>
            <w:tcW w:w="1701" w:type="dxa"/>
            <w:vAlign w:val="center"/>
          </w:tcPr>
          <w:p w14:paraId="34321268">
            <w:pPr>
              <w:wordWrap w:val="0"/>
              <w:jc w:val="center"/>
              <w:rPr>
                <w:rFonts w:hAnsi="宋体" w:cs="宋体"/>
                <w:snapToGrid w:val="0"/>
                <w:kern w:val="21"/>
                <w:szCs w:val="21"/>
                <w:u w:val="none"/>
              </w:rPr>
            </w:pPr>
          </w:p>
        </w:tc>
        <w:tc>
          <w:tcPr>
            <w:tcW w:w="1276" w:type="dxa"/>
            <w:vAlign w:val="center"/>
          </w:tcPr>
          <w:p w14:paraId="47FB3DD2">
            <w:pPr>
              <w:wordWrap w:val="0"/>
              <w:rPr>
                <w:rFonts w:hAnsi="宋体" w:cs="宋体"/>
                <w:snapToGrid w:val="0"/>
                <w:kern w:val="21"/>
                <w:szCs w:val="21"/>
                <w:u w:val="none"/>
              </w:rPr>
            </w:pPr>
          </w:p>
        </w:tc>
        <w:tc>
          <w:tcPr>
            <w:tcW w:w="1701" w:type="dxa"/>
            <w:vAlign w:val="center"/>
          </w:tcPr>
          <w:p w14:paraId="7F6E9991">
            <w:pPr>
              <w:wordWrap w:val="0"/>
              <w:rPr>
                <w:rFonts w:hAnsi="宋体" w:cs="宋体"/>
                <w:snapToGrid w:val="0"/>
                <w:kern w:val="21"/>
                <w:szCs w:val="21"/>
                <w:u w:val="none"/>
              </w:rPr>
            </w:pPr>
          </w:p>
        </w:tc>
        <w:tc>
          <w:tcPr>
            <w:tcW w:w="1559" w:type="dxa"/>
            <w:vAlign w:val="center"/>
          </w:tcPr>
          <w:p w14:paraId="7A2B6CBE">
            <w:pPr>
              <w:wordWrap w:val="0"/>
              <w:jc w:val="center"/>
              <w:rPr>
                <w:rFonts w:hAnsi="宋体" w:cs="宋体"/>
                <w:snapToGrid w:val="0"/>
                <w:kern w:val="21"/>
                <w:szCs w:val="21"/>
                <w:u w:val="none"/>
              </w:rPr>
            </w:pPr>
            <w:r>
              <w:rPr>
                <w:rFonts w:hint="eastAsia" w:hAnsi="宋体" w:cs="宋体"/>
                <w:snapToGrid w:val="0"/>
                <w:kern w:val="21"/>
                <w:szCs w:val="21"/>
                <w:u w:val="none"/>
              </w:rPr>
              <w:t>0.069t/a</w:t>
            </w:r>
          </w:p>
        </w:tc>
        <w:tc>
          <w:tcPr>
            <w:tcW w:w="1761" w:type="dxa"/>
            <w:vAlign w:val="center"/>
          </w:tcPr>
          <w:p w14:paraId="34A5DC3A">
            <w:pPr>
              <w:wordWrap w:val="0"/>
              <w:jc w:val="center"/>
              <w:rPr>
                <w:rFonts w:hAnsi="宋体" w:cs="宋体"/>
                <w:snapToGrid w:val="0"/>
                <w:kern w:val="21"/>
                <w:szCs w:val="21"/>
                <w:u w:val="none"/>
              </w:rPr>
            </w:pPr>
          </w:p>
        </w:tc>
        <w:tc>
          <w:tcPr>
            <w:tcW w:w="1959" w:type="dxa"/>
            <w:vAlign w:val="center"/>
          </w:tcPr>
          <w:p w14:paraId="337FB187">
            <w:pPr>
              <w:wordWrap w:val="0"/>
              <w:jc w:val="center"/>
              <w:rPr>
                <w:rFonts w:hAnsi="宋体" w:cs="宋体"/>
                <w:snapToGrid w:val="0"/>
                <w:kern w:val="21"/>
                <w:szCs w:val="21"/>
                <w:u w:val="none"/>
              </w:rPr>
            </w:pPr>
            <w:r>
              <w:rPr>
                <w:rFonts w:hint="eastAsia" w:hAnsi="宋体" w:cs="宋体"/>
                <w:snapToGrid w:val="0"/>
                <w:kern w:val="21"/>
                <w:szCs w:val="21"/>
                <w:u w:val="none"/>
              </w:rPr>
              <w:t>0.069t/a</w:t>
            </w:r>
          </w:p>
        </w:tc>
        <w:tc>
          <w:tcPr>
            <w:tcW w:w="1194" w:type="dxa"/>
            <w:vAlign w:val="center"/>
          </w:tcPr>
          <w:p w14:paraId="0FE72A5A">
            <w:pPr>
              <w:wordWrap w:val="0"/>
              <w:jc w:val="center"/>
              <w:rPr>
                <w:rFonts w:hAnsi="宋体" w:cs="宋体"/>
                <w:snapToGrid w:val="0"/>
                <w:kern w:val="21"/>
                <w:szCs w:val="21"/>
                <w:u w:val="none"/>
              </w:rPr>
            </w:pPr>
            <w:r>
              <w:rPr>
                <w:rFonts w:hint="eastAsia" w:hAnsi="宋体" w:cs="宋体"/>
                <w:snapToGrid w:val="0"/>
                <w:kern w:val="21"/>
                <w:szCs w:val="21"/>
                <w:u w:val="none"/>
              </w:rPr>
              <w:t>+0.069t/a</w:t>
            </w:r>
          </w:p>
        </w:tc>
      </w:tr>
      <w:tr w14:paraId="0BE75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588" w:type="dxa"/>
            <w:vMerge w:val="restart"/>
            <w:vAlign w:val="center"/>
          </w:tcPr>
          <w:p w14:paraId="226E23EB">
            <w:pPr>
              <w:wordWrap w:val="0"/>
              <w:jc w:val="center"/>
              <w:rPr>
                <w:rFonts w:hAnsi="宋体" w:cs="宋体"/>
                <w:snapToGrid w:val="0"/>
                <w:kern w:val="21"/>
                <w:szCs w:val="21"/>
                <w:u w:val="none"/>
              </w:rPr>
            </w:pPr>
            <w:r>
              <w:rPr>
                <w:rFonts w:hint="eastAsia" w:hAnsi="宋体" w:cs="宋体"/>
                <w:snapToGrid w:val="0"/>
                <w:kern w:val="21"/>
                <w:szCs w:val="21"/>
                <w:u w:val="none"/>
              </w:rPr>
              <w:t>废水</w:t>
            </w:r>
          </w:p>
        </w:tc>
        <w:tc>
          <w:tcPr>
            <w:tcW w:w="1417" w:type="dxa"/>
            <w:vAlign w:val="center"/>
          </w:tcPr>
          <w:p w14:paraId="28E19EB6">
            <w:pPr>
              <w:wordWrap w:val="0"/>
              <w:jc w:val="center"/>
              <w:rPr>
                <w:rFonts w:hAnsi="宋体" w:cs="宋体"/>
                <w:snapToGrid w:val="0"/>
                <w:kern w:val="21"/>
                <w:szCs w:val="21"/>
                <w:u w:val="none"/>
              </w:rPr>
            </w:pPr>
            <w:r>
              <w:rPr>
                <w:rFonts w:hint="eastAsia" w:hAnsi="宋体" w:cs="宋体"/>
                <w:snapToGrid w:val="0"/>
                <w:kern w:val="21"/>
                <w:szCs w:val="21"/>
                <w:u w:val="none"/>
              </w:rPr>
              <w:t>场地雨污水</w:t>
            </w:r>
          </w:p>
        </w:tc>
        <w:tc>
          <w:tcPr>
            <w:tcW w:w="1701" w:type="dxa"/>
            <w:vAlign w:val="center"/>
          </w:tcPr>
          <w:p w14:paraId="3A1CFE26">
            <w:pPr>
              <w:wordWrap w:val="0"/>
              <w:jc w:val="center"/>
              <w:rPr>
                <w:rFonts w:hAnsi="宋体" w:cs="宋体"/>
                <w:snapToGrid w:val="0"/>
                <w:kern w:val="21"/>
                <w:szCs w:val="21"/>
                <w:u w:val="none"/>
              </w:rPr>
            </w:pPr>
          </w:p>
        </w:tc>
        <w:tc>
          <w:tcPr>
            <w:tcW w:w="1276" w:type="dxa"/>
            <w:vAlign w:val="center"/>
          </w:tcPr>
          <w:p w14:paraId="067D50AE">
            <w:pPr>
              <w:wordWrap w:val="0"/>
              <w:rPr>
                <w:rFonts w:hAnsi="宋体" w:cs="宋体"/>
                <w:snapToGrid w:val="0"/>
                <w:kern w:val="21"/>
                <w:szCs w:val="21"/>
                <w:u w:val="none"/>
              </w:rPr>
            </w:pPr>
          </w:p>
        </w:tc>
        <w:tc>
          <w:tcPr>
            <w:tcW w:w="1701" w:type="dxa"/>
            <w:vAlign w:val="center"/>
          </w:tcPr>
          <w:p w14:paraId="20AEF5FC">
            <w:pPr>
              <w:wordWrap w:val="0"/>
              <w:rPr>
                <w:rFonts w:hAnsi="宋体" w:cs="宋体"/>
                <w:snapToGrid w:val="0"/>
                <w:kern w:val="21"/>
                <w:szCs w:val="21"/>
                <w:u w:val="none"/>
              </w:rPr>
            </w:pPr>
          </w:p>
        </w:tc>
        <w:tc>
          <w:tcPr>
            <w:tcW w:w="1559" w:type="dxa"/>
            <w:vAlign w:val="center"/>
          </w:tcPr>
          <w:p w14:paraId="7AADE37D">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761" w:type="dxa"/>
            <w:vAlign w:val="center"/>
          </w:tcPr>
          <w:p w14:paraId="079B932C">
            <w:pPr>
              <w:wordWrap w:val="0"/>
              <w:jc w:val="center"/>
              <w:rPr>
                <w:rFonts w:hAnsi="宋体" w:cs="宋体"/>
                <w:snapToGrid w:val="0"/>
                <w:kern w:val="21"/>
                <w:szCs w:val="21"/>
                <w:u w:val="none"/>
              </w:rPr>
            </w:pPr>
          </w:p>
        </w:tc>
        <w:tc>
          <w:tcPr>
            <w:tcW w:w="1959" w:type="dxa"/>
            <w:vAlign w:val="center"/>
          </w:tcPr>
          <w:p w14:paraId="2E96F940">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194" w:type="dxa"/>
            <w:vAlign w:val="center"/>
          </w:tcPr>
          <w:p w14:paraId="0590B8D3">
            <w:pPr>
              <w:wordWrap w:val="0"/>
              <w:jc w:val="center"/>
              <w:rPr>
                <w:rFonts w:hAnsi="宋体" w:cs="宋体"/>
                <w:snapToGrid w:val="0"/>
                <w:kern w:val="21"/>
                <w:szCs w:val="21"/>
                <w:u w:val="none"/>
              </w:rPr>
            </w:pPr>
            <w:r>
              <w:rPr>
                <w:rFonts w:hint="eastAsia" w:hAnsi="宋体" w:cs="宋体"/>
                <w:snapToGrid w:val="0"/>
                <w:kern w:val="21"/>
                <w:szCs w:val="21"/>
                <w:u w:val="none"/>
              </w:rPr>
              <w:t>0t/a</w:t>
            </w:r>
          </w:p>
        </w:tc>
      </w:tr>
      <w:tr w14:paraId="01A0D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6A805ACA">
            <w:pPr>
              <w:wordWrap w:val="0"/>
              <w:jc w:val="center"/>
              <w:rPr>
                <w:rFonts w:hAnsi="宋体" w:cs="宋体"/>
                <w:snapToGrid w:val="0"/>
                <w:kern w:val="21"/>
                <w:szCs w:val="21"/>
                <w:u w:val="none"/>
              </w:rPr>
            </w:pPr>
          </w:p>
        </w:tc>
        <w:tc>
          <w:tcPr>
            <w:tcW w:w="1417" w:type="dxa"/>
            <w:vAlign w:val="center"/>
          </w:tcPr>
          <w:p w14:paraId="3A1497F8">
            <w:pPr>
              <w:wordWrap w:val="0"/>
              <w:jc w:val="center"/>
              <w:rPr>
                <w:rFonts w:hAnsi="宋体" w:cs="宋体"/>
                <w:snapToGrid w:val="0"/>
                <w:kern w:val="21"/>
                <w:szCs w:val="21"/>
                <w:u w:val="none"/>
              </w:rPr>
            </w:pPr>
            <w:r>
              <w:rPr>
                <w:rFonts w:hint="eastAsia" w:hAnsi="宋体" w:cs="宋体"/>
                <w:snapToGrid w:val="0"/>
                <w:kern w:val="21"/>
                <w:szCs w:val="21"/>
                <w:u w:val="none"/>
              </w:rPr>
              <w:t>职工办公生活污水</w:t>
            </w:r>
          </w:p>
        </w:tc>
        <w:tc>
          <w:tcPr>
            <w:tcW w:w="1701" w:type="dxa"/>
            <w:vAlign w:val="center"/>
          </w:tcPr>
          <w:p w14:paraId="10CC5C13">
            <w:pPr>
              <w:wordWrap w:val="0"/>
              <w:jc w:val="center"/>
              <w:rPr>
                <w:rFonts w:hAnsi="宋体" w:cs="宋体"/>
                <w:snapToGrid w:val="0"/>
                <w:kern w:val="21"/>
                <w:szCs w:val="21"/>
                <w:u w:val="none"/>
              </w:rPr>
            </w:pPr>
          </w:p>
        </w:tc>
        <w:tc>
          <w:tcPr>
            <w:tcW w:w="1276" w:type="dxa"/>
            <w:vAlign w:val="center"/>
          </w:tcPr>
          <w:p w14:paraId="042FEA64">
            <w:pPr>
              <w:wordWrap w:val="0"/>
              <w:rPr>
                <w:rFonts w:hAnsi="宋体" w:cs="宋体"/>
                <w:snapToGrid w:val="0"/>
                <w:kern w:val="21"/>
                <w:szCs w:val="21"/>
                <w:u w:val="none"/>
              </w:rPr>
            </w:pPr>
          </w:p>
        </w:tc>
        <w:tc>
          <w:tcPr>
            <w:tcW w:w="1701" w:type="dxa"/>
            <w:vAlign w:val="center"/>
          </w:tcPr>
          <w:p w14:paraId="57AE193E">
            <w:pPr>
              <w:wordWrap w:val="0"/>
              <w:rPr>
                <w:rFonts w:hAnsi="宋体" w:cs="宋体"/>
                <w:snapToGrid w:val="0"/>
                <w:kern w:val="21"/>
                <w:szCs w:val="21"/>
                <w:u w:val="none"/>
              </w:rPr>
            </w:pPr>
          </w:p>
        </w:tc>
        <w:tc>
          <w:tcPr>
            <w:tcW w:w="1559" w:type="dxa"/>
            <w:vAlign w:val="center"/>
          </w:tcPr>
          <w:p w14:paraId="66D770AF">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761" w:type="dxa"/>
            <w:vAlign w:val="center"/>
          </w:tcPr>
          <w:p w14:paraId="15A404A5">
            <w:pPr>
              <w:wordWrap w:val="0"/>
              <w:jc w:val="center"/>
              <w:rPr>
                <w:rFonts w:hAnsi="宋体" w:cs="宋体"/>
                <w:snapToGrid w:val="0"/>
                <w:kern w:val="21"/>
                <w:szCs w:val="21"/>
                <w:u w:val="none"/>
              </w:rPr>
            </w:pPr>
          </w:p>
        </w:tc>
        <w:tc>
          <w:tcPr>
            <w:tcW w:w="1959" w:type="dxa"/>
            <w:vAlign w:val="center"/>
          </w:tcPr>
          <w:p w14:paraId="79605647">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194" w:type="dxa"/>
            <w:vAlign w:val="center"/>
          </w:tcPr>
          <w:p w14:paraId="2AB1B799">
            <w:pPr>
              <w:wordWrap w:val="0"/>
              <w:jc w:val="center"/>
              <w:rPr>
                <w:rFonts w:hAnsi="宋体" w:cs="宋体"/>
                <w:snapToGrid w:val="0"/>
                <w:kern w:val="21"/>
                <w:szCs w:val="21"/>
                <w:u w:val="none"/>
              </w:rPr>
            </w:pPr>
            <w:r>
              <w:rPr>
                <w:rFonts w:hint="eastAsia" w:hAnsi="宋体" w:cs="宋体"/>
                <w:snapToGrid w:val="0"/>
                <w:kern w:val="21"/>
                <w:szCs w:val="21"/>
                <w:u w:val="none"/>
              </w:rPr>
              <w:t>0t/a</w:t>
            </w:r>
          </w:p>
        </w:tc>
      </w:tr>
      <w:tr w14:paraId="688D0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88" w:type="dxa"/>
            <w:vMerge w:val="continue"/>
            <w:vAlign w:val="center"/>
          </w:tcPr>
          <w:p w14:paraId="4B101802">
            <w:pPr>
              <w:wordWrap w:val="0"/>
              <w:jc w:val="center"/>
              <w:rPr>
                <w:rFonts w:hAnsi="宋体" w:cs="宋体"/>
                <w:snapToGrid w:val="0"/>
                <w:kern w:val="21"/>
                <w:szCs w:val="21"/>
                <w:u w:val="none"/>
              </w:rPr>
            </w:pPr>
          </w:p>
        </w:tc>
        <w:tc>
          <w:tcPr>
            <w:tcW w:w="1417" w:type="dxa"/>
            <w:vAlign w:val="center"/>
          </w:tcPr>
          <w:p w14:paraId="162B328A">
            <w:pPr>
              <w:wordWrap w:val="0"/>
              <w:jc w:val="center"/>
              <w:rPr>
                <w:rFonts w:hAnsi="宋体" w:cs="宋体"/>
                <w:snapToGrid w:val="0"/>
                <w:kern w:val="21"/>
                <w:szCs w:val="21"/>
                <w:u w:val="none"/>
              </w:rPr>
            </w:pPr>
            <w:r>
              <w:rPr>
                <w:rFonts w:hint="eastAsia" w:hAnsi="宋体" w:cs="宋体"/>
                <w:snapToGrid w:val="0"/>
                <w:kern w:val="21"/>
                <w:szCs w:val="21"/>
                <w:u w:val="none"/>
              </w:rPr>
              <w:t>运输车辆清洗废水</w:t>
            </w:r>
          </w:p>
        </w:tc>
        <w:tc>
          <w:tcPr>
            <w:tcW w:w="1701" w:type="dxa"/>
            <w:vAlign w:val="center"/>
          </w:tcPr>
          <w:p w14:paraId="5230C854">
            <w:pPr>
              <w:wordWrap w:val="0"/>
              <w:jc w:val="center"/>
              <w:rPr>
                <w:rFonts w:hAnsi="宋体" w:cs="宋体"/>
                <w:snapToGrid w:val="0"/>
                <w:kern w:val="21"/>
                <w:szCs w:val="21"/>
                <w:u w:val="none"/>
              </w:rPr>
            </w:pPr>
          </w:p>
        </w:tc>
        <w:tc>
          <w:tcPr>
            <w:tcW w:w="1276" w:type="dxa"/>
            <w:vAlign w:val="center"/>
          </w:tcPr>
          <w:p w14:paraId="2D228BF7">
            <w:pPr>
              <w:wordWrap w:val="0"/>
              <w:rPr>
                <w:rFonts w:hAnsi="宋体" w:cs="宋体"/>
                <w:snapToGrid w:val="0"/>
                <w:kern w:val="21"/>
                <w:szCs w:val="21"/>
                <w:u w:val="none"/>
              </w:rPr>
            </w:pPr>
          </w:p>
        </w:tc>
        <w:tc>
          <w:tcPr>
            <w:tcW w:w="1701" w:type="dxa"/>
            <w:vAlign w:val="center"/>
          </w:tcPr>
          <w:p w14:paraId="41C0559D">
            <w:pPr>
              <w:wordWrap w:val="0"/>
              <w:rPr>
                <w:rFonts w:hAnsi="宋体" w:cs="宋体"/>
                <w:snapToGrid w:val="0"/>
                <w:kern w:val="21"/>
                <w:szCs w:val="21"/>
                <w:u w:val="none"/>
              </w:rPr>
            </w:pPr>
          </w:p>
        </w:tc>
        <w:tc>
          <w:tcPr>
            <w:tcW w:w="1559" w:type="dxa"/>
            <w:vAlign w:val="center"/>
          </w:tcPr>
          <w:p w14:paraId="34B71CD9">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761" w:type="dxa"/>
            <w:vAlign w:val="center"/>
          </w:tcPr>
          <w:p w14:paraId="097AB87A">
            <w:pPr>
              <w:wordWrap w:val="0"/>
              <w:jc w:val="center"/>
              <w:rPr>
                <w:rFonts w:hAnsi="宋体" w:cs="宋体"/>
                <w:snapToGrid w:val="0"/>
                <w:kern w:val="21"/>
                <w:szCs w:val="21"/>
                <w:u w:val="none"/>
              </w:rPr>
            </w:pPr>
          </w:p>
        </w:tc>
        <w:tc>
          <w:tcPr>
            <w:tcW w:w="1959" w:type="dxa"/>
            <w:vAlign w:val="center"/>
          </w:tcPr>
          <w:p w14:paraId="3DB43EA0">
            <w:pPr>
              <w:wordWrap w:val="0"/>
              <w:jc w:val="center"/>
              <w:rPr>
                <w:rFonts w:hAnsi="宋体" w:cs="宋体"/>
                <w:snapToGrid w:val="0"/>
                <w:kern w:val="21"/>
                <w:szCs w:val="21"/>
                <w:u w:val="none"/>
              </w:rPr>
            </w:pPr>
            <w:r>
              <w:rPr>
                <w:rFonts w:hint="eastAsia" w:hAnsi="宋体" w:cs="宋体"/>
                <w:snapToGrid w:val="0"/>
                <w:kern w:val="21"/>
                <w:szCs w:val="21"/>
                <w:u w:val="none"/>
              </w:rPr>
              <w:t>0t/a</w:t>
            </w:r>
          </w:p>
        </w:tc>
        <w:tc>
          <w:tcPr>
            <w:tcW w:w="1194" w:type="dxa"/>
            <w:vAlign w:val="center"/>
          </w:tcPr>
          <w:p w14:paraId="0262DFCE">
            <w:pPr>
              <w:wordWrap w:val="0"/>
              <w:jc w:val="center"/>
              <w:rPr>
                <w:rFonts w:hAnsi="宋体" w:cs="宋体"/>
                <w:snapToGrid w:val="0"/>
                <w:kern w:val="21"/>
                <w:szCs w:val="21"/>
                <w:u w:val="none"/>
              </w:rPr>
            </w:pPr>
            <w:r>
              <w:rPr>
                <w:rFonts w:hint="eastAsia" w:hAnsi="宋体" w:cs="宋体"/>
                <w:snapToGrid w:val="0"/>
                <w:kern w:val="21"/>
                <w:szCs w:val="21"/>
                <w:u w:val="none"/>
              </w:rPr>
              <w:t>0t/a</w:t>
            </w:r>
          </w:p>
        </w:tc>
      </w:tr>
      <w:tr w14:paraId="227FF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14:paraId="1BB208C6">
            <w:pPr>
              <w:wordWrap w:val="0"/>
              <w:jc w:val="center"/>
              <w:rPr>
                <w:rFonts w:hAnsi="宋体" w:cs="宋体"/>
                <w:snapToGrid w:val="0"/>
                <w:kern w:val="21"/>
                <w:szCs w:val="21"/>
                <w:u w:val="none"/>
              </w:rPr>
            </w:pPr>
            <w:r>
              <w:rPr>
                <w:rFonts w:hint="eastAsia" w:hAnsi="宋体" w:cs="宋体"/>
                <w:snapToGrid w:val="0"/>
                <w:kern w:val="21"/>
                <w:szCs w:val="21"/>
                <w:u w:val="none"/>
              </w:rPr>
              <w:t>一般工业</w:t>
            </w:r>
          </w:p>
          <w:p w14:paraId="35091A92">
            <w:pPr>
              <w:wordWrap w:val="0"/>
              <w:jc w:val="center"/>
              <w:rPr>
                <w:rFonts w:hAnsi="宋体" w:cs="宋体"/>
                <w:snapToGrid w:val="0"/>
                <w:kern w:val="21"/>
                <w:szCs w:val="21"/>
                <w:u w:val="none"/>
              </w:rPr>
            </w:pPr>
            <w:r>
              <w:rPr>
                <w:rFonts w:hint="eastAsia" w:hAnsi="宋体" w:cs="宋体"/>
                <w:snapToGrid w:val="0"/>
                <w:kern w:val="21"/>
                <w:szCs w:val="21"/>
                <w:u w:val="none"/>
              </w:rPr>
              <w:t>固体废物</w:t>
            </w:r>
          </w:p>
        </w:tc>
        <w:tc>
          <w:tcPr>
            <w:tcW w:w="1417" w:type="dxa"/>
            <w:vAlign w:val="center"/>
          </w:tcPr>
          <w:p w14:paraId="1A08A336">
            <w:pPr>
              <w:wordWrap w:val="0"/>
              <w:jc w:val="center"/>
              <w:rPr>
                <w:rFonts w:hAnsi="宋体" w:cs="宋体"/>
                <w:snapToGrid w:val="0"/>
                <w:kern w:val="21"/>
                <w:szCs w:val="21"/>
                <w:u w:val="none"/>
              </w:rPr>
            </w:pPr>
            <w:r>
              <w:rPr>
                <w:rFonts w:hint="eastAsia" w:hAnsi="宋体" w:cs="宋体"/>
                <w:snapToGrid w:val="0"/>
                <w:kern w:val="21"/>
                <w:szCs w:val="21"/>
                <w:u w:val="none"/>
              </w:rPr>
              <w:t>车辆清洗废水沉淀池沉渣</w:t>
            </w:r>
          </w:p>
        </w:tc>
        <w:tc>
          <w:tcPr>
            <w:tcW w:w="1701" w:type="dxa"/>
            <w:vAlign w:val="center"/>
          </w:tcPr>
          <w:p w14:paraId="777E5C10">
            <w:pPr>
              <w:wordWrap w:val="0"/>
              <w:jc w:val="center"/>
              <w:rPr>
                <w:rFonts w:hAnsi="宋体" w:cs="宋体"/>
                <w:snapToGrid w:val="0"/>
                <w:kern w:val="21"/>
                <w:szCs w:val="21"/>
                <w:u w:val="none"/>
              </w:rPr>
            </w:pPr>
          </w:p>
        </w:tc>
        <w:tc>
          <w:tcPr>
            <w:tcW w:w="1276" w:type="dxa"/>
            <w:vAlign w:val="center"/>
          </w:tcPr>
          <w:p w14:paraId="6328DE3C">
            <w:pPr>
              <w:wordWrap w:val="0"/>
              <w:rPr>
                <w:rFonts w:hAnsi="宋体" w:cs="宋体"/>
                <w:snapToGrid w:val="0"/>
                <w:kern w:val="21"/>
                <w:szCs w:val="21"/>
                <w:u w:val="none"/>
              </w:rPr>
            </w:pPr>
          </w:p>
        </w:tc>
        <w:tc>
          <w:tcPr>
            <w:tcW w:w="1701" w:type="dxa"/>
            <w:vAlign w:val="center"/>
          </w:tcPr>
          <w:p w14:paraId="7057EF31">
            <w:pPr>
              <w:wordWrap w:val="0"/>
              <w:rPr>
                <w:rFonts w:hAnsi="宋体" w:cs="宋体"/>
                <w:snapToGrid w:val="0"/>
                <w:kern w:val="21"/>
                <w:szCs w:val="21"/>
                <w:u w:val="none"/>
              </w:rPr>
            </w:pPr>
          </w:p>
        </w:tc>
        <w:tc>
          <w:tcPr>
            <w:tcW w:w="1559" w:type="dxa"/>
            <w:vAlign w:val="center"/>
          </w:tcPr>
          <w:p w14:paraId="45AB3219">
            <w:pPr>
              <w:wordWrap w:val="0"/>
              <w:jc w:val="center"/>
              <w:rPr>
                <w:rFonts w:hAnsi="宋体" w:cs="宋体"/>
                <w:snapToGrid w:val="0"/>
                <w:kern w:val="21"/>
                <w:szCs w:val="21"/>
                <w:u w:val="none"/>
              </w:rPr>
            </w:pPr>
            <w:r>
              <w:rPr>
                <w:rFonts w:hint="eastAsia" w:hAnsi="宋体" w:cs="宋体"/>
                <w:snapToGrid w:val="0"/>
                <w:kern w:val="21"/>
                <w:szCs w:val="21"/>
                <w:u w:val="none"/>
              </w:rPr>
              <w:t>9t/a</w:t>
            </w:r>
          </w:p>
        </w:tc>
        <w:tc>
          <w:tcPr>
            <w:tcW w:w="1761" w:type="dxa"/>
            <w:vAlign w:val="center"/>
          </w:tcPr>
          <w:p w14:paraId="6D81584A">
            <w:pPr>
              <w:wordWrap w:val="0"/>
              <w:jc w:val="center"/>
              <w:rPr>
                <w:rFonts w:hAnsi="宋体" w:cs="宋体"/>
                <w:snapToGrid w:val="0"/>
                <w:kern w:val="21"/>
                <w:szCs w:val="21"/>
                <w:u w:val="none"/>
              </w:rPr>
            </w:pPr>
          </w:p>
        </w:tc>
        <w:tc>
          <w:tcPr>
            <w:tcW w:w="1959" w:type="dxa"/>
            <w:vAlign w:val="center"/>
          </w:tcPr>
          <w:p w14:paraId="55D516DD">
            <w:pPr>
              <w:wordWrap w:val="0"/>
              <w:jc w:val="center"/>
              <w:rPr>
                <w:rFonts w:hAnsi="宋体" w:cs="宋体"/>
                <w:snapToGrid w:val="0"/>
                <w:kern w:val="21"/>
                <w:szCs w:val="21"/>
                <w:u w:val="none"/>
              </w:rPr>
            </w:pPr>
            <w:r>
              <w:rPr>
                <w:rFonts w:hint="eastAsia" w:hAnsi="宋体" w:cs="宋体"/>
                <w:snapToGrid w:val="0"/>
                <w:kern w:val="21"/>
                <w:szCs w:val="21"/>
                <w:u w:val="none"/>
              </w:rPr>
              <w:t>9t/a</w:t>
            </w:r>
          </w:p>
        </w:tc>
        <w:tc>
          <w:tcPr>
            <w:tcW w:w="1194" w:type="dxa"/>
            <w:vAlign w:val="center"/>
          </w:tcPr>
          <w:p w14:paraId="075E528D">
            <w:pPr>
              <w:wordWrap w:val="0"/>
              <w:jc w:val="center"/>
              <w:rPr>
                <w:rFonts w:hAnsi="宋体" w:cs="宋体"/>
                <w:snapToGrid w:val="0"/>
                <w:kern w:val="21"/>
                <w:szCs w:val="21"/>
                <w:u w:val="none"/>
              </w:rPr>
            </w:pPr>
            <w:r>
              <w:rPr>
                <w:rFonts w:hint="eastAsia" w:hAnsi="宋体" w:cs="宋体"/>
                <w:snapToGrid w:val="0"/>
                <w:kern w:val="21"/>
                <w:szCs w:val="21"/>
                <w:u w:val="none"/>
              </w:rPr>
              <w:t>+9t/a</w:t>
            </w:r>
          </w:p>
        </w:tc>
      </w:tr>
      <w:tr w14:paraId="0A759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449B94E7">
            <w:pPr>
              <w:wordWrap w:val="0"/>
              <w:jc w:val="center"/>
              <w:rPr>
                <w:rFonts w:hAnsi="宋体" w:cs="宋体"/>
                <w:snapToGrid w:val="0"/>
                <w:kern w:val="21"/>
                <w:szCs w:val="21"/>
                <w:u w:val="none"/>
              </w:rPr>
            </w:pPr>
          </w:p>
        </w:tc>
        <w:tc>
          <w:tcPr>
            <w:tcW w:w="1417" w:type="dxa"/>
            <w:vAlign w:val="center"/>
          </w:tcPr>
          <w:p w14:paraId="4421B5EF">
            <w:pPr>
              <w:wordWrap w:val="0"/>
              <w:jc w:val="center"/>
              <w:rPr>
                <w:rFonts w:hAnsi="宋体" w:cs="宋体"/>
                <w:snapToGrid w:val="0"/>
                <w:kern w:val="21"/>
                <w:szCs w:val="21"/>
                <w:u w:val="none"/>
              </w:rPr>
            </w:pPr>
            <w:r>
              <w:rPr>
                <w:rFonts w:hint="eastAsia" w:hAnsi="宋体" w:cs="宋体"/>
                <w:snapToGrid w:val="0"/>
                <w:kern w:val="21"/>
                <w:szCs w:val="21"/>
                <w:u w:val="none"/>
              </w:rPr>
              <w:t>场地雨污水收集池沉渣</w:t>
            </w:r>
          </w:p>
        </w:tc>
        <w:tc>
          <w:tcPr>
            <w:tcW w:w="1701" w:type="dxa"/>
            <w:vAlign w:val="center"/>
          </w:tcPr>
          <w:p w14:paraId="08862E55">
            <w:pPr>
              <w:wordWrap w:val="0"/>
              <w:jc w:val="center"/>
              <w:rPr>
                <w:rFonts w:hAnsi="宋体" w:cs="宋体"/>
                <w:snapToGrid w:val="0"/>
                <w:kern w:val="21"/>
                <w:szCs w:val="21"/>
                <w:u w:val="none"/>
              </w:rPr>
            </w:pPr>
          </w:p>
        </w:tc>
        <w:tc>
          <w:tcPr>
            <w:tcW w:w="1276" w:type="dxa"/>
            <w:vAlign w:val="center"/>
          </w:tcPr>
          <w:p w14:paraId="235DA8B9">
            <w:pPr>
              <w:wordWrap w:val="0"/>
              <w:rPr>
                <w:rFonts w:hAnsi="宋体" w:cs="宋体"/>
                <w:snapToGrid w:val="0"/>
                <w:kern w:val="21"/>
                <w:szCs w:val="21"/>
                <w:u w:val="none"/>
              </w:rPr>
            </w:pPr>
          </w:p>
        </w:tc>
        <w:tc>
          <w:tcPr>
            <w:tcW w:w="1701" w:type="dxa"/>
            <w:vAlign w:val="center"/>
          </w:tcPr>
          <w:p w14:paraId="5C05ED3E">
            <w:pPr>
              <w:wordWrap w:val="0"/>
              <w:rPr>
                <w:rFonts w:hAnsi="宋体" w:cs="宋体"/>
                <w:snapToGrid w:val="0"/>
                <w:kern w:val="21"/>
                <w:szCs w:val="21"/>
                <w:u w:val="none"/>
              </w:rPr>
            </w:pPr>
          </w:p>
        </w:tc>
        <w:tc>
          <w:tcPr>
            <w:tcW w:w="1559" w:type="dxa"/>
            <w:vAlign w:val="center"/>
          </w:tcPr>
          <w:p w14:paraId="3CFE7272">
            <w:pPr>
              <w:wordWrap w:val="0"/>
              <w:jc w:val="center"/>
              <w:rPr>
                <w:rFonts w:hAnsi="宋体" w:cs="宋体"/>
                <w:snapToGrid w:val="0"/>
                <w:kern w:val="21"/>
                <w:szCs w:val="21"/>
                <w:u w:val="none"/>
              </w:rPr>
            </w:pPr>
            <w:r>
              <w:rPr>
                <w:rFonts w:hint="eastAsia" w:hAnsi="宋体" w:cs="宋体"/>
                <w:snapToGrid w:val="0"/>
                <w:kern w:val="21"/>
                <w:szCs w:val="21"/>
                <w:u w:val="none"/>
              </w:rPr>
              <w:t>1t/a</w:t>
            </w:r>
          </w:p>
        </w:tc>
        <w:tc>
          <w:tcPr>
            <w:tcW w:w="1761" w:type="dxa"/>
            <w:vAlign w:val="center"/>
          </w:tcPr>
          <w:p w14:paraId="4B382CBF">
            <w:pPr>
              <w:wordWrap w:val="0"/>
              <w:jc w:val="center"/>
              <w:rPr>
                <w:rFonts w:hAnsi="宋体" w:cs="宋体"/>
                <w:snapToGrid w:val="0"/>
                <w:kern w:val="21"/>
                <w:szCs w:val="21"/>
                <w:u w:val="none"/>
              </w:rPr>
            </w:pPr>
          </w:p>
        </w:tc>
        <w:tc>
          <w:tcPr>
            <w:tcW w:w="1959" w:type="dxa"/>
            <w:vAlign w:val="center"/>
          </w:tcPr>
          <w:p w14:paraId="02C0C4B8">
            <w:pPr>
              <w:wordWrap w:val="0"/>
              <w:jc w:val="center"/>
              <w:rPr>
                <w:rFonts w:hAnsi="宋体" w:cs="宋体"/>
                <w:snapToGrid w:val="0"/>
                <w:kern w:val="21"/>
                <w:szCs w:val="21"/>
                <w:u w:val="none"/>
              </w:rPr>
            </w:pPr>
            <w:r>
              <w:rPr>
                <w:rFonts w:hint="eastAsia" w:hAnsi="宋体" w:cs="宋体"/>
                <w:snapToGrid w:val="0"/>
                <w:kern w:val="21"/>
                <w:szCs w:val="21"/>
                <w:u w:val="none"/>
              </w:rPr>
              <w:t>1t/a</w:t>
            </w:r>
          </w:p>
        </w:tc>
        <w:tc>
          <w:tcPr>
            <w:tcW w:w="1194" w:type="dxa"/>
            <w:vAlign w:val="center"/>
          </w:tcPr>
          <w:p w14:paraId="1CCF7494">
            <w:pPr>
              <w:wordWrap w:val="0"/>
              <w:jc w:val="center"/>
              <w:rPr>
                <w:rFonts w:hAnsi="宋体" w:cs="宋体"/>
                <w:snapToGrid w:val="0"/>
                <w:kern w:val="21"/>
                <w:szCs w:val="21"/>
                <w:u w:val="none"/>
              </w:rPr>
            </w:pPr>
            <w:r>
              <w:rPr>
                <w:rFonts w:hint="eastAsia" w:hAnsi="宋体" w:cs="宋体"/>
                <w:snapToGrid w:val="0"/>
                <w:kern w:val="21"/>
                <w:szCs w:val="21"/>
                <w:u w:val="none"/>
              </w:rPr>
              <w:t>+1t/a</w:t>
            </w:r>
          </w:p>
        </w:tc>
      </w:tr>
      <w:tr w14:paraId="741AB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54687961">
            <w:pPr>
              <w:wordWrap w:val="0"/>
              <w:jc w:val="center"/>
              <w:rPr>
                <w:rFonts w:hAnsi="宋体" w:cs="宋体"/>
                <w:snapToGrid w:val="0"/>
                <w:kern w:val="21"/>
                <w:szCs w:val="21"/>
                <w:u w:val="none"/>
              </w:rPr>
            </w:pPr>
          </w:p>
        </w:tc>
        <w:tc>
          <w:tcPr>
            <w:tcW w:w="1417" w:type="dxa"/>
            <w:vAlign w:val="center"/>
          </w:tcPr>
          <w:p w14:paraId="7B48FFA1">
            <w:pPr>
              <w:wordWrap w:val="0"/>
              <w:jc w:val="center"/>
              <w:rPr>
                <w:rFonts w:hAnsi="宋体" w:cs="宋体"/>
                <w:snapToGrid w:val="0"/>
                <w:kern w:val="21"/>
                <w:szCs w:val="21"/>
                <w:u w:val="none"/>
              </w:rPr>
            </w:pPr>
            <w:r>
              <w:rPr>
                <w:rFonts w:hint="eastAsia" w:hAnsi="宋体" w:cs="宋体"/>
                <w:snapToGrid w:val="0"/>
                <w:kern w:val="21"/>
                <w:szCs w:val="21"/>
                <w:u w:val="none"/>
              </w:rPr>
              <w:t>一体化污水处理站污泥</w:t>
            </w:r>
          </w:p>
        </w:tc>
        <w:tc>
          <w:tcPr>
            <w:tcW w:w="1701" w:type="dxa"/>
            <w:vAlign w:val="center"/>
          </w:tcPr>
          <w:p w14:paraId="729AEB2F">
            <w:pPr>
              <w:wordWrap w:val="0"/>
              <w:jc w:val="center"/>
              <w:rPr>
                <w:rFonts w:hAnsi="宋体" w:cs="宋体"/>
                <w:snapToGrid w:val="0"/>
                <w:kern w:val="21"/>
                <w:szCs w:val="21"/>
                <w:u w:val="none"/>
              </w:rPr>
            </w:pPr>
          </w:p>
        </w:tc>
        <w:tc>
          <w:tcPr>
            <w:tcW w:w="1276" w:type="dxa"/>
            <w:vAlign w:val="center"/>
          </w:tcPr>
          <w:p w14:paraId="5DD60999">
            <w:pPr>
              <w:wordWrap w:val="0"/>
              <w:rPr>
                <w:rFonts w:hAnsi="宋体" w:cs="宋体"/>
                <w:snapToGrid w:val="0"/>
                <w:kern w:val="21"/>
                <w:szCs w:val="21"/>
                <w:u w:val="none"/>
              </w:rPr>
            </w:pPr>
          </w:p>
        </w:tc>
        <w:tc>
          <w:tcPr>
            <w:tcW w:w="1701" w:type="dxa"/>
            <w:vAlign w:val="center"/>
          </w:tcPr>
          <w:p w14:paraId="07DEAC42">
            <w:pPr>
              <w:wordWrap w:val="0"/>
              <w:rPr>
                <w:rFonts w:hAnsi="宋体" w:cs="宋体"/>
                <w:snapToGrid w:val="0"/>
                <w:kern w:val="21"/>
                <w:szCs w:val="21"/>
                <w:u w:val="none"/>
              </w:rPr>
            </w:pPr>
          </w:p>
        </w:tc>
        <w:tc>
          <w:tcPr>
            <w:tcW w:w="1559" w:type="dxa"/>
            <w:vAlign w:val="center"/>
          </w:tcPr>
          <w:p w14:paraId="3EEB82B5">
            <w:pPr>
              <w:wordWrap w:val="0"/>
              <w:jc w:val="center"/>
              <w:rPr>
                <w:rFonts w:hAnsi="宋体" w:cs="宋体"/>
                <w:snapToGrid w:val="0"/>
                <w:kern w:val="21"/>
                <w:szCs w:val="21"/>
                <w:u w:val="none"/>
              </w:rPr>
            </w:pPr>
            <w:r>
              <w:rPr>
                <w:rFonts w:hint="eastAsia" w:hAnsi="宋体" w:cs="宋体"/>
                <w:snapToGrid w:val="0"/>
                <w:kern w:val="21"/>
                <w:szCs w:val="21"/>
                <w:u w:val="none"/>
              </w:rPr>
              <w:t>0.021t/a</w:t>
            </w:r>
          </w:p>
        </w:tc>
        <w:tc>
          <w:tcPr>
            <w:tcW w:w="1761" w:type="dxa"/>
            <w:vAlign w:val="center"/>
          </w:tcPr>
          <w:p w14:paraId="0225BFB6">
            <w:pPr>
              <w:wordWrap w:val="0"/>
              <w:jc w:val="center"/>
              <w:rPr>
                <w:rFonts w:hAnsi="宋体" w:cs="宋体"/>
                <w:snapToGrid w:val="0"/>
                <w:kern w:val="21"/>
                <w:szCs w:val="21"/>
                <w:u w:val="none"/>
              </w:rPr>
            </w:pPr>
          </w:p>
        </w:tc>
        <w:tc>
          <w:tcPr>
            <w:tcW w:w="1959" w:type="dxa"/>
            <w:vAlign w:val="center"/>
          </w:tcPr>
          <w:p w14:paraId="4923EC45">
            <w:pPr>
              <w:wordWrap w:val="0"/>
              <w:jc w:val="center"/>
              <w:rPr>
                <w:rFonts w:hAnsi="宋体" w:cs="宋体"/>
                <w:snapToGrid w:val="0"/>
                <w:kern w:val="21"/>
                <w:szCs w:val="21"/>
                <w:u w:val="none"/>
              </w:rPr>
            </w:pPr>
            <w:r>
              <w:rPr>
                <w:rFonts w:hint="eastAsia" w:hAnsi="宋体" w:cs="宋体"/>
                <w:snapToGrid w:val="0"/>
                <w:kern w:val="21"/>
                <w:szCs w:val="21"/>
                <w:u w:val="none"/>
              </w:rPr>
              <w:t>0.021t/a</w:t>
            </w:r>
          </w:p>
        </w:tc>
        <w:tc>
          <w:tcPr>
            <w:tcW w:w="1194" w:type="dxa"/>
            <w:vAlign w:val="center"/>
          </w:tcPr>
          <w:p w14:paraId="20A0AEAF">
            <w:pPr>
              <w:wordWrap w:val="0"/>
              <w:jc w:val="center"/>
              <w:rPr>
                <w:rFonts w:hAnsi="宋体" w:cs="宋体"/>
                <w:snapToGrid w:val="0"/>
                <w:kern w:val="21"/>
                <w:szCs w:val="21"/>
                <w:u w:val="none"/>
              </w:rPr>
            </w:pPr>
            <w:r>
              <w:rPr>
                <w:rFonts w:hint="eastAsia" w:hAnsi="宋体" w:cs="宋体"/>
                <w:snapToGrid w:val="0"/>
                <w:kern w:val="21"/>
                <w:szCs w:val="21"/>
                <w:u w:val="none"/>
              </w:rPr>
              <w:t>+0.021t/a</w:t>
            </w:r>
          </w:p>
        </w:tc>
      </w:tr>
      <w:tr w14:paraId="39A6F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14:paraId="7E860477">
            <w:pPr>
              <w:wordWrap w:val="0"/>
              <w:jc w:val="center"/>
              <w:rPr>
                <w:rFonts w:hAnsi="宋体" w:cs="宋体"/>
                <w:snapToGrid w:val="0"/>
                <w:kern w:val="21"/>
                <w:szCs w:val="21"/>
                <w:u w:val="none"/>
              </w:rPr>
            </w:pPr>
          </w:p>
        </w:tc>
        <w:tc>
          <w:tcPr>
            <w:tcW w:w="1417" w:type="dxa"/>
            <w:vAlign w:val="center"/>
          </w:tcPr>
          <w:p w14:paraId="7AA3BEE5">
            <w:pPr>
              <w:wordWrap w:val="0"/>
              <w:jc w:val="center"/>
              <w:rPr>
                <w:rFonts w:hAnsi="宋体" w:cs="宋体"/>
                <w:snapToGrid w:val="0"/>
                <w:kern w:val="21"/>
                <w:szCs w:val="21"/>
                <w:u w:val="none"/>
              </w:rPr>
            </w:pPr>
            <w:r>
              <w:rPr>
                <w:rFonts w:hint="eastAsia" w:hAnsi="宋体" w:cs="宋体"/>
                <w:snapToGrid w:val="0"/>
                <w:kern w:val="21"/>
                <w:szCs w:val="21"/>
                <w:u w:val="none"/>
              </w:rPr>
              <w:t>化粪池污泥</w:t>
            </w:r>
          </w:p>
        </w:tc>
        <w:tc>
          <w:tcPr>
            <w:tcW w:w="1701" w:type="dxa"/>
            <w:vAlign w:val="center"/>
          </w:tcPr>
          <w:p w14:paraId="79DDEA3F">
            <w:pPr>
              <w:wordWrap w:val="0"/>
              <w:jc w:val="center"/>
              <w:rPr>
                <w:rFonts w:hAnsi="宋体" w:cs="宋体"/>
                <w:snapToGrid w:val="0"/>
                <w:kern w:val="21"/>
                <w:szCs w:val="21"/>
                <w:u w:val="none"/>
              </w:rPr>
            </w:pPr>
          </w:p>
        </w:tc>
        <w:tc>
          <w:tcPr>
            <w:tcW w:w="1276" w:type="dxa"/>
            <w:vAlign w:val="center"/>
          </w:tcPr>
          <w:p w14:paraId="004ECB07">
            <w:pPr>
              <w:wordWrap w:val="0"/>
              <w:rPr>
                <w:rFonts w:hAnsi="宋体" w:cs="宋体"/>
                <w:snapToGrid w:val="0"/>
                <w:kern w:val="21"/>
                <w:szCs w:val="21"/>
                <w:u w:val="none"/>
              </w:rPr>
            </w:pPr>
          </w:p>
        </w:tc>
        <w:tc>
          <w:tcPr>
            <w:tcW w:w="1701" w:type="dxa"/>
            <w:vAlign w:val="center"/>
          </w:tcPr>
          <w:p w14:paraId="5D85354F">
            <w:pPr>
              <w:wordWrap w:val="0"/>
              <w:rPr>
                <w:rFonts w:hAnsi="宋体" w:cs="宋体"/>
                <w:snapToGrid w:val="0"/>
                <w:kern w:val="21"/>
                <w:szCs w:val="21"/>
                <w:u w:val="none"/>
              </w:rPr>
            </w:pPr>
          </w:p>
        </w:tc>
        <w:tc>
          <w:tcPr>
            <w:tcW w:w="1559" w:type="dxa"/>
            <w:shd w:val="clear" w:color="auto" w:fill="auto"/>
            <w:vAlign w:val="center"/>
          </w:tcPr>
          <w:p w14:paraId="3660513E">
            <w:pPr>
              <w:wordWrap w:val="0"/>
              <w:jc w:val="center"/>
              <w:rPr>
                <w:rFonts w:hAnsi="宋体" w:cs="宋体"/>
                <w:snapToGrid w:val="0"/>
                <w:kern w:val="21"/>
                <w:szCs w:val="21"/>
                <w:u w:val="none"/>
              </w:rPr>
            </w:pPr>
            <w:r>
              <w:rPr>
                <w:rFonts w:hint="eastAsia" w:hAnsi="宋体" w:cs="宋体"/>
                <w:snapToGrid w:val="0"/>
                <w:kern w:val="21"/>
                <w:szCs w:val="21"/>
                <w:u w:val="none"/>
              </w:rPr>
              <w:t>1t/a</w:t>
            </w:r>
          </w:p>
        </w:tc>
        <w:tc>
          <w:tcPr>
            <w:tcW w:w="1761" w:type="dxa"/>
            <w:shd w:val="clear" w:color="auto" w:fill="auto"/>
            <w:vAlign w:val="center"/>
          </w:tcPr>
          <w:p w14:paraId="4A42A6CA">
            <w:pPr>
              <w:wordWrap w:val="0"/>
              <w:jc w:val="center"/>
              <w:rPr>
                <w:rFonts w:hAnsi="宋体" w:cs="宋体"/>
                <w:snapToGrid w:val="0"/>
                <w:kern w:val="21"/>
                <w:szCs w:val="21"/>
                <w:u w:val="none"/>
              </w:rPr>
            </w:pPr>
          </w:p>
        </w:tc>
        <w:tc>
          <w:tcPr>
            <w:tcW w:w="1959" w:type="dxa"/>
            <w:shd w:val="clear" w:color="auto" w:fill="auto"/>
            <w:vAlign w:val="center"/>
          </w:tcPr>
          <w:p w14:paraId="1B1938C7">
            <w:pPr>
              <w:wordWrap w:val="0"/>
              <w:jc w:val="center"/>
              <w:rPr>
                <w:rFonts w:hAnsi="宋体" w:cs="宋体"/>
                <w:snapToGrid w:val="0"/>
                <w:kern w:val="21"/>
                <w:szCs w:val="21"/>
                <w:u w:val="none"/>
              </w:rPr>
            </w:pPr>
            <w:r>
              <w:rPr>
                <w:rFonts w:hint="eastAsia" w:hAnsi="宋体" w:cs="宋体"/>
                <w:snapToGrid w:val="0"/>
                <w:kern w:val="21"/>
                <w:szCs w:val="21"/>
                <w:u w:val="none"/>
              </w:rPr>
              <w:t>1t/a</w:t>
            </w:r>
          </w:p>
        </w:tc>
        <w:tc>
          <w:tcPr>
            <w:tcW w:w="1194" w:type="dxa"/>
            <w:shd w:val="clear" w:color="auto" w:fill="auto"/>
            <w:vAlign w:val="center"/>
          </w:tcPr>
          <w:p w14:paraId="0C4DF498">
            <w:pPr>
              <w:wordWrap w:val="0"/>
              <w:jc w:val="center"/>
              <w:rPr>
                <w:rFonts w:hAnsi="宋体" w:cs="宋体"/>
                <w:snapToGrid w:val="0"/>
                <w:kern w:val="21"/>
                <w:szCs w:val="21"/>
                <w:u w:val="none"/>
              </w:rPr>
            </w:pPr>
            <w:r>
              <w:rPr>
                <w:rFonts w:hint="eastAsia" w:hAnsi="宋体" w:cs="宋体"/>
                <w:snapToGrid w:val="0"/>
                <w:kern w:val="21"/>
                <w:szCs w:val="21"/>
                <w:u w:val="none"/>
              </w:rPr>
              <w:t>+1t/a</w:t>
            </w:r>
          </w:p>
        </w:tc>
      </w:tr>
      <w:tr w14:paraId="6D279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Align w:val="center"/>
          </w:tcPr>
          <w:p w14:paraId="6C9777EC">
            <w:pPr>
              <w:wordWrap w:val="0"/>
              <w:jc w:val="center"/>
              <w:rPr>
                <w:rFonts w:hAnsi="宋体" w:cs="宋体"/>
                <w:snapToGrid w:val="0"/>
                <w:kern w:val="21"/>
                <w:szCs w:val="21"/>
                <w:u w:val="none"/>
              </w:rPr>
            </w:pPr>
            <w:r>
              <w:rPr>
                <w:rFonts w:hint="eastAsia" w:hAnsi="宋体" w:cs="宋体"/>
                <w:snapToGrid w:val="0"/>
                <w:kern w:val="21"/>
                <w:szCs w:val="21"/>
                <w:u w:val="none"/>
              </w:rPr>
              <w:t>危险废物</w:t>
            </w:r>
          </w:p>
        </w:tc>
        <w:tc>
          <w:tcPr>
            <w:tcW w:w="1417" w:type="dxa"/>
            <w:vAlign w:val="center"/>
          </w:tcPr>
          <w:p w14:paraId="100164CF">
            <w:pPr>
              <w:wordWrap w:val="0"/>
              <w:jc w:val="center"/>
              <w:rPr>
                <w:rFonts w:hAnsi="宋体" w:cs="宋体"/>
                <w:snapToGrid w:val="0"/>
                <w:kern w:val="21"/>
                <w:szCs w:val="21"/>
                <w:u w:val="none"/>
              </w:rPr>
            </w:pPr>
          </w:p>
        </w:tc>
        <w:tc>
          <w:tcPr>
            <w:tcW w:w="1701" w:type="dxa"/>
            <w:vAlign w:val="center"/>
          </w:tcPr>
          <w:p w14:paraId="1CA1875D">
            <w:pPr>
              <w:wordWrap w:val="0"/>
              <w:jc w:val="center"/>
              <w:rPr>
                <w:rFonts w:hAnsi="宋体" w:cs="宋体"/>
                <w:snapToGrid w:val="0"/>
                <w:kern w:val="21"/>
                <w:szCs w:val="21"/>
                <w:u w:val="none"/>
              </w:rPr>
            </w:pPr>
          </w:p>
        </w:tc>
        <w:tc>
          <w:tcPr>
            <w:tcW w:w="1276" w:type="dxa"/>
            <w:vAlign w:val="center"/>
          </w:tcPr>
          <w:p w14:paraId="4701761A">
            <w:pPr>
              <w:wordWrap w:val="0"/>
              <w:rPr>
                <w:rFonts w:hAnsi="宋体" w:cs="宋体"/>
                <w:snapToGrid w:val="0"/>
                <w:kern w:val="21"/>
                <w:szCs w:val="21"/>
                <w:u w:val="none"/>
              </w:rPr>
            </w:pPr>
          </w:p>
        </w:tc>
        <w:tc>
          <w:tcPr>
            <w:tcW w:w="1701" w:type="dxa"/>
            <w:vAlign w:val="center"/>
          </w:tcPr>
          <w:p w14:paraId="77086660">
            <w:pPr>
              <w:wordWrap w:val="0"/>
              <w:rPr>
                <w:rFonts w:hAnsi="宋体" w:cs="宋体"/>
                <w:snapToGrid w:val="0"/>
                <w:kern w:val="21"/>
                <w:szCs w:val="21"/>
                <w:u w:val="none"/>
              </w:rPr>
            </w:pPr>
          </w:p>
        </w:tc>
        <w:tc>
          <w:tcPr>
            <w:tcW w:w="1559" w:type="dxa"/>
            <w:vAlign w:val="center"/>
          </w:tcPr>
          <w:p w14:paraId="373DFFBA">
            <w:pPr>
              <w:wordWrap w:val="0"/>
              <w:jc w:val="center"/>
              <w:rPr>
                <w:rFonts w:hAnsi="宋体" w:cs="宋体"/>
                <w:snapToGrid w:val="0"/>
                <w:kern w:val="21"/>
                <w:szCs w:val="21"/>
                <w:u w:val="none"/>
              </w:rPr>
            </w:pPr>
          </w:p>
        </w:tc>
        <w:tc>
          <w:tcPr>
            <w:tcW w:w="1761" w:type="dxa"/>
            <w:vAlign w:val="center"/>
          </w:tcPr>
          <w:p w14:paraId="38042CDC">
            <w:pPr>
              <w:wordWrap w:val="0"/>
              <w:jc w:val="center"/>
              <w:rPr>
                <w:rFonts w:hAnsi="宋体" w:cs="宋体"/>
                <w:snapToGrid w:val="0"/>
                <w:kern w:val="21"/>
                <w:szCs w:val="21"/>
                <w:u w:val="none"/>
              </w:rPr>
            </w:pPr>
          </w:p>
        </w:tc>
        <w:tc>
          <w:tcPr>
            <w:tcW w:w="1959" w:type="dxa"/>
            <w:vAlign w:val="center"/>
          </w:tcPr>
          <w:p w14:paraId="2B0C4CC1">
            <w:pPr>
              <w:wordWrap w:val="0"/>
              <w:jc w:val="center"/>
              <w:rPr>
                <w:rFonts w:hAnsi="宋体" w:cs="宋体"/>
                <w:snapToGrid w:val="0"/>
                <w:kern w:val="21"/>
                <w:szCs w:val="21"/>
                <w:u w:val="none"/>
              </w:rPr>
            </w:pPr>
          </w:p>
        </w:tc>
        <w:tc>
          <w:tcPr>
            <w:tcW w:w="1194" w:type="dxa"/>
            <w:vAlign w:val="center"/>
          </w:tcPr>
          <w:p w14:paraId="42596A3B">
            <w:pPr>
              <w:wordWrap w:val="0"/>
              <w:jc w:val="center"/>
              <w:rPr>
                <w:rFonts w:hAnsi="宋体" w:cs="宋体"/>
                <w:snapToGrid w:val="0"/>
                <w:kern w:val="21"/>
                <w:szCs w:val="21"/>
                <w:u w:val="none"/>
              </w:rPr>
            </w:pPr>
          </w:p>
        </w:tc>
      </w:tr>
    </w:tbl>
    <w:p w14:paraId="1AB9645A">
      <w:pPr>
        <w:wordWrap w:val="0"/>
        <w:spacing w:before="192" w:beforeLines="80" w:after="24"/>
        <w:jc w:val="left"/>
        <w:rPr>
          <w:rFonts w:ascii="宋体" w:hAnsi="宋体" w:eastAsia="黑体"/>
          <w:u w:val="none"/>
        </w:rPr>
      </w:pPr>
      <w:r>
        <w:rPr>
          <w:rFonts w:hAnsi="宋体"/>
          <w:snapToGrid w:val="0"/>
          <w:kern w:val="21"/>
          <w:szCs w:val="21"/>
          <w:u w:val="none"/>
        </w:rPr>
        <w:t>注：</w:t>
      </w:r>
      <w:r>
        <w:rPr>
          <w:rFonts w:hAnsi="宋体"/>
          <w:snapToGrid w:val="0"/>
          <w:spacing w:val="-16"/>
          <w:kern w:val="21"/>
          <w:szCs w:val="21"/>
          <w:u w:val="none"/>
        </w:rPr>
        <w:fldChar w:fldCharType="begin"/>
      </w:r>
      <w:r>
        <w:rPr>
          <w:rFonts w:hAnsi="宋体"/>
          <w:snapToGrid w:val="0"/>
          <w:spacing w:val="-16"/>
          <w:kern w:val="21"/>
          <w:szCs w:val="21"/>
          <w:u w:val="none"/>
        </w:rPr>
        <w:instrText xml:space="preserve"> = 6 \* GB3 \* MERGEFORMAT </w:instrText>
      </w:r>
      <w:r>
        <w:rPr>
          <w:rFonts w:hAnsi="宋体"/>
          <w:snapToGrid w:val="0"/>
          <w:spacing w:val="-16"/>
          <w:kern w:val="21"/>
          <w:szCs w:val="21"/>
          <w:u w:val="none"/>
        </w:rPr>
        <w:fldChar w:fldCharType="separate"/>
      </w:r>
      <w:r>
        <w:rPr>
          <w:rFonts w:hint="eastAsia" w:hAnsi="宋体"/>
          <w:szCs w:val="21"/>
          <w:u w:val="none"/>
        </w:rPr>
        <w:t>⑥</w:t>
      </w:r>
      <w:r>
        <w:rPr>
          <w:rFonts w:hAnsi="宋体"/>
          <w:snapToGrid w:val="0"/>
          <w:spacing w:val="-16"/>
          <w:kern w:val="21"/>
          <w:szCs w:val="21"/>
          <w:u w:val="none"/>
        </w:rPr>
        <w:fldChar w:fldCharType="end"/>
      </w:r>
      <w:r>
        <w:rPr>
          <w:rFonts w:hAnsi="宋体"/>
          <w:snapToGrid w:val="0"/>
          <w:spacing w:val="-16"/>
          <w:kern w:val="21"/>
          <w:szCs w:val="21"/>
          <w:u w:val="none"/>
        </w:rPr>
        <w:t>=</w:t>
      </w:r>
      <w:r>
        <w:rPr>
          <w:rFonts w:hAnsi="宋体"/>
          <w:snapToGrid w:val="0"/>
          <w:spacing w:val="-6"/>
          <w:kern w:val="21"/>
          <w:szCs w:val="21"/>
          <w:u w:val="none"/>
        </w:rPr>
        <w:fldChar w:fldCharType="begin"/>
      </w:r>
      <w:r>
        <w:rPr>
          <w:rFonts w:hAnsi="宋体"/>
          <w:snapToGrid w:val="0"/>
          <w:spacing w:val="-6"/>
          <w:kern w:val="21"/>
          <w:szCs w:val="21"/>
          <w:u w:val="none"/>
        </w:rPr>
        <w:instrText xml:space="preserve"> = 1 \* GB3 \* MERGEFORMAT </w:instrText>
      </w:r>
      <w:r>
        <w:rPr>
          <w:rFonts w:hAnsi="宋体"/>
          <w:snapToGrid w:val="0"/>
          <w:spacing w:val="-6"/>
          <w:kern w:val="21"/>
          <w:szCs w:val="21"/>
          <w:u w:val="none"/>
        </w:rPr>
        <w:fldChar w:fldCharType="separate"/>
      </w:r>
      <w:r>
        <w:rPr>
          <w:rFonts w:hint="eastAsia" w:hAnsi="宋体"/>
          <w:szCs w:val="21"/>
          <w:u w:val="none"/>
        </w:rPr>
        <w:t>①</w:t>
      </w:r>
      <w:r>
        <w:rPr>
          <w:rFonts w:hAnsi="宋体"/>
          <w:snapToGrid w:val="0"/>
          <w:spacing w:val="-6"/>
          <w:kern w:val="21"/>
          <w:szCs w:val="21"/>
          <w:u w:val="none"/>
        </w:rPr>
        <w:fldChar w:fldCharType="end"/>
      </w:r>
      <w:r>
        <w:rPr>
          <w:rFonts w:hAnsi="宋体"/>
          <w:snapToGrid w:val="0"/>
          <w:spacing w:val="-6"/>
          <w:kern w:val="21"/>
          <w:szCs w:val="21"/>
          <w:u w:val="none"/>
        </w:rPr>
        <w:t>+</w:t>
      </w:r>
      <w:r>
        <w:rPr>
          <w:rFonts w:hAnsi="宋体"/>
          <w:snapToGrid w:val="0"/>
          <w:spacing w:val="-6"/>
          <w:kern w:val="21"/>
          <w:szCs w:val="21"/>
          <w:u w:val="none"/>
        </w:rPr>
        <w:fldChar w:fldCharType="begin"/>
      </w:r>
      <w:r>
        <w:rPr>
          <w:rFonts w:hAnsi="宋体"/>
          <w:snapToGrid w:val="0"/>
          <w:spacing w:val="-6"/>
          <w:kern w:val="21"/>
          <w:szCs w:val="21"/>
          <w:u w:val="none"/>
        </w:rPr>
        <w:instrText xml:space="preserve"> = 3 \* GB3 \* MERGEFORMAT </w:instrText>
      </w:r>
      <w:r>
        <w:rPr>
          <w:rFonts w:hAnsi="宋体"/>
          <w:snapToGrid w:val="0"/>
          <w:spacing w:val="-6"/>
          <w:kern w:val="21"/>
          <w:szCs w:val="21"/>
          <w:u w:val="none"/>
        </w:rPr>
        <w:fldChar w:fldCharType="separate"/>
      </w:r>
      <w:r>
        <w:rPr>
          <w:rFonts w:hint="eastAsia" w:hAnsi="宋体"/>
          <w:szCs w:val="21"/>
          <w:u w:val="none"/>
        </w:rPr>
        <w:t>③</w:t>
      </w:r>
      <w:r>
        <w:rPr>
          <w:rFonts w:hAnsi="宋体"/>
          <w:snapToGrid w:val="0"/>
          <w:spacing w:val="-6"/>
          <w:kern w:val="21"/>
          <w:szCs w:val="21"/>
          <w:u w:val="none"/>
        </w:rPr>
        <w:fldChar w:fldCharType="end"/>
      </w:r>
      <w:r>
        <w:rPr>
          <w:rFonts w:hAnsi="宋体"/>
          <w:snapToGrid w:val="0"/>
          <w:spacing w:val="-6"/>
          <w:kern w:val="21"/>
          <w:szCs w:val="21"/>
          <w:u w:val="none"/>
        </w:rPr>
        <w:t>+</w:t>
      </w:r>
      <w:r>
        <w:rPr>
          <w:rFonts w:hAnsi="宋体"/>
          <w:snapToGrid w:val="0"/>
          <w:spacing w:val="-6"/>
          <w:kern w:val="21"/>
          <w:szCs w:val="21"/>
          <w:u w:val="none"/>
        </w:rPr>
        <w:fldChar w:fldCharType="begin"/>
      </w:r>
      <w:r>
        <w:rPr>
          <w:rFonts w:hAnsi="宋体"/>
          <w:snapToGrid w:val="0"/>
          <w:spacing w:val="-6"/>
          <w:kern w:val="21"/>
          <w:szCs w:val="21"/>
          <w:u w:val="none"/>
        </w:rPr>
        <w:instrText xml:space="preserve"> = 4 \* GB3 \* MERGEFORMAT </w:instrText>
      </w:r>
      <w:r>
        <w:rPr>
          <w:rFonts w:hAnsi="宋体"/>
          <w:snapToGrid w:val="0"/>
          <w:spacing w:val="-6"/>
          <w:kern w:val="21"/>
          <w:szCs w:val="21"/>
          <w:u w:val="none"/>
        </w:rPr>
        <w:fldChar w:fldCharType="separate"/>
      </w:r>
      <w:r>
        <w:rPr>
          <w:rFonts w:hint="eastAsia" w:hAnsi="宋体"/>
          <w:szCs w:val="21"/>
          <w:u w:val="none"/>
        </w:rPr>
        <w:t>④</w:t>
      </w:r>
      <w:r>
        <w:rPr>
          <w:rFonts w:hAnsi="宋体"/>
          <w:snapToGrid w:val="0"/>
          <w:spacing w:val="-6"/>
          <w:kern w:val="21"/>
          <w:szCs w:val="21"/>
          <w:u w:val="none"/>
        </w:rPr>
        <w:fldChar w:fldCharType="end"/>
      </w:r>
      <w:r>
        <w:rPr>
          <w:rFonts w:hAnsi="宋体"/>
          <w:snapToGrid w:val="0"/>
          <w:spacing w:val="-6"/>
          <w:kern w:val="21"/>
          <w:szCs w:val="21"/>
          <w:u w:val="none"/>
        </w:rPr>
        <w:t>-</w:t>
      </w:r>
      <w:r>
        <w:rPr>
          <w:rFonts w:hAnsi="宋体"/>
          <w:snapToGrid w:val="0"/>
          <w:spacing w:val="-16"/>
          <w:kern w:val="21"/>
          <w:szCs w:val="21"/>
          <w:u w:val="none"/>
        </w:rPr>
        <w:fldChar w:fldCharType="begin"/>
      </w:r>
      <w:r>
        <w:rPr>
          <w:rFonts w:hAnsi="宋体"/>
          <w:snapToGrid w:val="0"/>
          <w:spacing w:val="-16"/>
          <w:kern w:val="21"/>
          <w:szCs w:val="21"/>
          <w:u w:val="none"/>
        </w:rPr>
        <w:instrText xml:space="preserve"> = 5 \* GB3 \* MERGEFORMAT </w:instrText>
      </w:r>
      <w:r>
        <w:rPr>
          <w:rFonts w:hAnsi="宋体"/>
          <w:snapToGrid w:val="0"/>
          <w:spacing w:val="-16"/>
          <w:kern w:val="21"/>
          <w:szCs w:val="21"/>
          <w:u w:val="none"/>
        </w:rPr>
        <w:fldChar w:fldCharType="separate"/>
      </w:r>
      <w:r>
        <w:rPr>
          <w:rFonts w:hint="eastAsia" w:hAnsi="宋体"/>
          <w:szCs w:val="21"/>
          <w:u w:val="none"/>
        </w:rPr>
        <w:t>⑤</w:t>
      </w:r>
      <w:r>
        <w:rPr>
          <w:rFonts w:hAnsi="宋体"/>
          <w:snapToGrid w:val="0"/>
          <w:spacing w:val="-16"/>
          <w:kern w:val="21"/>
          <w:szCs w:val="21"/>
          <w:u w:val="none"/>
        </w:rPr>
        <w:fldChar w:fldCharType="end"/>
      </w:r>
      <w:r>
        <w:rPr>
          <w:rFonts w:hAnsi="宋体"/>
          <w:snapToGrid w:val="0"/>
          <w:spacing w:val="-16"/>
          <w:kern w:val="21"/>
          <w:szCs w:val="21"/>
          <w:u w:val="none"/>
        </w:rPr>
        <w:t>；</w:t>
      </w:r>
      <w:r>
        <w:rPr>
          <w:rFonts w:hAnsi="宋体"/>
          <w:snapToGrid w:val="0"/>
          <w:spacing w:val="-6"/>
          <w:kern w:val="21"/>
          <w:szCs w:val="21"/>
          <w:u w:val="none"/>
        </w:rPr>
        <w:fldChar w:fldCharType="begin"/>
      </w:r>
      <w:r>
        <w:rPr>
          <w:rFonts w:hAnsi="宋体"/>
          <w:snapToGrid w:val="0"/>
          <w:spacing w:val="-6"/>
          <w:kern w:val="21"/>
          <w:szCs w:val="21"/>
          <w:u w:val="none"/>
        </w:rPr>
        <w:instrText xml:space="preserve"> = 7 \* GB3 \* MERGEFORMAT </w:instrText>
      </w:r>
      <w:r>
        <w:rPr>
          <w:rFonts w:hAnsi="宋体"/>
          <w:snapToGrid w:val="0"/>
          <w:spacing w:val="-6"/>
          <w:kern w:val="21"/>
          <w:szCs w:val="21"/>
          <w:u w:val="none"/>
        </w:rPr>
        <w:fldChar w:fldCharType="separate"/>
      </w:r>
      <w:r>
        <w:rPr>
          <w:rFonts w:hint="eastAsia" w:hAnsi="宋体"/>
          <w:szCs w:val="21"/>
          <w:u w:val="none"/>
        </w:rPr>
        <w:t>⑦</w:t>
      </w:r>
      <w:r>
        <w:rPr>
          <w:rFonts w:hAnsi="宋体"/>
          <w:snapToGrid w:val="0"/>
          <w:spacing w:val="-6"/>
          <w:kern w:val="21"/>
          <w:szCs w:val="21"/>
          <w:u w:val="none"/>
        </w:rPr>
        <w:fldChar w:fldCharType="end"/>
      </w:r>
      <w:r>
        <w:rPr>
          <w:rFonts w:hAnsi="宋体"/>
          <w:snapToGrid w:val="0"/>
          <w:spacing w:val="-6"/>
          <w:kern w:val="21"/>
          <w:szCs w:val="21"/>
          <w:u w:val="none"/>
        </w:rPr>
        <w:t>=</w:t>
      </w:r>
      <w:r>
        <w:rPr>
          <w:rFonts w:hAnsi="宋体"/>
          <w:snapToGrid w:val="0"/>
          <w:spacing w:val="-16"/>
          <w:kern w:val="21"/>
          <w:szCs w:val="21"/>
          <w:u w:val="none"/>
        </w:rPr>
        <w:fldChar w:fldCharType="begin"/>
      </w:r>
      <w:r>
        <w:rPr>
          <w:rFonts w:hAnsi="宋体"/>
          <w:snapToGrid w:val="0"/>
          <w:spacing w:val="-16"/>
          <w:kern w:val="21"/>
          <w:szCs w:val="21"/>
          <w:u w:val="none"/>
        </w:rPr>
        <w:instrText xml:space="preserve"> = 6 \* GB3 \* MERGEFORMAT </w:instrText>
      </w:r>
      <w:r>
        <w:rPr>
          <w:rFonts w:hAnsi="宋体"/>
          <w:snapToGrid w:val="0"/>
          <w:spacing w:val="-16"/>
          <w:kern w:val="21"/>
          <w:szCs w:val="21"/>
          <w:u w:val="none"/>
        </w:rPr>
        <w:fldChar w:fldCharType="separate"/>
      </w:r>
      <w:r>
        <w:rPr>
          <w:rFonts w:hint="eastAsia" w:hAnsi="宋体"/>
          <w:szCs w:val="21"/>
          <w:u w:val="none"/>
        </w:rPr>
        <w:t>⑥</w:t>
      </w:r>
      <w:r>
        <w:rPr>
          <w:rFonts w:hAnsi="宋体"/>
          <w:snapToGrid w:val="0"/>
          <w:spacing w:val="-16"/>
          <w:kern w:val="21"/>
          <w:szCs w:val="21"/>
          <w:u w:val="none"/>
        </w:rPr>
        <w:fldChar w:fldCharType="end"/>
      </w:r>
      <w:r>
        <w:rPr>
          <w:rFonts w:hAnsi="宋体"/>
          <w:snapToGrid w:val="0"/>
          <w:spacing w:val="-16"/>
          <w:kern w:val="21"/>
          <w:szCs w:val="21"/>
          <w:u w:val="none"/>
        </w:rPr>
        <w:t>-</w:t>
      </w:r>
      <w:r>
        <w:rPr>
          <w:rFonts w:hAnsi="宋体"/>
          <w:snapToGrid w:val="0"/>
          <w:spacing w:val="-6"/>
          <w:kern w:val="21"/>
          <w:szCs w:val="21"/>
          <w:u w:val="none"/>
        </w:rPr>
        <w:fldChar w:fldCharType="begin"/>
      </w:r>
      <w:r>
        <w:rPr>
          <w:rFonts w:hAnsi="宋体"/>
          <w:snapToGrid w:val="0"/>
          <w:spacing w:val="-6"/>
          <w:kern w:val="21"/>
          <w:szCs w:val="21"/>
          <w:u w:val="none"/>
        </w:rPr>
        <w:instrText xml:space="preserve"> = 1 \* GB3 \* MERGEFORMAT </w:instrText>
      </w:r>
      <w:r>
        <w:rPr>
          <w:rFonts w:hAnsi="宋体"/>
          <w:snapToGrid w:val="0"/>
          <w:spacing w:val="-6"/>
          <w:kern w:val="21"/>
          <w:szCs w:val="21"/>
          <w:u w:val="none"/>
        </w:rPr>
        <w:fldChar w:fldCharType="separate"/>
      </w:r>
      <w:r>
        <w:rPr>
          <w:rFonts w:hint="eastAsia" w:hAnsi="宋体"/>
          <w:szCs w:val="21"/>
          <w:u w:val="none"/>
        </w:rPr>
        <w:t>①</w:t>
      </w:r>
      <w:r>
        <w:rPr>
          <w:rFonts w:hAnsi="宋体"/>
          <w:snapToGrid w:val="0"/>
          <w:spacing w:val="-6"/>
          <w:kern w:val="21"/>
          <w:szCs w:val="21"/>
          <w:u w:val="none"/>
        </w:rPr>
        <w:fldChar w:fldCharType="end"/>
      </w:r>
    </w:p>
    <w:p w14:paraId="47AE90F1">
      <w:pPr>
        <w:rPr>
          <w:u w:val="none"/>
        </w:rPr>
      </w:pPr>
    </w:p>
    <w:sectPr>
      <w:footerReference r:id="rId6" w:type="default"/>
      <w:pgSz w:w="16838" w:h="11906" w:orient="landscape"/>
      <w:pgMar w:top="1531" w:right="1701" w:bottom="1531" w:left="1701"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书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A862">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8E065">
    <w:pPr>
      <w:pStyle w:val="23"/>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F8E24">
                          <w:pPr>
                            <w:pStyle w:val="23"/>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pT1vjXAQAAsgMAAA4AAAAAAAAAAQAgAAAA&#10;HgEAAGRycy9lMm9Eb2MueG1sUEsFBgAAAAAGAAYAWQEAAGcFAAAAAA==&#10;">
              <v:fill on="f" focussize="0,0"/>
              <v:stroke on="f"/>
              <v:imagedata o:title=""/>
              <o:lock v:ext="edit" aspectratio="f"/>
              <v:textbox inset="0mm,0mm,0mm,0mm" style="mso-fit-shape-to-text:t;">
                <w:txbxContent>
                  <w:p w14:paraId="0C1F8E24">
                    <w:pPr>
                      <w:pStyle w:val="23"/>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3BF3F">
    <w:pPr>
      <w:pStyle w:val="23"/>
      <w:framePr w:wrap="around" w:vAnchor="text" w:hAnchor="margin" w:xAlign="outside" w:y="1"/>
      <w:rPr>
        <w:rStyle w:val="40"/>
        <w:rFonts w:ascii="宋体" w:hAnsi="宋体"/>
        <w:sz w:val="28"/>
        <w:szCs w:val="28"/>
      </w:rPr>
    </w:pPr>
    <w:r>
      <w:rPr>
        <w:rStyle w:val="40"/>
        <w:rFonts w:hint="eastAsia" w:ascii="宋体" w:hAnsi="宋体"/>
        <w:sz w:val="28"/>
        <w:szCs w:val="28"/>
      </w:rPr>
      <w:t>—</w:t>
    </w:r>
    <w:r>
      <w:rPr>
        <w:rStyle w:val="40"/>
        <w:rFonts w:hint="eastAsia" w:ascii="宋体" w:hAnsi="宋体"/>
        <w:sz w:val="20"/>
      </w:rPr>
      <w:t xml:space="preserve">  </w:t>
    </w:r>
    <w:r>
      <w:rPr>
        <w:rFonts w:ascii="宋体" w:hAnsi="宋体"/>
        <w:sz w:val="26"/>
        <w:szCs w:val="26"/>
      </w:rPr>
      <w:fldChar w:fldCharType="begin"/>
    </w:r>
    <w:r>
      <w:rPr>
        <w:rStyle w:val="40"/>
        <w:rFonts w:ascii="宋体" w:hAnsi="宋体"/>
        <w:sz w:val="26"/>
        <w:szCs w:val="26"/>
      </w:rPr>
      <w:instrText xml:space="preserve">PAGE  </w:instrText>
    </w:r>
    <w:r>
      <w:rPr>
        <w:rFonts w:ascii="宋体" w:hAnsi="宋体"/>
        <w:sz w:val="26"/>
        <w:szCs w:val="26"/>
      </w:rPr>
      <w:fldChar w:fldCharType="separate"/>
    </w:r>
    <w:r>
      <w:rPr>
        <w:rStyle w:val="40"/>
        <w:rFonts w:ascii="宋体" w:hAnsi="宋体"/>
        <w:sz w:val="26"/>
        <w:szCs w:val="26"/>
      </w:rPr>
      <w:t>1</w:t>
    </w:r>
    <w:r>
      <w:rPr>
        <w:rFonts w:ascii="宋体" w:hAnsi="宋体"/>
        <w:sz w:val="26"/>
        <w:szCs w:val="26"/>
      </w:rPr>
      <w:fldChar w:fldCharType="end"/>
    </w:r>
    <w:r>
      <w:rPr>
        <w:rStyle w:val="40"/>
        <w:rFonts w:hint="eastAsia" w:ascii="宋体" w:hAnsi="宋体"/>
        <w:sz w:val="20"/>
      </w:rPr>
      <w:t xml:space="preserve">  </w:t>
    </w:r>
    <w:r>
      <w:rPr>
        <w:rStyle w:val="40"/>
        <w:rFonts w:hint="eastAsia" w:ascii="宋体" w:hAnsi="宋体"/>
        <w:sz w:val="28"/>
        <w:szCs w:val="28"/>
      </w:rPr>
      <w:t>—</w:t>
    </w:r>
  </w:p>
  <w:p w14:paraId="789B3B45">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71AC">
    <w:pPr>
      <w:pStyle w:val="23"/>
      <w:framePr w:wrap="around" w:vAnchor="text" w:hAnchor="margin" w:xAlign="outside" w:y="1"/>
      <w:rPr>
        <w:rStyle w:val="40"/>
        <w:rFonts w:ascii="宋体" w:hAnsi="宋体"/>
        <w:sz w:val="28"/>
        <w:szCs w:val="28"/>
      </w:rPr>
    </w:pPr>
    <w:r>
      <w:rPr>
        <w:rStyle w:val="40"/>
        <w:rFonts w:hint="eastAsia" w:ascii="宋体" w:hAnsi="宋体"/>
        <w:sz w:val="28"/>
        <w:szCs w:val="28"/>
      </w:rPr>
      <w:t>—</w:t>
    </w:r>
    <w:r>
      <w:rPr>
        <w:rStyle w:val="40"/>
        <w:rFonts w:hint="eastAsia" w:ascii="宋体" w:hAnsi="宋体"/>
        <w:sz w:val="20"/>
      </w:rPr>
      <w:t xml:space="preserve">  </w:t>
    </w:r>
    <w:r>
      <w:rPr>
        <w:rFonts w:ascii="宋体" w:hAnsi="宋体"/>
        <w:sz w:val="26"/>
        <w:szCs w:val="26"/>
      </w:rPr>
      <w:fldChar w:fldCharType="begin"/>
    </w:r>
    <w:r>
      <w:rPr>
        <w:rStyle w:val="40"/>
        <w:rFonts w:ascii="宋体" w:hAnsi="宋体"/>
        <w:sz w:val="26"/>
        <w:szCs w:val="26"/>
      </w:rPr>
      <w:instrText xml:space="preserve">PAGE  </w:instrText>
    </w:r>
    <w:r>
      <w:rPr>
        <w:rFonts w:ascii="宋体" w:hAnsi="宋体"/>
        <w:sz w:val="26"/>
        <w:szCs w:val="26"/>
      </w:rPr>
      <w:fldChar w:fldCharType="separate"/>
    </w:r>
    <w:r>
      <w:rPr>
        <w:rStyle w:val="40"/>
        <w:rFonts w:ascii="宋体" w:hAnsi="宋体"/>
        <w:sz w:val="26"/>
        <w:szCs w:val="26"/>
      </w:rPr>
      <w:t>66</w:t>
    </w:r>
    <w:r>
      <w:rPr>
        <w:rFonts w:ascii="宋体" w:hAnsi="宋体"/>
        <w:sz w:val="26"/>
        <w:szCs w:val="26"/>
      </w:rPr>
      <w:fldChar w:fldCharType="end"/>
    </w:r>
    <w:r>
      <w:rPr>
        <w:rStyle w:val="40"/>
        <w:rFonts w:hint="eastAsia" w:ascii="宋体" w:hAnsi="宋体"/>
        <w:sz w:val="20"/>
      </w:rPr>
      <w:t xml:space="preserve">  </w:t>
    </w:r>
    <w:r>
      <w:rPr>
        <w:rStyle w:val="40"/>
        <w:rFonts w:hint="eastAsia" w:ascii="宋体" w:hAnsi="宋体"/>
        <w:sz w:val="28"/>
        <w:szCs w:val="28"/>
      </w:rPr>
      <w:t>—</w:t>
    </w:r>
  </w:p>
  <w:p w14:paraId="0167DA97">
    <w:pPr>
      <w:pStyle w:val="2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A925E"/>
    <w:multiLevelType w:val="singleLevel"/>
    <w:tmpl w:val="896A925E"/>
    <w:lvl w:ilvl="0" w:tentative="0">
      <w:start w:val="1"/>
      <w:numFmt w:val="decimalEnclosedCircleChinese"/>
      <w:suff w:val="nothing"/>
      <w:lvlText w:val="%1　"/>
      <w:lvlJc w:val="left"/>
      <w:pPr>
        <w:ind w:left="0" w:firstLine="400"/>
      </w:pPr>
      <w:rPr>
        <w:rFonts w:hint="eastAsia"/>
      </w:rPr>
    </w:lvl>
  </w:abstractNum>
  <w:abstractNum w:abstractNumId="1">
    <w:nsid w:val="B7E0C9F4"/>
    <w:multiLevelType w:val="singleLevel"/>
    <w:tmpl w:val="B7E0C9F4"/>
    <w:lvl w:ilvl="0" w:tentative="0">
      <w:start w:val="1"/>
      <w:numFmt w:val="decimalEnclosedCircleChinese"/>
      <w:suff w:val="nothing"/>
      <w:lvlText w:val="%1　"/>
      <w:lvlJc w:val="left"/>
      <w:pPr>
        <w:ind w:left="0" w:firstLine="400"/>
      </w:pPr>
      <w:rPr>
        <w:rFonts w:hint="eastAsia"/>
      </w:rPr>
    </w:lvl>
  </w:abstractNum>
  <w:abstractNum w:abstractNumId="2">
    <w:nsid w:val="BD428E25"/>
    <w:multiLevelType w:val="singleLevel"/>
    <w:tmpl w:val="BD428E25"/>
    <w:lvl w:ilvl="0" w:tentative="0">
      <w:start w:val="1"/>
      <w:numFmt w:val="decimalEnclosedCircleChinese"/>
      <w:suff w:val="nothing"/>
      <w:lvlText w:val="%1　"/>
      <w:lvlJc w:val="left"/>
      <w:pPr>
        <w:ind w:left="0" w:firstLine="400"/>
      </w:pPr>
      <w:rPr>
        <w:rFonts w:hint="eastAsia"/>
      </w:rPr>
    </w:lvl>
  </w:abstractNum>
  <w:abstractNum w:abstractNumId="3">
    <w:nsid w:val="E973C972"/>
    <w:multiLevelType w:val="singleLevel"/>
    <w:tmpl w:val="E973C972"/>
    <w:lvl w:ilvl="0" w:tentative="0">
      <w:start w:val="1"/>
      <w:numFmt w:val="decimalEnclosedCircleChinese"/>
      <w:suff w:val="nothing"/>
      <w:lvlText w:val="%1　"/>
      <w:lvlJc w:val="left"/>
      <w:pPr>
        <w:ind w:left="0" w:firstLine="400"/>
      </w:pPr>
      <w:rPr>
        <w:rFonts w:hint="eastAsia"/>
      </w:rPr>
    </w:lvl>
  </w:abstractNum>
  <w:abstractNum w:abstractNumId="4">
    <w:nsid w:val="0791717C"/>
    <w:multiLevelType w:val="singleLevel"/>
    <w:tmpl w:val="0791717C"/>
    <w:lvl w:ilvl="0" w:tentative="0">
      <w:start w:val="3"/>
      <w:numFmt w:val="decimal"/>
      <w:suff w:val="nothing"/>
      <w:lvlText w:val="%1、"/>
      <w:lvlJc w:val="left"/>
    </w:lvl>
  </w:abstractNum>
  <w:abstractNum w:abstractNumId="5">
    <w:nsid w:val="0DA200AE"/>
    <w:multiLevelType w:val="singleLevel"/>
    <w:tmpl w:val="0DA200AE"/>
    <w:lvl w:ilvl="0" w:tentative="0">
      <w:start w:val="1"/>
      <w:numFmt w:val="decimalEnclosedCircleChinese"/>
      <w:suff w:val="nothing"/>
      <w:lvlText w:val="%1　"/>
      <w:lvlJc w:val="left"/>
      <w:pPr>
        <w:ind w:left="0" w:firstLine="400"/>
      </w:pPr>
      <w:rPr>
        <w:rFonts w:hint="eastAsia"/>
      </w:rPr>
    </w:lvl>
  </w:abstractNum>
  <w:abstractNum w:abstractNumId="6">
    <w:nsid w:val="2405288C"/>
    <w:multiLevelType w:val="singleLevel"/>
    <w:tmpl w:val="2405288C"/>
    <w:lvl w:ilvl="0" w:tentative="0">
      <w:start w:val="1"/>
      <w:numFmt w:val="decimal"/>
      <w:suff w:val="nothing"/>
      <w:lvlText w:val="（%1）"/>
      <w:lvlJc w:val="left"/>
      <w:rPr>
        <w:rFonts w:hint="default"/>
        <w:sz w:val="24"/>
        <w:szCs w:val="24"/>
      </w:rPr>
    </w:lvl>
  </w:abstractNum>
  <w:abstractNum w:abstractNumId="7">
    <w:nsid w:val="3A06DBDC"/>
    <w:multiLevelType w:val="singleLevel"/>
    <w:tmpl w:val="3A06DBDC"/>
    <w:lvl w:ilvl="0" w:tentative="0">
      <w:start w:val="1"/>
      <w:numFmt w:val="decimal"/>
      <w:suff w:val="nothing"/>
      <w:lvlText w:val="%1、"/>
      <w:lvlJc w:val="left"/>
      <w:pPr>
        <w:ind w:left="-62"/>
      </w:pPr>
    </w:lvl>
  </w:abstractNum>
  <w:abstractNum w:abstractNumId="8">
    <w:nsid w:val="44DDB61A"/>
    <w:multiLevelType w:val="singleLevel"/>
    <w:tmpl w:val="44DDB61A"/>
    <w:lvl w:ilvl="0" w:tentative="0">
      <w:start w:val="1"/>
      <w:numFmt w:val="decimalEnclosedCircleChinese"/>
      <w:suff w:val="nothing"/>
      <w:lvlText w:val="%1　"/>
      <w:lvlJc w:val="left"/>
      <w:pPr>
        <w:ind w:left="0" w:firstLine="400"/>
      </w:pPr>
      <w:rPr>
        <w:rFonts w:hint="eastAsia"/>
      </w:rPr>
    </w:lvl>
  </w:abstractNum>
  <w:abstractNum w:abstractNumId="9">
    <w:nsid w:val="60ED8E52"/>
    <w:multiLevelType w:val="singleLevel"/>
    <w:tmpl w:val="60ED8E52"/>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10">
    <w:nsid w:val="65878AA0"/>
    <w:multiLevelType w:val="singleLevel"/>
    <w:tmpl w:val="65878AA0"/>
    <w:lvl w:ilvl="0" w:tentative="0">
      <w:start w:val="1"/>
      <w:numFmt w:val="decimal"/>
      <w:suff w:val="nothing"/>
      <w:lvlText w:val="（%1）"/>
      <w:lvlJc w:val="left"/>
      <w:rPr>
        <w:rFonts w:hint="default"/>
        <w:sz w:val="24"/>
        <w:szCs w:val="24"/>
      </w:rPr>
    </w:lvl>
  </w:abstractNum>
  <w:num w:numId="1">
    <w:abstractNumId w:val="9"/>
  </w:num>
  <w:num w:numId="2">
    <w:abstractNumId w:val="6"/>
  </w:num>
  <w:num w:numId="3">
    <w:abstractNumId w:val="10"/>
  </w:num>
  <w:num w:numId="4">
    <w:abstractNumId w:val="7"/>
  </w:num>
  <w:num w:numId="5">
    <w:abstractNumId w:val="4"/>
  </w:num>
  <w:num w:numId="6">
    <w:abstractNumId w:val="5"/>
  </w:num>
  <w:num w:numId="7">
    <w:abstractNumId w:val="2"/>
  </w:num>
  <w:num w:numId="8">
    <w:abstractNumId w:val="0"/>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WIzZDU3MjI5ZTI5MmYyYmJmNzQ3MjcyMDllOWYifQ=="/>
  </w:docVars>
  <w:rsids>
    <w:rsidRoot w:val="00172A27"/>
    <w:rsid w:val="000008FC"/>
    <w:rsid w:val="00000A75"/>
    <w:rsid w:val="000060B3"/>
    <w:rsid w:val="000108EC"/>
    <w:rsid w:val="00025ED0"/>
    <w:rsid w:val="000350D7"/>
    <w:rsid w:val="0003716F"/>
    <w:rsid w:val="0004364B"/>
    <w:rsid w:val="00045131"/>
    <w:rsid w:val="00047C87"/>
    <w:rsid w:val="00061740"/>
    <w:rsid w:val="00061B1F"/>
    <w:rsid w:val="00063125"/>
    <w:rsid w:val="000733C4"/>
    <w:rsid w:val="00073461"/>
    <w:rsid w:val="00074783"/>
    <w:rsid w:val="00076DF9"/>
    <w:rsid w:val="0008070B"/>
    <w:rsid w:val="000810AC"/>
    <w:rsid w:val="00081A02"/>
    <w:rsid w:val="00082231"/>
    <w:rsid w:val="00092B09"/>
    <w:rsid w:val="00092D38"/>
    <w:rsid w:val="0009377B"/>
    <w:rsid w:val="00096348"/>
    <w:rsid w:val="000A20C9"/>
    <w:rsid w:val="000A6FD9"/>
    <w:rsid w:val="000B058F"/>
    <w:rsid w:val="000B4467"/>
    <w:rsid w:val="000B4DB9"/>
    <w:rsid w:val="000B67AE"/>
    <w:rsid w:val="000C09AC"/>
    <w:rsid w:val="000C767F"/>
    <w:rsid w:val="000D066D"/>
    <w:rsid w:val="000D49D7"/>
    <w:rsid w:val="000D5A44"/>
    <w:rsid w:val="000E3ED2"/>
    <w:rsid w:val="000E434B"/>
    <w:rsid w:val="000F6385"/>
    <w:rsid w:val="001025B5"/>
    <w:rsid w:val="001141B4"/>
    <w:rsid w:val="00117D96"/>
    <w:rsid w:val="00122A5D"/>
    <w:rsid w:val="00130C87"/>
    <w:rsid w:val="00131F1B"/>
    <w:rsid w:val="00131F42"/>
    <w:rsid w:val="001357F1"/>
    <w:rsid w:val="00140503"/>
    <w:rsid w:val="00140FA8"/>
    <w:rsid w:val="0014161D"/>
    <w:rsid w:val="00142FEB"/>
    <w:rsid w:val="00143A2D"/>
    <w:rsid w:val="001443E9"/>
    <w:rsid w:val="00145A41"/>
    <w:rsid w:val="00151675"/>
    <w:rsid w:val="00153CCF"/>
    <w:rsid w:val="00157435"/>
    <w:rsid w:val="00160B1D"/>
    <w:rsid w:val="00172A27"/>
    <w:rsid w:val="00173661"/>
    <w:rsid w:val="0017504D"/>
    <w:rsid w:val="0017671A"/>
    <w:rsid w:val="00177422"/>
    <w:rsid w:val="00184590"/>
    <w:rsid w:val="001870D1"/>
    <w:rsid w:val="0018781E"/>
    <w:rsid w:val="00190BE1"/>
    <w:rsid w:val="0019262D"/>
    <w:rsid w:val="00195DF4"/>
    <w:rsid w:val="001A07F0"/>
    <w:rsid w:val="001A150B"/>
    <w:rsid w:val="001A1B35"/>
    <w:rsid w:val="001A48A2"/>
    <w:rsid w:val="001A6F61"/>
    <w:rsid w:val="001B72B8"/>
    <w:rsid w:val="001C21E4"/>
    <w:rsid w:val="001C686C"/>
    <w:rsid w:val="001C69B3"/>
    <w:rsid w:val="001D15D0"/>
    <w:rsid w:val="001D1ACF"/>
    <w:rsid w:val="001D5595"/>
    <w:rsid w:val="001D7874"/>
    <w:rsid w:val="001D7F22"/>
    <w:rsid w:val="001E0499"/>
    <w:rsid w:val="001F0F17"/>
    <w:rsid w:val="001F3347"/>
    <w:rsid w:val="001F64AF"/>
    <w:rsid w:val="001F69E4"/>
    <w:rsid w:val="002057B9"/>
    <w:rsid w:val="002125B4"/>
    <w:rsid w:val="002155B8"/>
    <w:rsid w:val="002179AF"/>
    <w:rsid w:val="00224839"/>
    <w:rsid w:val="002249B2"/>
    <w:rsid w:val="00226574"/>
    <w:rsid w:val="002278EC"/>
    <w:rsid w:val="0023280E"/>
    <w:rsid w:val="0023595F"/>
    <w:rsid w:val="002377D1"/>
    <w:rsid w:val="00240992"/>
    <w:rsid w:val="002506BC"/>
    <w:rsid w:val="0025085C"/>
    <w:rsid w:val="00251BD6"/>
    <w:rsid w:val="00254345"/>
    <w:rsid w:val="00264557"/>
    <w:rsid w:val="002805AB"/>
    <w:rsid w:val="00280BC4"/>
    <w:rsid w:val="00281D92"/>
    <w:rsid w:val="00284204"/>
    <w:rsid w:val="00285ACF"/>
    <w:rsid w:val="00285D8C"/>
    <w:rsid w:val="00286A08"/>
    <w:rsid w:val="00290F65"/>
    <w:rsid w:val="00291773"/>
    <w:rsid w:val="00295AC6"/>
    <w:rsid w:val="002976B4"/>
    <w:rsid w:val="002A168C"/>
    <w:rsid w:val="002A3DC7"/>
    <w:rsid w:val="002B49E2"/>
    <w:rsid w:val="002B7B00"/>
    <w:rsid w:val="002B7C44"/>
    <w:rsid w:val="002C283C"/>
    <w:rsid w:val="002C2B17"/>
    <w:rsid w:val="002C3451"/>
    <w:rsid w:val="002D3DD0"/>
    <w:rsid w:val="002D6631"/>
    <w:rsid w:val="002E1CF2"/>
    <w:rsid w:val="002E1F3A"/>
    <w:rsid w:val="002E298A"/>
    <w:rsid w:val="00301978"/>
    <w:rsid w:val="00302DA3"/>
    <w:rsid w:val="0030332C"/>
    <w:rsid w:val="003051C2"/>
    <w:rsid w:val="00312296"/>
    <w:rsid w:val="00314F0E"/>
    <w:rsid w:val="00316847"/>
    <w:rsid w:val="00321D8E"/>
    <w:rsid w:val="00325928"/>
    <w:rsid w:val="00332863"/>
    <w:rsid w:val="0033684D"/>
    <w:rsid w:val="00337B42"/>
    <w:rsid w:val="00341B42"/>
    <w:rsid w:val="0034348F"/>
    <w:rsid w:val="00343763"/>
    <w:rsid w:val="00344786"/>
    <w:rsid w:val="00345DAF"/>
    <w:rsid w:val="00356653"/>
    <w:rsid w:val="0035743F"/>
    <w:rsid w:val="00357BE2"/>
    <w:rsid w:val="0036170C"/>
    <w:rsid w:val="00364D57"/>
    <w:rsid w:val="00366E0F"/>
    <w:rsid w:val="0036729D"/>
    <w:rsid w:val="003743B5"/>
    <w:rsid w:val="00380AE1"/>
    <w:rsid w:val="00381A72"/>
    <w:rsid w:val="00384676"/>
    <w:rsid w:val="00390857"/>
    <w:rsid w:val="00391824"/>
    <w:rsid w:val="003A1837"/>
    <w:rsid w:val="003A3E9A"/>
    <w:rsid w:val="003A4BF3"/>
    <w:rsid w:val="003B3872"/>
    <w:rsid w:val="003B420D"/>
    <w:rsid w:val="003C6C16"/>
    <w:rsid w:val="003C7BED"/>
    <w:rsid w:val="003D794D"/>
    <w:rsid w:val="003E2C5E"/>
    <w:rsid w:val="003E3058"/>
    <w:rsid w:val="003E3A6C"/>
    <w:rsid w:val="003E3B07"/>
    <w:rsid w:val="003E76A9"/>
    <w:rsid w:val="003F0809"/>
    <w:rsid w:val="003F0950"/>
    <w:rsid w:val="003F6A8C"/>
    <w:rsid w:val="003F755C"/>
    <w:rsid w:val="00404F1F"/>
    <w:rsid w:val="00406F01"/>
    <w:rsid w:val="004122EF"/>
    <w:rsid w:val="00416D50"/>
    <w:rsid w:val="00416FD5"/>
    <w:rsid w:val="00417772"/>
    <w:rsid w:val="00420E6A"/>
    <w:rsid w:val="00423755"/>
    <w:rsid w:val="00425A9E"/>
    <w:rsid w:val="00426D6B"/>
    <w:rsid w:val="004311D9"/>
    <w:rsid w:val="00431E6C"/>
    <w:rsid w:val="00433171"/>
    <w:rsid w:val="00433CE7"/>
    <w:rsid w:val="00452738"/>
    <w:rsid w:val="00456091"/>
    <w:rsid w:val="00466321"/>
    <w:rsid w:val="00484B9B"/>
    <w:rsid w:val="004855F6"/>
    <w:rsid w:val="0048661E"/>
    <w:rsid w:val="00486FEF"/>
    <w:rsid w:val="00494670"/>
    <w:rsid w:val="004A079F"/>
    <w:rsid w:val="004A226F"/>
    <w:rsid w:val="004A2427"/>
    <w:rsid w:val="004A3823"/>
    <w:rsid w:val="004B4C45"/>
    <w:rsid w:val="004B5B8E"/>
    <w:rsid w:val="004B71AB"/>
    <w:rsid w:val="004E6946"/>
    <w:rsid w:val="004F1AD8"/>
    <w:rsid w:val="004F739A"/>
    <w:rsid w:val="005039CB"/>
    <w:rsid w:val="0050558F"/>
    <w:rsid w:val="00506286"/>
    <w:rsid w:val="00510813"/>
    <w:rsid w:val="00511990"/>
    <w:rsid w:val="00511DE0"/>
    <w:rsid w:val="00514870"/>
    <w:rsid w:val="00514B9B"/>
    <w:rsid w:val="00517F02"/>
    <w:rsid w:val="00520112"/>
    <w:rsid w:val="00524303"/>
    <w:rsid w:val="005258A2"/>
    <w:rsid w:val="0053118B"/>
    <w:rsid w:val="005372A4"/>
    <w:rsid w:val="005401AE"/>
    <w:rsid w:val="005404EA"/>
    <w:rsid w:val="005406FA"/>
    <w:rsid w:val="00542E07"/>
    <w:rsid w:val="00545424"/>
    <w:rsid w:val="00553F41"/>
    <w:rsid w:val="00554A7B"/>
    <w:rsid w:val="0055572C"/>
    <w:rsid w:val="00560667"/>
    <w:rsid w:val="00561036"/>
    <w:rsid w:val="0056106A"/>
    <w:rsid w:val="005664AD"/>
    <w:rsid w:val="00571DFA"/>
    <w:rsid w:val="005720AE"/>
    <w:rsid w:val="0058074D"/>
    <w:rsid w:val="00590B2A"/>
    <w:rsid w:val="0059287F"/>
    <w:rsid w:val="00594D77"/>
    <w:rsid w:val="005967D3"/>
    <w:rsid w:val="005969E4"/>
    <w:rsid w:val="005A06B7"/>
    <w:rsid w:val="005A1759"/>
    <w:rsid w:val="005A65AE"/>
    <w:rsid w:val="005A68A7"/>
    <w:rsid w:val="005B7DB4"/>
    <w:rsid w:val="005D29FA"/>
    <w:rsid w:val="005D36AB"/>
    <w:rsid w:val="005D3B03"/>
    <w:rsid w:val="005D3D8F"/>
    <w:rsid w:val="005D4D7E"/>
    <w:rsid w:val="005E2F94"/>
    <w:rsid w:val="005F3328"/>
    <w:rsid w:val="00600BFE"/>
    <w:rsid w:val="0060149A"/>
    <w:rsid w:val="006021C2"/>
    <w:rsid w:val="006058C6"/>
    <w:rsid w:val="00617CC3"/>
    <w:rsid w:val="00626357"/>
    <w:rsid w:val="0062651E"/>
    <w:rsid w:val="00636FDF"/>
    <w:rsid w:val="006377A6"/>
    <w:rsid w:val="00637A3D"/>
    <w:rsid w:val="006411EF"/>
    <w:rsid w:val="00645C06"/>
    <w:rsid w:val="006538EB"/>
    <w:rsid w:val="00654467"/>
    <w:rsid w:val="00663509"/>
    <w:rsid w:val="0066525B"/>
    <w:rsid w:val="00665BAD"/>
    <w:rsid w:val="00673A79"/>
    <w:rsid w:val="006748B8"/>
    <w:rsid w:val="006775C3"/>
    <w:rsid w:val="006815E2"/>
    <w:rsid w:val="0069290A"/>
    <w:rsid w:val="0069775A"/>
    <w:rsid w:val="00697813"/>
    <w:rsid w:val="006A0C1D"/>
    <w:rsid w:val="006A2CB0"/>
    <w:rsid w:val="006A3EE8"/>
    <w:rsid w:val="006A72BF"/>
    <w:rsid w:val="006B03F2"/>
    <w:rsid w:val="006B37DC"/>
    <w:rsid w:val="006B4F68"/>
    <w:rsid w:val="006C0592"/>
    <w:rsid w:val="006C272E"/>
    <w:rsid w:val="006C5479"/>
    <w:rsid w:val="006D13B5"/>
    <w:rsid w:val="006E12FF"/>
    <w:rsid w:val="006E4BC2"/>
    <w:rsid w:val="006E4E28"/>
    <w:rsid w:val="006E607E"/>
    <w:rsid w:val="006F1A46"/>
    <w:rsid w:val="00706C5D"/>
    <w:rsid w:val="00732922"/>
    <w:rsid w:val="00732DB9"/>
    <w:rsid w:val="0074762C"/>
    <w:rsid w:val="0075162E"/>
    <w:rsid w:val="00753482"/>
    <w:rsid w:val="00754034"/>
    <w:rsid w:val="00756556"/>
    <w:rsid w:val="007618C4"/>
    <w:rsid w:val="00766A02"/>
    <w:rsid w:val="00767980"/>
    <w:rsid w:val="00770B19"/>
    <w:rsid w:val="0077463F"/>
    <w:rsid w:val="007836EA"/>
    <w:rsid w:val="00784CDA"/>
    <w:rsid w:val="00785238"/>
    <w:rsid w:val="007906C4"/>
    <w:rsid w:val="00791704"/>
    <w:rsid w:val="007940EA"/>
    <w:rsid w:val="00795CB1"/>
    <w:rsid w:val="007967E8"/>
    <w:rsid w:val="007A2170"/>
    <w:rsid w:val="007A22BF"/>
    <w:rsid w:val="007A3323"/>
    <w:rsid w:val="007A6041"/>
    <w:rsid w:val="007B5A72"/>
    <w:rsid w:val="007B72B8"/>
    <w:rsid w:val="007B7A58"/>
    <w:rsid w:val="007C21B5"/>
    <w:rsid w:val="007C39E8"/>
    <w:rsid w:val="007E4BD2"/>
    <w:rsid w:val="007F13DF"/>
    <w:rsid w:val="007F1F40"/>
    <w:rsid w:val="007F2E42"/>
    <w:rsid w:val="007F49D4"/>
    <w:rsid w:val="00801393"/>
    <w:rsid w:val="00802F88"/>
    <w:rsid w:val="00807A3E"/>
    <w:rsid w:val="0081293E"/>
    <w:rsid w:val="00815465"/>
    <w:rsid w:val="00815703"/>
    <w:rsid w:val="00817179"/>
    <w:rsid w:val="00817E9A"/>
    <w:rsid w:val="0082300C"/>
    <w:rsid w:val="00826D8E"/>
    <w:rsid w:val="008306BD"/>
    <w:rsid w:val="00831A80"/>
    <w:rsid w:val="008326CC"/>
    <w:rsid w:val="00833743"/>
    <w:rsid w:val="008340A4"/>
    <w:rsid w:val="008531E6"/>
    <w:rsid w:val="0087000F"/>
    <w:rsid w:val="0087135F"/>
    <w:rsid w:val="00872D94"/>
    <w:rsid w:val="008762F1"/>
    <w:rsid w:val="00880364"/>
    <w:rsid w:val="00880885"/>
    <w:rsid w:val="00880D80"/>
    <w:rsid w:val="00881369"/>
    <w:rsid w:val="00891592"/>
    <w:rsid w:val="00891E9E"/>
    <w:rsid w:val="00893649"/>
    <w:rsid w:val="008958F6"/>
    <w:rsid w:val="008A2F68"/>
    <w:rsid w:val="008A7A20"/>
    <w:rsid w:val="008A7F6D"/>
    <w:rsid w:val="008B4FA6"/>
    <w:rsid w:val="008B5282"/>
    <w:rsid w:val="008B5614"/>
    <w:rsid w:val="008B7C17"/>
    <w:rsid w:val="008C2D01"/>
    <w:rsid w:val="008C40E6"/>
    <w:rsid w:val="008D0A9E"/>
    <w:rsid w:val="008D0F7A"/>
    <w:rsid w:val="008D209B"/>
    <w:rsid w:val="008D68E4"/>
    <w:rsid w:val="008D6DA1"/>
    <w:rsid w:val="008E0506"/>
    <w:rsid w:val="008E0BD7"/>
    <w:rsid w:val="008E0CFF"/>
    <w:rsid w:val="008E5C29"/>
    <w:rsid w:val="008E5D6B"/>
    <w:rsid w:val="008E7284"/>
    <w:rsid w:val="008E76F0"/>
    <w:rsid w:val="008F0225"/>
    <w:rsid w:val="008F15FE"/>
    <w:rsid w:val="008F271A"/>
    <w:rsid w:val="008F2D29"/>
    <w:rsid w:val="008F44FE"/>
    <w:rsid w:val="008F4641"/>
    <w:rsid w:val="008F5187"/>
    <w:rsid w:val="008F60D8"/>
    <w:rsid w:val="00901D97"/>
    <w:rsid w:val="00902727"/>
    <w:rsid w:val="0090312B"/>
    <w:rsid w:val="00910B4D"/>
    <w:rsid w:val="00912EDC"/>
    <w:rsid w:val="0091736D"/>
    <w:rsid w:val="00923C94"/>
    <w:rsid w:val="0093037A"/>
    <w:rsid w:val="00930452"/>
    <w:rsid w:val="0094154D"/>
    <w:rsid w:val="009434C3"/>
    <w:rsid w:val="0095155F"/>
    <w:rsid w:val="00954429"/>
    <w:rsid w:val="009563CE"/>
    <w:rsid w:val="00961048"/>
    <w:rsid w:val="0097412C"/>
    <w:rsid w:val="00976328"/>
    <w:rsid w:val="0097680D"/>
    <w:rsid w:val="00982438"/>
    <w:rsid w:val="00982D8E"/>
    <w:rsid w:val="0098404C"/>
    <w:rsid w:val="00985283"/>
    <w:rsid w:val="00985A34"/>
    <w:rsid w:val="00995992"/>
    <w:rsid w:val="00996A6F"/>
    <w:rsid w:val="009A03E5"/>
    <w:rsid w:val="009A0F3B"/>
    <w:rsid w:val="009A1BB4"/>
    <w:rsid w:val="009A2628"/>
    <w:rsid w:val="009A3200"/>
    <w:rsid w:val="009A6F75"/>
    <w:rsid w:val="009B0897"/>
    <w:rsid w:val="009B7BD9"/>
    <w:rsid w:val="009C7DD5"/>
    <w:rsid w:val="009D07AB"/>
    <w:rsid w:val="009D202A"/>
    <w:rsid w:val="009D560A"/>
    <w:rsid w:val="009E227D"/>
    <w:rsid w:val="009E5019"/>
    <w:rsid w:val="00A04F1B"/>
    <w:rsid w:val="00A0501B"/>
    <w:rsid w:val="00A06351"/>
    <w:rsid w:val="00A06582"/>
    <w:rsid w:val="00A14947"/>
    <w:rsid w:val="00A32A83"/>
    <w:rsid w:val="00A368DB"/>
    <w:rsid w:val="00A379CC"/>
    <w:rsid w:val="00A423AA"/>
    <w:rsid w:val="00A4444D"/>
    <w:rsid w:val="00A53EC6"/>
    <w:rsid w:val="00A55C0F"/>
    <w:rsid w:val="00A6593A"/>
    <w:rsid w:val="00A77757"/>
    <w:rsid w:val="00A84215"/>
    <w:rsid w:val="00A8713F"/>
    <w:rsid w:val="00A90992"/>
    <w:rsid w:val="00A90BA1"/>
    <w:rsid w:val="00A91AE1"/>
    <w:rsid w:val="00A93060"/>
    <w:rsid w:val="00A97A9A"/>
    <w:rsid w:val="00AA0671"/>
    <w:rsid w:val="00AA2531"/>
    <w:rsid w:val="00AA378C"/>
    <w:rsid w:val="00AB1E09"/>
    <w:rsid w:val="00AB5330"/>
    <w:rsid w:val="00AB6C3C"/>
    <w:rsid w:val="00AB7747"/>
    <w:rsid w:val="00AC14CE"/>
    <w:rsid w:val="00AC16AE"/>
    <w:rsid w:val="00AC22E3"/>
    <w:rsid w:val="00AC2A56"/>
    <w:rsid w:val="00AC66F6"/>
    <w:rsid w:val="00AD055E"/>
    <w:rsid w:val="00AD37F1"/>
    <w:rsid w:val="00AD38A4"/>
    <w:rsid w:val="00AD47A7"/>
    <w:rsid w:val="00AE4E5E"/>
    <w:rsid w:val="00AF0CBF"/>
    <w:rsid w:val="00AF11FF"/>
    <w:rsid w:val="00AF257F"/>
    <w:rsid w:val="00AF33CF"/>
    <w:rsid w:val="00AF356F"/>
    <w:rsid w:val="00AF45A0"/>
    <w:rsid w:val="00AF4D50"/>
    <w:rsid w:val="00AF6179"/>
    <w:rsid w:val="00B10C8B"/>
    <w:rsid w:val="00B12745"/>
    <w:rsid w:val="00B1295A"/>
    <w:rsid w:val="00B1634F"/>
    <w:rsid w:val="00B20A45"/>
    <w:rsid w:val="00B22C5C"/>
    <w:rsid w:val="00B2449F"/>
    <w:rsid w:val="00B24F30"/>
    <w:rsid w:val="00B30371"/>
    <w:rsid w:val="00B31ABF"/>
    <w:rsid w:val="00B33BE3"/>
    <w:rsid w:val="00B36AFD"/>
    <w:rsid w:val="00B46AAC"/>
    <w:rsid w:val="00B53B5D"/>
    <w:rsid w:val="00B5443F"/>
    <w:rsid w:val="00B6055E"/>
    <w:rsid w:val="00B6317D"/>
    <w:rsid w:val="00B7655A"/>
    <w:rsid w:val="00B7723F"/>
    <w:rsid w:val="00B80444"/>
    <w:rsid w:val="00B80534"/>
    <w:rsid w:val="00B8339B"/>
    <w:rsid w:val="00B8433C"/>
    <w:rsid w:val="00B85F09"/>
    <w:rsid w:val="00B87491"/>
    <w:rsid w:val="00B9598F"/>
    <w:rsid w:val="00BA29E9"/>
    <w:rsid w:val="00BA5CF8"/>
    <w:rsid w:val="00BA7142"/>
    <w:rsid w:val="00BB2329"/>
    <w:rsid w:val="00BB237C"/>
    <w:rsid w:val="00BB41A3"/>
    <w:rsid w:val="00BC20D0"/>
    <w:rsid w:val="00BC32DC"/>
    <w:rsid w:val="00BC35B6"/>
    <w:rsid w:val="00BC7FBF"/>
    <w:rsid w:val="00BD1B51"/>
    <w:rsid w:val="00BD4596"/>
    <w:rsid w:val="00BE1405"/>
    <w:rsid w:val="00BE312D"/>
    <w:rsid w:val="00BF1C20"/>
    <w:rsid w:val="00C10578"/>
    <w:rsid w:val="00C12404"/>
    <w:rsid w:val="00C135BC"/>
    <w:rsid w:val="00C15C95"/>
    <w:rsid w:val="00C201F6"/>
    <w:rsid w:val="00C22DBA"/>
    <w:rsid w:val="00C2596A"/>
    <w:rsid w:val="00C26484"/>
    <w:rsid w:val="00C27537"/>
    <w:rsid w:val="00C31B44"/>
    <w:rsid w:val="00C328FE"/>
    <w:rsid w:val="00C33507"/>
    <w:rsid w:val="00C43B70"/>
    <w:rsid w:val="00C4409D"/>
    <w:rsid w:val="00C44E72"/>
    <w:rsid w:val="00C45782"/>
    <w:rsid w:val="00C45A06"/>
    <w:rsid w:val="00C47E5B"/>
    <w:rsid w:val="00C535D3"/>
    <w:rsid w:val="00C57DC9"/>
    <w:rsid w:val="00C61E4B"/>
    <w:rsid w:val="00C62CA4"/>
    <w:rsid w:val="00C64BFF"/>
    <w:rsid w:val="00C704E9"/>
    <w:rsid w:val="00C70A54"/>
    <w:rsid w:val="00C70D33"/>
    <w:rsid w:val="00C7532D"/>
    <w:rsid w:val="00C763C9"/>
    <w:rsid w:val="00C80057"/>
    <w:rsid w:val="00C82232"/>
    <w:rsid w:val="00C82913"/>
    <w:rsid w:val="00C874E5"/>
    <w:rsid w:val="00C972B1"/>
    <w:rsid w:val="00CA0DA9"/>
    <w:rsid w:val="00CA148B"/>
    <w:rsid w:val="00CA2CCE"/>
    <w:rsid w:val="00CA42F4"/>
    <w:rsid w:val="00CA43FD"/>
    <w:rsid w:val="00CA7EF8"/>
    <w:rsid w:val="00CB3250"/>
    <w:rsid w:val="00CB362D"/>
    <w:rsid w:val="00CC489B"/>
    <w:rsid w:val="00CC680E"/>
    <w:rsid w:val="00CD2BCD"/>
    <w:rsid w:val="00CD3A4C"/>
    <w:rsid w:val="00CD3EBB"/>
    <w:rsid w:val="00CD702B"/>
    <w:rsid w:val="00CE0C61"/>
    <w:rsid w:val="00CE10E9"/>
    <w:rsid w:val="00CE2910"/>
    <w:rsid w:val="00CE520E"/>
    <w:rsid w:val="00CE5393"/>
    <w:rsid w:val="00CE5526"/>
    <w:rsid w:val="00CF36BE"/>
    <w:rsid w:val="00CF6000"/>
    <w:rsid w:val="00D003F3"/>
    <w:rsid w:val="00D0364F"/>
    <w:rsid w:val="00D04F88"/>
    <w:rsid w:val="00D06834"/>
    <w:rsid w:val="00D22012"/>
    <w:rsid w:val="00D23F2C"/>
    <w:rsid w:val="00D308ED"/>
    <w:rsid w:val="00D31734"/>
    <w:rsid w:val="00D318CA"/>
    <w:rsid w:val="00D36D86"/>
    <w:rsid w:val="00D372FE"/>
    <w:rsid w:val="00D428AA"/>
    <w:rsid w:val="00D50262"/>
    <w:rsid w:val="00D50A34"/>
    <w:rsid w:val="00D53EFA"/>
    <w:rsid w:val="00D66FB9"/>
    <w:rsid w:val="00D67C3A"/>
    <w:rsid w:val="00D718DF"/>
    <w:rsid w:val="00D81CC6"/>
    <w:rsid w:val="00D94A7C"/>
    <w:rsid w:val="00D95896"/>
    <w:rsid w:val="00DA00E8"/>
    <w:rsid w:val="00DA0E73"/>
    <w:rsid w:val="00DB2983"/>
    <w:rsid w:val="00DC1257"/>
    <w:rsid w:val="00DC3DC0"/>
    <w:rsid w:val="00DC5B2B"/>
    <w:rsid w:val="00DD318D"/>
    <w:rsid w:val="00DE2185"/>
    <w:rsid w:val="00DF13A1"/>
    <w:rsid w:val="00DF2E12"/>
    <w:rsid w:val="00DF4796"/>
    <w:rsid w:val="00DF514A"/>
    <w:rsid w:val="00DF6690"/>
    <w:rsid w:val="00DF6804"/>
    <w:rsid w:val="00E0358D"/>
    <w:rsid w:val="00E04323"/>
    <w:rsid w:val="00E04F08"/>
    <w:rsid w:val="00E070A2"/>
    <w:rsid w:val="00E134DF"/>
    <w:rsid w:val="00E20A61"/>
    <w:rsid w:val="00E20B5F"/>
    <w:rsid w:val="00E2656A"/>
    <w:rsid w:val="00E412D0"/>
    <w:rsid w:val="00E43BDC"/>
    <w:rsid w:val="00E53653"/>
    <w:rsid w:val="00E556D6"/>
    <w:rsid w:val="00E56322"/>
    <w:rsid w:val="00E60982"/>
    <w:rsid w:val="00E62C62"/>
    <w:rsid w:val="00E654C1"/>
    <w:rsid w:val="00E659AA"/>
    <w:rsid w:val="00E65D97"/>
    <w:rsid w:val="00E67288"/>
    <w:rsid w:val="00E72A5A"/>
    <w:rsid w:val="00E73354"/>
    <w:rsid w:val="00E7544A"/>
    <w:rsid w:val="00E769F4"/>
    <w:rsid w:val="00E8243A"/>
    <w:rsid w:val="00E865C2"/>
    <w:rsid w:val="00E9242D"/>
    <w:rsid w:val="00EB0CBC"/>
    <w:rsid w:val="00EB203E"/>
    <w:rsid w:val="00EB5255"/>
    <w:rsid w:val="00EB5C47"/>
    <w:rsid w:val="00EB61A8"/>
    <w:rsid w:val="00EB72D2"/>
    <w:rsid w:val="00EC73B0"/>
    <w:rsid w:val="00ED0639"/>
    <w:rsid w:val="00ED104B"/>
    <w:rsid w:val="00ED681E"/>
    <w:rsid w:val="00ED6F02"/>
    <w:rsid w:val="00EE3958"/>
    <w:rsid w:val="00EF4755"/>
    <w:rsid w:val="00EF6D8D"/>
    <w:rsid w:val="00EF7135"/>
    <w:rsid w:val="00F027DB"/>
    <w:rsid w:val="00F11B33"/>
    <w:rsid w:val="00F14A7A"/>
    <w:rsid w:val="00F14E3B"/>
    <w:rsid w:val="00F20B8F"/>
    <w:rsid w:val="00F22985"/>
    <w:rsid w:val="00F26436"/>
    <w:rsid w:val="00F3383E"/>
    <w:rsid w:val="00F465A7"/>
    <w:rsid w:val="00F50B7C"/>
    <w:rsid w:val="00F550E6"/>
    <w:rsid w:val="00F66374"/>
    <w:rsid w:val="00F74345"/>
    <w:rsid w:val="00F75ED9"/>
    <w:rsid w:val="00F80A0A"/>
    <w:rsid w:val="00F82B19"/>
    <w:rsid w:val="00F90593"/>
    <w:rsid w:val="00F91D8B"/>
    <w:rsid w:val="00F9212D"/>
    <w:rsid w:val="00F965DA"/>
    <w:rsid w:val="00F966CC"/>
    <w:rsid w:val="00F97F13"/>
    <w:rsid w:val="00FA406A"/>
    <w:rsid w:val="00FB36A1"/>
    <w:rsid w:val="00FB503A"/>
    <w:rsid w:val="00FB516C"/>
    <w:rsid w:val="00FC6E24"/>
    <w:rsid w:val="00FC72EC"/>
    <w:rsid w:val="00FC780E"/>
    <w:rsid w:val="00FD0236"/>
    <w:rsid w:val="00FD18F4"/>
    <w:rsid w:val="00FD2550"/>
    <w:rsid w:val="00FD3EB7"/>
    <w:rsid w:val="00FD54DB"/>
    <w:rsid w:val="00FD619F"/>
    <w:rsid w:val="00FD7668"/>
    <w:rsid w:val="00FD7B9B"/>
    <w:rsid w:val="00FE17D8"/>
    <w:rsid w:val="00FE2385"/>
    <w:rsid w:val="00FF5151"/>
    <w:rsid w:val="010D6093"/>
    <w:rsid w:val="01227D26"/>
    <w:rsid w:val="012756A6"/>
    <w:rsid w:val="01290F7E"/>
    <w:rsid w:val="012E54D3"/>
    <w:rsid w:val="013F62B3"/>
    <w:rsid w:val="014D28C9"/>
    <w:rsid w:val="01545A05"/>
    <w:rsid w:val="01593615"/>
    <w:rsid w:val="015D1E09"/>
    <w:rsid w:val="016E2F6B"/>
    <w:rsid w:val="01921D20"/>
    <w:rsid w:val="0196436D"/>
    <w:rsid w:val="01A95FC4"/>
    <w:rsid w:val="01AB788A"/>
    <w:rsid w:val="01C419CF"/>
    <w:rsid w:val="01CB1AE8"/>
    <w:rsid w:val="01DE694E"/>
    <w:rsid w:val="02022957"/>
    <w:rsid w:val="020254EB"/>
    <w:rsid w:val="0204567E"/>
    <w:rsid w:val="023A0DE1"/>
    <w:rsid w:val="024C492F"/>
    <w:rsid w:val="025F2670"/>
    <w:rsid w:val="02697903"/>
    <w:rsid w:val="02704AC1"/>
    <w:rsid w:val="02822D00"/>
    <w:rsid w:val="028B5920"/>
    <w:rsid w:val="029C4D1F"/>
    <w:rsid w:val="02A55914"/>
    <w:rsid w:val="02BF2C1C"/>
    <w:rsid w:val="02C43679"/>
    <w:rsid w:val="02CF7689"/>
    <w:rsid w:val="02EC7C4F"/>
    <w:rsid w:val="02F96569"/>
    <w:rsid w:val="03123DCA"/>
    <w:rsid w:val="032E2606"/>
    <w:rsid w:val="03327FC8"/>
    <w:rsid w:val="033B1758"/>
    <w:rsid w:val="034675D0"/>
    <w:rsid w:val="03513390"/>
    <w:rsid w:val="03773C2D"/>
    <w:rsid w:val="03821827"/>
    <w:rsid w:val="03887BE8"/>
    <w:rsid w:val="03960217"/>
    <w:rsid w:val="03A05979"/>
    <w:rsid w:val="03A219EA"/>
    <w:rsid w:val="03A52FDB"/>
    <w:rsid w:val="03AA4690"/>
    <w:rsid w:val="03C36850"/>
    <w:rsid w:val="03E05C76"/>
    <w:rsid w:val="03E5328D"/>
    <w:rsid w:val="03EA7B21"/>
    <w:rsid w:val="03FB6110"/>
    <w:rsid w:val="04090D29"/>
    <w:rsid w:val="041B0231"/>
    <w:rsid w:val="043361B1"/>
    <w:rsid w:val="04383EFA"/>
    <w:rsid w:val="04536743"/>
    <w:rsid w:val="045C012C"/>
    <w:rsid w:val="04631139"/>
    <w:rsid w:val="04643A68"/>
    <w:rsid w:val="04F20549"/>
    <w:rsid w:val="052943D7"/>
    <w:rsid w:val="052D4EEB"/>
    <w:rsid w:val="053609AA"/>
    <w:rsid w:val="053E7C7A"/>
    <w:rsid w:val="054E6987"/>
    <w:rsid w:val="055A4BD8"/>
    <w:rsid w:val="05762458"/>
    <w:rsid w:val="058A3F1F"/>
    <w:rsid w:val="059B0CEF"/>
    <w:rsid w:val="05A0746B"/>
    <w:rsid w:val="05B66C8F"/>
    <w:rsid w:val="05D76C05"/>
    <w:rsid w:val="05DE61E6"/>
    <w:rsid w:val="05ED6DFB"/>
    <w:rsid w:val="05F2473E"/>
    <w:rsid w:val="05F83EAE"/>
    <w:rsid w:val="06025C75"/>
    <w:rsid w:val="06053FDD"/>
    <w:rsid w:val="060A6FDB"/>
    <w:rsid w:val="060C41FE"/>
    <w:rsid w:val="06135E8F"/>
    <w:rsid w:val="061816F7"/>
    <w:rsid w:val="062A26A4"/>
    <w:rsid w:val="063E7D85"/>
    <w:rsid w:val="06475B39"/>
    <w:rsid w:val="06493295"/>
    <w:rsid w:val="0669375E"/>
    <w:rsid w:val="066A5E81"/>
    <w:rsid w:val="067A2B29"/>
    <w:rsid w:val="06A27213"/>
    <w:rsid w:val="06AF2A5B"/>
    <w:rsid w:val="06B33330"/>
    <w:rsid w:val="06C671E6"/>
    <w:rsid w:val="06CB0643"/>
    <w:rsid w:val="06DC12D6"/>
    <w:rsid w:val="06DD7A4B"/>
    <w:rsid w:val="06FD781F"/>
    <w:rsid w:val="07022265"/>
    <w:rsid w:val="07293586"/>
    <w:rsid w:val="07295285"/>
    <w:rsid w:val="07382842"/>
    <w:rsid w:val="07407699"/>
    <w:rsid w:val="07584BAF"/>
    <w:rsid w:val="075E75DE"/>
    <w:rsid w:val="07636392"/>
    <w:rsid w:val="07770C56"/>
    <w:rsid w:val="079B05D3"/>
    <w:rsid w:val="07AB2146"/>
    <w:rsid w:val="07AF3996"/>
    <w:rsid w:val="07B27FEC"/>
    <w:rsid w:val="07D12A19"/>
    <w:rsid w:val="07D16002"/>
    <w:rsid w:val="07DE427B"/>
    <w:rsid w:val="07E00A0F"/>
    <w:rsid w:val="07FA451A"/>
    <w:rsid w:val="08072ADB"/>
    <w:rsid w:val="081303C8"/>
    <w:rsid w:val="0854453D"/>
    <w:rsid w:val="085B58CB"/>
    <w:rsid w:val="08607386"/>
    <w:rsid w:val="08861CFE"/>
    <w:rsid w:val="088A346F"/>
    <w:rsid w:val="088E7A4F"/>
    <w:rsid w:val="08A2174C"/>
    <w:rsid w:val="08A3280C"/>
    <w:rsid w:val="08A662C6"/>
    <w:rsid w:val="08AA27E9"/>
    <w:rsid w:val="08BC2DB7"/>
    <w:rsid w:val="08E729FB"/>
    <w:rsid w:val="08EB10FA"/>
    <w:rsid w:val="08FD1E97"/>
    <w:rsid w:val="08FF3FE6"/>
    <w:rsid w:val="091A60DC"/>
    <w:rsid w:val="091F2709"/>
    <w:rsid w:val="092217DD"/>
    <w:rsid w:val="092B50CE"/>
    <w:rsid w:val="092B7616"/>
    <w:rsid w:val="092E2C7C"/>
    <w:rsid w:val="09320D22"/>
    <w:rsid w:val="09347242"/>
    <w:rsid w:val="093A7294"/>
    <w:rsid w:val="094D790A"/>
    <w:rsid w:val="097906FF"/>
    <w:rsid w:val="097E7AC3"/>
    <w:rsid w:val="09815C56"/>
    <w:rsid w:val="09897498"/>
    <w:rsid w:val="09A21024"/>
    <w:rsid w:val="09C0632E"/>
    <w:rsid w:val="09C1092D"/>
    <w:rsid w:val="09C15C02"/>
    <w:rsid w:val="09CA3BA2"/>
    <w:rsid w:val="09CD0AA3"/>
    <w:rsid w:val="09E815DF"/>
    <w:rsid w:val="0A0C1573"/>
    <w:rsid w:val="0A0E29C3"/>
    <w:rsid w:val="0A1500F3"/>
    <w:rsid w:val="0A263993"/>
    <w:rsid w:val="0A272E1D"/>
    <w:rsid w:val="0A2D3AC2"/>
    <w:rsid w:val="0A2F5262"/>
    <w:rsid w:val="0A2F772A"/>
    <w:rsid w:val="0A3718DD"/>
    <w:rsid w:val="0A424F95"/>
    <w:rsid w:val="0A453416"/>
    <w:rsid w:val="0A4E393A"/>
    <w:rsid w:val="0A59068D"/>
    <w:rsid w:val="0A6D4504"/>
    <w:rsid w:val="0A974859"/>
    <w:rsid w:val="0A99092D"/>
    <w:rsid w:val="0A9F7588"/>
    <w:rsid w:val="0AA755DF"/>
    <w:rsid w:val="0AAB0483"/>
    <w:rsid w:val="0AB034F3"/>
    <w:rsid w:val="0AC736EC"/>
    <w:rsid w:val="0ADB7197"/>
    <w:rsid w:val="0AF872A8"/>
    <w:rsid w:val="0B0E12D6"/>
    <w:rsid w:val="0B114967"/>
    <w:rsid w:val="0B120D44"/>
    <w:rsid w:val="0B222543"/>
    <w:rsid w:val="0B295237"/>
    <w:rsid w:val="0B2D32FE"/>
    <w:rsid w:val="0B2E019E"/>
    <w:rsid w:val="0B390E85"/>
    <w:rsid w:val="0B3C7C36"/>
    <w:rsid w:val="0B4F1743"/>
    <w:rsid w:val="0B643645"/>
    <w:rsid w:val="0B752DD1"/>
    <w:rsid w:val="0B7B4316"/>
    <w:rsid w:val="0B843804"/>
    <w:rsid w:val="0BC331A5"/>
    <w:rsid w:val="0BCF0AAA"/>
    <w:rsid w:val="0BD27BF6"/>
    <w:rsid w:val="0BF9578F"/>
    <w:rsid w:val="0BFA364D"/>
    <w:rsid w:val="0C013CC8"/>
    <w:rsid w:val="0C032502"/>
    <w:rsid w:val="0C1C35C4"/>
    <w:rsid w:val="0C2030B4"/>
    <w:rsid w:val="0C2C0042"/>
    <w:rsid w:val="0C344DB1"/>
    <w:rsid w:val="0C3B3C7D"/>
    <w:rsid w:val="0C474AE5"/>
    <w:rsid w:val="0C5E598A"/>
    <w:rsid w:val="0C647F69"/>
    <w:rsid w:val="0C760F26"/>
    <w:rsid w:val="0C78149F"/>
    <w:rsid w:val="0CA63C5E"/>
    <w:rsid w:val="0CAB2EAE"/>
    <w:rsid w:val="0CAC1615"/>
    <w:rsid w:val="0CB56E5F"/>
    <w:rsid w:val="0CC51EAD"/>
    <w:rsid w:val="0CCD3612"/>
    <w:rsid w:val="0CD7534F"/>
    <w:rsid w:val="0CDE77B7"/>
    <w:rsid w:val="0D240717"/>
    <w:rsid w:val="0D2C7836"/>
    <w:rsid w:val="0D621C7D"/>
    <w:rsid w:val="0D68529C"/>
    <w:rsid w:val="0D72547F"/>
    <w:rsid w:val="0D9C49BC"/>
    <w:rsid w:val="0DB461AA"/>
    <w:rsid w:val="0DC53EBC"/>
    <w:rsid w:val="0DCE6B40"/>
    <w:rsid w:val="0DD347C2"/>
    <w:rsid w:val="0E092311"/>
    <w:rsid w:val="0E124354"/>
    <w:rsid w:val="0E304AC2"/>
    <w:rsid w:val="0E5139F9"/>
    <w:rsid w:val="0E73034D"/>
    <w:rsid w:val="0E7A44E3"/>
    <w:rsid w:val="0E8033D3"/>
    <w:rsid w:val="0E8518F4"/>
    <w:rsid w:val="0E8A32B4"/>
    <w:rsid w:val="0E8A4685"/>
    <w:rsid w:val="0E906868"/>
    <w:rsid w:val="0EA0672E"/>
    <w:rsid w:val="0EA34156"/>
    <w:rsid w:val="0ECC034B"/>
    <w:rsid w:val="0EDB1514"/>
    <w:rsid w:val="0EE916BF"/>
    <w:rsid w:val="0F00618F"/>
    <w:rsid w:val="0F11063C"/>
    <w:rsid w:val="0F13775A"/>
    <w:rsid w:val="0F3155D8"/>
    <w:rsid w:val="0F521A2A"/>
    <w:rsid w:val="0F5F45FE"/>
    <w:rsid w:val="0F655282"/>
    <w:rsid w:val="0F6B6BB7"/>
    <w:rsid w:val="0F890F70"/>
    <w:rsid w:val="0F9A112B"/>
    <w:rsid w:val="0FA364D6"/>
    <w:rsid w:val="0FA55344"/>
    <w:rsid w:val="0FBC558A"/>
    <w:rsid w:val="0FC25AA9"/>
    <w:rsid w:val="0FF7412C"/>
    <w:rsid w:val="100215E2"/>
    <w:rsid w:val="10036F74"/>
    <w:rsid w:val="10082225"/>
    <w:rsid w:val="100A7D31"/>
    <w:rsid w:val="102D2243"/>
    <w:rsid w:val="102F05BA"/>
    <w:rsid w:val="104449C5"/>
    <w:rsid w:val="1069109A"/>
    <w:rsid w:val="106D2F64"/>
    <w:rsid w:val="10715F61"/>
    <w:rsid w:val="1078165B"/>
    <w:rsid w:val="10875441"/>
    <w:rsid w:val="108C7232"/>
    <w:rsid w:val="10B63710"/>
    <w:rsid w:val="10C6712B"/>
    <w:rsid w:val="10CA7A92"/>
    <w:rsid w:val="10CF0D99"/>
    <w:rsid w:val="10F10820"/>
    <w:rsid w:val="10F954B0"/>
    <w:rsid w:val="110B6B4D"/>
    <w:rsid w:val="110D797F"/>
    <w:rsid w:val="111972C1"/>
    <w:rsid w:val="111C2F7A"/>
    <w:rsid w:val="113C6C51"/>
    <w:rsid w:val="113F222E"/>
    <w:rsid w:val="114C0EB0"/>
    <w:rsid w:val="115D36F5"/>
    <w:rsid w:val="11602AAF"/>
    <w:rsid w:val="11623EB9"/>
    <w:rsid w:val="116567D9"/>
    <w:rsid w:val="116575D6"/>
    <w:rsid w:val="11665CA1"/>
    <w:rsid w:val="117A18FA"/>
    <w:rsid w:val="11A26319"/>
    <w:rsid w:val="11A80D28"/>
    <w:rsid w:val="11BB562D"/>
    <w:rsid w:val="11BC387F"/>
    <w:rsid w:val="11D230A2"/>
    <w:rsid w:val="11D706B9"/>
    <w:rsid w:val="11D81ECD"/>
    <w:rsid w:val="11E24FB4"/>
    <w:rsid w:val="11F84662"/>
    <w:rsid w:val="11FE0E8F"/>
    <w:rsid w:val="12294F15"/>
    <w:rsid w:val="122F412C"/>
    <w:rsid w:val="12470904"/>
    <w:rsid w:val="126B2BAF"/>
    <w:rsid w:val="127E6902"/>
    <w:rsid w:val="1289735A"/>
    <w:rsid w:val="128E06A2"/>
    <w:rsid w:val="12955FA7"/>
    <w:rsid w:val="1297791D"/>
    <w:rsid w:val="12A77777"/>
    <w:rsid w:val="12B750DD"/>
    <w:rsid w:val="12D212D5"/>
    <w:rsid w:val="12EC1060"/>
    <w:rsid w:val="12F178B2"/>
    <w:rsid w:val="12FE7EC7"/>
    <w:rsid w:val="132032FB"/>
    <w:rsid w:val="13311D88"/>
    <w:rsid w:val="133643A5"/>
    <w:rsid w:val="134D0346"/>
    <w:rsid w:val="1362405A"/>
    <w:rsid w:val="136548A7"/>
    <w:rsid w:val="137A7C32"/>
    <w:rsid w:val="13951726"/>
    <w:rsid w:val="13987F9F"/>
    <w:rsid w:val="139C385F"/>
    <w:rsid w:val="139D14E6"/>
    <w:rsid w:val="13A24CF6"/>
    <w:rsid w:val="13A765B9"/>
    <w:rsid w:val="13C1184D"/>
    <w:rsid w:val="13D660DB"/>
    <w:rsid w:val="13E27620"/>
    <w:rsid w:val="140305AD"/>
    <w:rsid w:val="14080437"/>
    <w:rsid w:val="140B63F8"/>
    <w:rsid w:val="1418557D"/>
    <w:rsid w:val="14223741"/>
    <w:rsid w:val="14396509"/>
    <w:rsid w:val="143F1136"/>
    <w:rsid w:val="143F4997"/>
    <w:rsid w:val="14462BCD"/>
    <w:rsid w:val="14562F74"/>
    <w:rsid w:val="14712BD2"/>
    <w:rsid w:val="14802D66"/>
    <w:rsid w:val="14896F3A"/>
    <w:rsid w:val="14912451"/>
    <w:rsid w:val="14A76E6D"/>
    <w:rsid w:val="14B65CCC"/>
    <w:rsid w:val="14BB10DA"/>
    <w:rsid w:val="14D15660"/>
    <w:rsid w:val="14D7452C"/>
    <w:rsid w:val="14D92095"/>
    <w:rsid w:val="14DB2C5F"/>
    <w:rsid w:val="14DD2C3C"/>
    <w:rsid w:val="15020DFF"/>
    <w:rsid w:val="15062BD4"/>
    <w:rsid w:val="15162008"/>
    <w:rsid w:val="15246F5D"/>
    <w:rsid w:val="154D372B"/>
    <w:rsid w:val="156E7814"/>
    <w:rsid w:val="15716195"/>
    <w:rsid w:val="157708C6"/>
    <w:rsid w:val="15791055"/>
    <w:rsid w:val="157C3980"/>
    <w:rsid w:val="1583310B"/>
    <w:rsid w:val="159A3ED7"/>
    <w:rsid w:val="15AB66E8"/>
    <w:rsid w:val="15AE2CCE"/>
    <w:rsid w:val="15C40F54"/>
    <w:rsid w:val="15D31029"/>
    <w:rsid w:val="15E1151A"/>
    <w:rsid w:val="15EE319A"/>
    <w:rsid w:val="15F80FDE"/>
    <w:rsid w:val="15FE4154"/>
    <w:rsid w:val="16087E1D"/>
    <w:rsid w:val="160D2D38"/>
    <w:rsid w:val="16197E57"/>
    <w:rsid w:val="161A0842"/>
    <w:rsid w:val="162E5F98"/>
    <w:rsid w:val="16396C17"/>
    <w:rsid w:val="166D459F"/>
    <w:rsid w:val="167A4D34"/>
    <w:rsid w:val="16976668"/>
    <w:rsid w:val="169A7F07"/>
    <w:rsid w:val="16A02E08"/>
    <w:rsid w:val="16A07F1E"/>
    <w:rsid w:val="16A3500D"/>
    <w:rsid w:val="16A67217"/>
    <w:rsid w:val="16B40FC8"/>
    <w:rsid w:val="16B604CD"/>
    <w:rsid w:val="16B704C8"/>
    <w:rsid w:val="16BE6944"/>
    <w:rsid w:val="16D95624"/>
    <w:rsid w:val="16DB4B3A"/>
    <w:rsid w:val="16E65299"/>
    <w:rsid w:val="171750B3"/>
    <w:rsid w:val="171E4694"/>
    <w:rsid w:val="173E6922"/>
    <w:rsid w:val="17451826"/>
    <w:rsid w:val="17481711"/>
    <w:rsid w:val="175E54A0"/>
    <w:rsid w:val="17701D14"/>
    <w:rsid w:val="17716EB9"/>
    <w:rsid w:val="17735226"/>
    <w:rsid w:val="17964BA4"/>
    <w:rsid w:val="17996410"/>
    <w:rsid w:val="17A74689"/>
    <w:rsid w:val="17C214C3"/>
    <w:rsid w:val="17D94FA7"/>
    <w:rsid w:val="17E10D9C"/>
    <w:rsid w:val="17E34E12"/>
    <w:rsid w:val="17E520D8"/>
    <w:rsid w:val="17F673BF"/>
    <w:rsid w:val="180A5076"/>
    <w:rsid w:val="180A57D9"/>
    <w:rsid w:val="18246485"/>
    <w:rsid w:val="184218CE"/>
    <w:rsid w:val="185D0226"/>
    <w:rsid w:val="185D743E"/>
    <w:rsid w:val="18674D62"/>
    <w:rsid w:val="18685B4E"/>
    <w:rsid w:val="18770500"/>
    <w:rsid w:val="189932E0"/>
    <w:rsid w:val="189F624C"/>
    <w:rsid w:val="18B21EA4"/>
    <w:rsid w:val="18B70B60"/>
    <w:rsid w:val="18C4179E"/>
    <w:rsid w:val="18CB289B"/>
    <w:rsid w:val="18D074C4"/>
    <w:rsid w:val="18D23988"/>
    <w:rsid w:val="18D85B48"/>
    <w:rsid w:val="18E84CE7"/>
    <w:rsid w:val="18EB4A4A"/>
    <w:rsid w:val="190E79B3"/>
    <w:rsid w:val="192144D1"/>
    <w:rsid w:val="192C2713"/>
    <w:rsid w:val="19466124"/>
    <w:rsid w:val="19510D51"/>
    <w:rsid w:val="19646EB7"/>
    <w:rsid w:val="19801636"/>
    <w:rsid w:val="19807693"/>
    <w:rsid w:val="19874124"/>
    <w:rsid w:val="19A41E39"/>
    <w:rsid w:val="19A8293B"/>
    <w:rsid w:val="19AA2AEF"/>
    <w:rsid w:val="19D26CAE"/>
    <w:rsid w:val="1A083511"/>
    <w:rsid w:val="1A0A18E2"/>
    <w:rsid w:val="1A0F7F31"/>
    <w:rsid w:val="1A1C66C0"/>
    <w:rsid w:val="1A396B56"/>
    <w:rsid w:val="1A3D3CA6"/>
    <w:rsid w:val="1A42393B"/>
    <w:rsid w:val="1A4A57A0"/>
    <w:rsid w:val="1A5425CD"/>
    <w:rsid w:val="1A59631C"/>
    <w:rsid w:val="1A75281D"/>
    <w:rsid w:val="1A807414"/>
    <w:rsid w:val="1A944CEA"/>
    <w:rsid w:val="1AAD45DE"/>
    <w:rsid w:val="1AAE6093"/>
    <w:rsid w:val="1AB377E9"/>
    <w:rsid w:val="1AC6751C"/>
    <w:rsid w:val="1AC90DBB"/>
    <w:rsid w:val="1ACE3B9B"/>
    <w:rsid w:val="1AD318C1"/>
    <w:rsid w:val="1AD322A6"/>
    <w:rsid w:val="1AE479A2"/>
    <w:rsid w:val="1AE6075B"/>
    <w:rsid w:val="1AF24D5F"/>
    <w:rsid w:val="1AFC4CEC"/>
    <w:rsid w:val="1B046F80"/>
    <w:rsid w:val="1B1B165E"/>
    <w:rsid w:val="1B215305"/>
    <w:rsid w:val="1B273260"/>
    <w:rsid w:val="1B3267B5"/>
    <w:rsid w:val="1B3B7C6D"/>
    <w:rsid w:val="1B40161D"/>
    <w:rsid w:val="1B441859"/>
    <w:rsid w:val="1B5E7755"/>
    <w:rsid w:val="1B6606B1"/>
    <w:rsid w:val="1B68748A"/>
    <w:rsid w:val="1B7C1193"/>
    <w:rsid w:val="1BA45719"/>
    <w:rsid w:val="1BB2184F"/>
    <w:rsid w:val="1BB3732E"/>
    <w:rsid w:val="1BE0460E"/>
    <w:rsid w:val="1BE5395A"/>
    <w:rsid w:val="1BEB46CD"/>
    <w:rsid w:val="1BF43C15"/>
    <w:rsid w:val="1BFE52E6"/>
    <w:rsid w:val="1C124DF9"/>
    <w:rsid w:val="1C13053F"/>
    <w:rsid w:val="1C161DDD"/>
    <w:rsid w:val="1C2C7853"/>
    <w:rsid w:val="1C466FC0"/>
    <w:rsid w:val="1C5E7925"/>
    <w:rsid w:val="1C6022ED"/>
    <w:rsid w:val="1C6072CC"/>
    <w:rsid w:val="1C633387"/>
    <w:rsid w:val="1C861D17"/>
    <w:rsid w:val="1C955821"/>
    <w:rsid w:val="1C9677EE"/>
    <w:rsid w:val="1CA23671"/>
    <w:rsid w:val="1CA946E5"/>
    <w:rsid w:val="1CC474F1"/>
    <w:rsid w:val="1CCE4466"/>
    <w:rsid w:val="1CD00BDB"/>
    <w:rsid w:val="1CD53A47"/>
    <w:rsid w:val="1CE2100A"/>
    <w:rsid w:val="1CF829F8"/>
    <w:rsid w:val="1CF91CD0"/>
    <w:rsid w:val="1CFD070F"/>
    <w:rsid w:val="1CFD42F9"/>
    <w:rsid w:val="1D126A49"/>
    <w:rsid w:val="1D2E3157"/>
    <w:rsid w:val="1D385D84"/>
    <w:rsid w:val="1D3D339A"/>
    <w:rsid w:val="1D526E45"/>
    <w:rsid w:val="1D5822E5"/>
    <w:rsid w:val="1D5F6196"/>
    <w:rsid w:val="1D6132A5"/>
    <w:rsid w:val="1D71369F"/>
    <w:rsid w:val="1D8B1D9E"/>
    <w:rsid w:val="1D8E56D5"/>
    <w:rsid w:val="1D8F1E47"/>
    <w:rsid w:val="1D8F74D7"/>
    <w:rsid w:val="1D905BC0"/>
    <w:rsid w:val="1D9C4193"/>
    <w:rsid w:val="1DA47D8C"/>
    <w:rsid w:val="1DA578BD"/>
    <w:rsid w:val="1DA62271"/>
    <w:rsid w:val="1DA86194"/>
    <w:rsid w:val="1DB64641"/>
    <w:rsid w:val="1DCA1CC3"/>
    <w:rsid w:val="1DCD471E"/>
    <w:rsid w:val="1DD67E16"/>
    <w:rsid w:val="1DD972A4"/>
    <w:rsid w:val="1DE31597"/>
    <w:rsid w:val="1DFC3C14"/>
    <w:rsid w:val="1E022771"/>
    <w:rsid w:val="1E0A7720"/>
    <w:rsid w:val="1E34087D"/>
    <w:rsid w:val="1E3572D0"/>
    <w:rsid w:val="1E553C06"/>
    <w:rsid w:val="1E5B7F7C"/>
    <w:rsid w:val="1E64769F"/>
    <w:rsid w:val="1E7A43DA"/>
    <w:rsid w:val="1E7B061E"/>
    <w:rsid w:val="1E7B77D1"/>
    <w:rsid w:val="1E837784"/>
    <w:rsid w:val="1E870D71"/>
    <w:rsid w:val="1E9571BC"/>
    <w:rsid w:val="1EB853CE"/>
    <w:rsid w:val="1EC74C27"/>
    <w:rsid w:val="1EC948DB"/>
    <w:rsid w:val="1ECA19A8"/>
    <w:rsid w:val="1ED35E17"/>
    <w:rsid w:val="1EDF78B8"/>
    <w:rsid w:val="1EF2018A"/>
    <w:rsid w:val="1EFA027C"/>
    <w:rsid w:val="1F0F72B4"/>
    <w:rsid w:val="1F114ADE"/>
    <w:rsid w:val="1F1557CA"/>
    <w:rsid w:val="1F182311"/>
    <w:rsid w:val="1F1F544D"/>
    <w:rsid w:val="1F4D1FBA"/>
    <w:rsid w:val="1F4F1EEF"/>
    <w:rsid w:val="1F5350F7"/>
    <w:rsid w:val="1F58354D"/>
    <w:rsid w:val="1F686DF4"/>
    <w:rsid w:val="1F69491A"/>
    <w:rsid w:val="1F6C690C"/>
    <w:rsid w:val="1F727184"/>
    <w:rsid w:val="1F9508F2"/>
    <w:rsid w:val="1FAA1080"/>
    <w:rsid w:val="1FB73CB1"/>
    <w:rsid w:val="1FB7665A"/>
    <w:rsid w:val="1FCD4EA9"/>
    <w:rsid w:val="1FD30A73"/>
    <w:rsid w:val="1FE10954"/>
    <w:rsid w:val="1FE7539E"/>
    <w:rsid w:val="1FEB532F"/>
    <w:rsid w:val="20032679"/>
    <w:rsid w:val="2012185A"/>
    <w:rsid w:val="20140C1F"/>
    <w:rsid w:val="201D50C9"/>
    <w:rsid w:val="203B7AE5"/>
    <w:rsid w:val="204333BD"/>
    <w:rsid w:val="204E2C04"/>
    <w:rsid w:val="206155F1"/>
    <w:rsid w:val="20671BE0"/>
    <w:rsid w:val="206C10F6"/>
    <w:rsid w:val="207B2B57"/>
    <w:rsid w:val="207E4799"/>
    <w:rsid w:val="20872595"/>
    <w:rsid w:val="20892033"/>
    <w:rsid w:val="20963CB8"/>
    <w:rsid w:val="20996E1E"/>
    <w:rsid w:val="20A2776B"/>
    <w:rsid w:val="20A81A1B"/>
    <w:rsid w:val="20AB3E0B"/>
    <w:rsid w:val="20B07FB6"/>
    <w:rsid w:val="20B646FB"/>
    <w:rsid w:val="20CA3CE5"/>
    <w:rsid w:val="20D14525"/>
    <w:rsid w:val="20DB2E65"/>
    <w:rsid w:val="2106743D"/>
    <w:rsid w:val="211F7986"/>
    <w:rsid w:val="213B74B1"/>
    <w:rsid w:val="21431E1D"/>
    <w:rsid w:val="21537630"/>
    <w:rsid w:val="215A2310"/>
    <w:rsid w:val="21674965"/>
    <w:rsid w:val="217D2559"/>
    <w:rsid w:val="21B52099"/>
    <w:rsid w:val="21DE318A"/>
    <w:rsid w:val="21EF5B80"/>
    <w:rsid w:val="21FA1BE1"/>
    <w:rsid w:val="22061ED1"/>
    <w:rsid w:val="22213C6E"/>
    <w:rsid w:val="222259A5"/>
    <w:rsid w:val="22332FD0"/>
    <w:rsid w:val="22370D00"/>
    <w:rsid w:val="22493917"/>
    <w:rsid w:val="22576990"/>
    <w:rsid w:val="22635CE7"/>
    <w:rsid w:val="227855A0"/>
    <w:rsid w:val="22792AE5"/>
    <w:rsid w:val="227D2BB6"/>
    <w:rsid w:val="229B128E"/>
    <w:rsid w:val="22A002A0"/>
    <w:rsid w:val="22A2038C"/>
    <w:rsid w:val="22A63A99"/>
    <w:rsid w:val="22BC500D"/>
    <w:rsid w:val="22CD49A4"/>
    <w:rsid w:val="22E34664"/>
    <w:rsid w:val="22E91611"/>
    <w:rsid w:val="22F47480"/>
    <w:rsid w:val="23035B91"/>
    <w:rsid w:val="231C0182"/>
    <w:rsid w:val="23403BE4"/>
    <w:rsid w:val="23443C2E"/>
    <w:rsid w:val="234731C4"/>
    <w:rsid w:val="23641680"/>
    <w:rsid w:val="2369313B"/>
    <w:rsid w:val="236B654E"/>
    <w:rsid w:val="236C731D"/>
    <w:rsid w:val="23755A59"/>
    <w:rsid w:val="237F470C"/>
    <w:rsid w:val="238622A0"/>
    <w:rsid w:val="238C419A"/>
    <w:rsid w:val="23934799"/>
    <w:rsid w:val="23A229BA"/>
    <w:rsid w:val="23CC04EF"/>
    <w:rsid w:val="23CC1893"/>
    <w:rsid w:val="23CC5F50"/>
    <w:rsid w:val="23DE1C48"/>
    <w:rsid w:val="23E0282E"/>
    <w:rsid w:val="23F77E55"/>
    <w:rsid w:val="23FA0237"/>
    <w:rsid w:val="240210CD"/>
    <w:rsid w:val="24082F41"/>
    <w:rsid w:val="243639E2"/>
    <w:rsid w:val="245006B0"/>
    <w:rsid w:val="245416F5"/>
    <w:rsid w:val="24547542"/>
    <w:rsid w:val="246871E7"/>
    <w:rsid w:val="248A1A46"/>
    <w:rsid w:val="248D23E3"/>
    <w:rsid w:val="24B44C86"/>
    <w:rsid w:val="24BF09F7"/>
    <w:rsid w:val="24E90FA6"/>
    <w:rsid w:val="24F02D67"/>
    <w:rsid w:val="24F133E8"/>
    <w:rsid w:val="250C2269"/>
    <w:rsid w:val="251A293E"/>
    <w:rsid w:val="25216A19"/>
    <w:rsid w:val="25276E09"/>
    <w:rsid w:val="252D53FE"/>
    <w:rsid w:val="253372AB"/>
    <w:rsid w:val="254A2AF8"/>
    <w:rsid w:val="256040C9"/>
    <w:rsid w:val="256F2538"/>
    <w:rsid w:val="257B4622"/>
    <w:rsid w:val="25840416"/>
    <w:rsid w:val="259002BA"/>
    <w:rsid w:val="259863A2"/>
    <w:rsid w:val="259F3E4E"/>
    <w:rsid w:val="25B82157"/>
    <w:rsid w:val="25E96196"/>
    <w:rsid w:val="25EC2D81"/>
    <w:rsid w:val="25F767DC"/>
    <w:rsid w:val="261B1414"/>
    <w:rsid w:val="267F36B7"/>
    <w:rsid w:val="269E0FE3"/>
    <w:rsid w:val="26A6652E"/>
    <w:rsid w:val="26AD0BD0"/>
    <w:rsid w:val="26C568DA"/>
    <w:rsid w:val="26D27249"/>
    <w:rsid w:val="26E1123A"/>
    <w:rsid w:val="26E274D9"/>
    <w:rsid w:val="27023C1C"/>
    <w:rsid w:val="270F3FF9"/>
    <w:rsid w:val="27345586"/>
    <w:rsid w:val="275F1214"/>
    <w:rsid w:val="277057A2"/>
    <w:rsid w:val="277E61A6"/>
    <w:rsid w:val="27895B59"/>
    <w:rsid w:val="27C313CD"/>
    <w:rsid w:val="27D4642D"/>
    <w:rsid w:val="27E019A1"/>
    <w:rsid w:val="27E64D5A"/>
    <w:rsid w:val="27F67B0F"/>
    <w:rsid w:val="27F70372"/>
    <w:rsid w:val="2804417C"/>
    <w:rsid w:val="280619E5"/>
    <w:rsid w:val="28110042"/>
    <w:rsid w:val="28312663"/>
    <w:rsid w:val="2837591A"/>
    <w:rsid w:val="284F5BAF"/>
    <w:rsid w:val="28527E95"/>
    <w:rsid w:val="28553C8E"/>
    <w:rsid w:val="28664098"/>
    <w:rsid w:val="2880084C"/>
    <w:rsid w:val="28804788"/>
    <w:rsid w:val="28884849"/>
    <w:rsid w:val="289A5B44"/>
    <w:rsid w:val="28C50E13"/>
    <w:rsid w:val="28D056B2"/>
    <w:rsid w:val="28D21782"/>
    <w:rsid w:val="28DF79EB"/>
    <w:rsid w:val="28FD67FF"/>
    <w:rsid w:val="29054A6B"/>
    <w:rsid w:val="29057462"/>
    <w:rsid w:val="291E1B7C"/>
    <w:rsid w:val="29206EB8"/>
    <w:rsid w:val="29364DFF"/>
    <w:rsid w:val="29577432"/>
    <w:rsid w:val="29595666"/>
    <w:rsid w:val="296D7E62"/>
    <w:rsid w:val="29874881"/>
    <w:rsid w:val="299A41C5"/>
    <w:rsid w:val="299D58EC"/>
    <w:rsid w:val="29B11398"/>
    <w:rsid w:val="29C966E1"/>
    <w:rsid w:val="29D4667F"/>
    <w:rsid w:val="29D60DFE"/>
    <w:rsid w:val="29E325E0"/>
    <w:rsid w:val="2A2B4488"/>
    <w:rsid w:val="2A452503"/>
    <w:rsid w:val="2A495A74"/>
    <w:rsid w:val="2A4B3E74"/>
    <w:rsid w:val="2A4C00B7"/>
    <w:rsid w:val="2A570783"/>
    <w:rsid w:val="2A5E01C0"/>
    <w:rsid w:val="2A5F03C3"/>
    <w:rsid w:val="2A601504"/>
    <w:rsid w:val="2A6048FA"/>
    <w:rsid w:val="2A846AAC"/>
    <w:rsid w:val="2A9115B6"/>
    <w:rsid w:val="2A9C2048"/>
    <w:rsid w:val="2A9D36CA"/>
    <w:rsid w:val="2AA33A14"/>
    <w:rsid w:val="2AAA552C"/>
    <w:rsid w:val="2AB44F4C"/>
    <w:rsid w:val="2AB86B7D"/>
    <w:rsid w:val="2ACE3C93"/>
    <w:rsid w:val="2AD63124"/>
    <w:rsid w:val="2AEC6B2B"/>
    <w:rsid w:val="2AFA42F8"/>
    <w:rsid w:val="2B056DD7"/>
    <w:rsid w:val="2B2C5691"/>
    <w:rsid w:val="2B397896"/>
    <w:rsid w:val="2B611A6B"/>
    <w:rsid w:val="2B79407C"/>
    <w:rsid w:val="2B7D5CE8"/>
    <w:rsid w:val="2BA936A8"/>
    <w:rsid w:val="2BBA71B2"/>
    <w:rsid w:val="2BC01CAB"/>
    <w:rsid w:val="2BC55BB3"/>
    <w:rsid w:val="2BC90C1A"/>
    <w:rsid w:val="2BDE0402"/>
    <w:rsid w:val="2C0269F8"/>
    <w:rsid w:val="2C045133"/>
    <w:rsid w:val="2C0A5D59"/>
    <w:rsid w:val="2C0F23A5"/>
    <w:rsid w:val="2C22032B"/>
    <w:rsid w:val="2C2440A3"/>
    <w:rsid w:val="2C267E1B"/>
    <w:rsid w:val="2C2C01F2"/>
    <w:rsid w:val="2C3047F6"/>
    <w:rsid w:val="2C315A5A"/>
    <w:rsid w:val="2C3F624A"/>
    <w:rsid w:val="2C484BA7"/>
    <w:rsid w:val="2C4B1C25"/>
    <w:rsid w:val="2C4E4561"/>
    <w:rsid w:val="2C573F31"/>
    <w:rsid w:val="2C7B1B7F"/>
    <w:rsid w:val="2CB90C8F"/>
    <w:rsid w:val="2CBC3B6B"/>
    <w:rsid w:val="2CC23D57"/>
    <w:rsid w:val="2CF83CFD"/>
    <w:rsid w:val="2D0805C4"/>
    <w:rsid w:val="2D19172E"/>
    <w:rsid w:val="2D1C24DE"/>
    <w:rsid w:val="2D31569A"/>
    <w:rsid w:val="2D4376CE"/>
    <w:rsid w:val="2D6548C7"/>
    <w:rsid w:val="2D93669C"/>
    <w:rsid w:val="2D9E56F5"/>
    <w:rsid w:val="2DBB3268"/>
    <w:rsid w:val="2DCB7A40"/>
    <w:rsid w:val="2DCD2C67"/>
    <w:rsid w:val="2DCE63F4"/>
    <w:rsid w:val="2DD20984"/>
    <w:rsid w:val="2DD343DA"/>
    <w:rsid w:val="2DF94F7E"/>
    <w:rsid w:val="2E072EE4"/>
    <w:rsid w:val="2E156399"/>
    <w:rsid w:val="2E261D3B"/>
    <w:rsid w:val="2E292763"/>
    <w:rsid w:val="2E47045D"/>
    <w:rsid w:val="2E667F96"/>
    <w:rsid w:val="2E7D11E5"/>
    <w:rsid w:val="2E8226AB"/>
    <w:rsid w:val="2E9E47DE"/>
    <w:rsid w:val="2E9E66F8"/>
    <w:rsid w:val="2EA712DE"/>
    <w:rsid w:val="2EAF3FEB"/>
    <w:rsid w:val="2EBA0CEE"/>
    <w:rsid w:val="2EBE24C5"/>
    <w:rsid w:val="2ED51684"/>
    <w:rsid w:val="2EDC7466"/>
    <w:rsid w:val="2EE31FF3"/>
    <w:rsid w:val="2EE63891"/>
    <w:rsid w:val="2EF10C23"/>
    <w:rsid w:val="2EFF107A"/>
    <w:rsid w:val="2F065F82"/>
    <w:rsid w:val="2F1D3C84"/>
    <w:rsid w:val="2F1F1A24"/>
    <w:rsid w:val="2F27508D"/>
    <w:rsid w:val="2F300F9C"/>
    <w:rsid w:val="2F482981"/>
    <w:rsid w:val="2F4A02C4"/>
    <w:rsid w:val="2F70032C"/>
    <w:rsid w:val="2F792B56"/>
    <w:rsid w:val="2F880DEC"/>
    <w:rsid w:val="2F9B0B20"/>
    <w:rsid w:val="2FAC6889"/>
    <w:rsid w:val="2FAD4315"/>
    <w:rsid w:val="2FB219C5"/>
    <w:rsid w:val="2FCA5750"/>
    <w:rsid w:val="2FD065E6"/>
    <w:rsid w:val="2FD1009E"/>
    <w:rsid w:val="2FD96870"/>
    <w:rsid w:val="2FEA5603"/>
    <w:rsid w:val="2FFA3A98"/>
    <w:rsid w:val="300B0554"/>
    <w:rsid w:val="30515B21"/>
    <w:rsid w:val="30580BC9"/>
    <w:rsid w:val="307C26FF"/>
    <w:rsid w:val="307D0225"/>
    <w:rsid w:val="30B810D3"/>
    <w:rsid w:val="30B95F9D"/>
    <w:rsid w:val="30BD4AC6"/>
    <w:rsid w:val="30C4695C"/>
    <w:rsid w:val="30C61BCC"/>
    <w:rsid w:val="30CB0F91"/>
    <w:rsid w:val="30D52325"/>
    <w:rsid w:val="30DD2A00"/>
    <w:rsid w:val="30F3602A"/>
    <w:rsid w:val="30F72C15"/>
    <w:rsid w:val="30FF795A"/>
    <w:rsid w:val="311E2ED7"/>
    <w:rsid w:val="31242BF5"/>
    <w:rsid w:val="312C00A2"/>
    <w:rsid w:val="31421AD4"/>
    <w:rsid w:val="31436D79"/>
    <w:rsid w:val="3147728F"/>
    <w:rsid w:val="31513840"/>
    <w:rsid w:val="31535589"/>
    <w:rsid w:val="315619EE"/>
    <w:rsid w:val="315C449C"/>
    <w:rsid w:val="31734EAD"/>
    <w:rsid w:val="31916BE2"/>
    <w:rsid w:val="319D2F9C"/>
    <w:rsid w:val="31B82709"/>
    <w:rsid w:val="31C338EC"/>
    <w:rsid w:val="31C854D0"/>
    <w:rsid w:val="31D05482"/>
    <w:rsid w:val="31D73F4A"/>
    <w:rsid w:val="31E5732F"/>
    <w:rsid w:val="31F6185B"/>
    <w:rsid w:val="31F94BEF"/>
    <w:rsid w:val="32000BC3"/>
    <w:rsid w:val="32042FF1"/>
    <w:rsid w:val="32144BB9"/>
    <w:rsid w:val="322C360B"/>
    <w:rsid w:val="3237695E"/>
    <w:rsid w:val="323A32C2"/>
    <w:rsid w:val="32400B34"/>
    <w:rsid w:val="324059AE"/>
    <w:rsid w:val="325F4087"/>
    <w:rsid w:val="3299668E"/>
    <w:rsid w:val="329E6876"/>
    <w:rsid w:val="32A70893"/>
    <w:rsid w:val="32AA2B6C"/>
    <w:rsid w:val="32B22ACA"/>
    <w:rsid w:val="32CA196C"/>
    <w:rsid w:val="32DC0059"/>
    <w:rsid w:val="32E62794"/>
    <w:rsid w:val="32E90B8A"/>
    <w:rsid w:val="32F80037"/>
    <w:rsid w:val="33030EB6"/>
    <w:rsid w:val="330B7D6A"/>
    <w:rsid w:val="331210F9"/>
    <w:rsid w:val="331C1F78"/>
    <w:rsid w:val="331D7A9E"/>
    <w:rsid w:val="33282BB7"/>
    <w:rsid w:val="333015F2"/>
    <w:rsid w:val="333D125D"/>
    <w:rsid w:val="3340519B"/>
    <w:rsid w:val="334B6320"/>
    <w:rsid w:val="334C2F2B"/>
    <w:rsid w:val="33567C57"/>
    <w:rsid w:val="3372450C"/>
    <w:rsid w:val="33802364"/>
    <w:rsid w:val="33997CC6"/>
    <w:rsid w:val="33A2476A"/>
    <w:rsid w:val="33AD7074"/>
    <w:rsid w:val="33B87479"/>
    <w:rsid w:val="33BD20BF"/>
    <w:rsid w:val="33C148CD"/>
    <w:rsid w:val="33CB6A31"/>
    <w:rsid w:val="33D162B9"/>
    <w:rsid w:val="33D934D4"/>
    <w:rsid w:val="33DE547F"/>
    <w:rsid w:val="33F24ADD"/>
    <w:rsid w:val="33FE2F6A"/>
    <w:rsid w:val="34024234"/>
    <w:rsid w:val="3403609E"/>
    <w:rsid w:val="340A0D53"/>
    <w:rsid w:val="340E07E5"/>
    <w:rsid w:val="34142C4F"/>
    <w:rsid w:val="34235BF7"/>
    <w:rsid w:val="34256C0A"/>
    <w:rsid w:val="34367069"/>
    <w:rsid w:val="34396807"/>
    <w:rsid w:val="344A6670"/>
    <w:rsid w:val="344D10D1"/>
    <w:rsid w:val="344D5780"/>
    <w:rsid w:val="346911EC"/>
    <w:rsid w:val="346E05B1"/>
    <w:rsid w:val="34713BFD"/>
    <w:rsid w:val="349D3C0D"/>
    <w:rsid w:val="34A13785"/>
    <w:rsid w:val="34AD40D4"/>
    <w:rsid w:val="34BE4161"/>
    <w:rsid w:val="34C71AEA"/>
    <w:rsid w:val="34CB717A"/>
    <w:rsid w:val="34DB19BE"/>
    <w:rsid w:val="34DD355E"/>
    <w:rsid w:val="3506748C"/>
    <w:rsid w:val="3518676F"/>
    <w:rsid w:val="351D4414"/>
    <w:rsid w:val="353366E4"/>
    <w:rsid w:val="35373099"/>
    <w:rsid w:val="35400693"/>
    <w:rsid w:val="35677698"/>
    <w:rsid w:val="356D4619"/>
    <w:rsid w:val="35781E67"/>
    <w:rsid w:val="357A2F85"/>
    <w:rsid w:val="357B5677"/>
    <w:rsid w:val="357D34DD"/>
    <w:rsid w:val="358279F3"/>
    <w:rsid w:val="3585424D"/>
    <w:rsid w:val="3589141A"/>
    <w:rsid w:val="358C5FA8"/>
    <w:rsid w:val="358D0F27"/>
    <w:rsid w:val="359C73A0"/>
    <w:rsid w:val="35A528F9"/>
    <w:rsid w:val="35B91D00"/>
    <w:rsid w:val="35BF4381"/>
    <w:rsid w:val="35C15DF1"/>
    <w:rsid w:val="35D42696"/>
    <w:rsid w:val="35E054DE"/>
    <w:rsid w:val="35EA0005"/>
    <w:rsid w:val="36064819"/>
    <w:rsid w:val="36074A7F"/>
    <w:rsid w:val="360D3DFA"/>
    <w:rsid w:val="361A4A7B"/>
    <w:rsid w:val="36201D7F"/>
    <w:rsid w:val="362328F8"/>
    <w:rsid w:val="362F432F"/>
    <w:rsid w:val="36393F35"/>
    <w:rsid w:val="36415CC6"/>
    <w:rsid w:val="36631C6B"/>
    <w:rsid w:val="36714183"/>
    <w:rsid w:val="3690366D"/>
    <w:rsid w:val="36923549"/>
    <w:rsid w:val="36944C4F"/>
    <w:rsid w:val="369B0BC7"/>
    <w:rsid w:val="36B75FBF"/>
    <w:rsid w:val="36BD0C45"/>
    <w:rsid w:val="36BD461E"/>
    <w:rsid w:val="36C40677"/>
    <w:rsid w:val="36C519D9"/>
    <w:rsid w:val="36C555D8"/>
    <w:rsid w:val="36CF10AF"/>
    <w:rsid w:val="36D64753"/>
    <w:rsid w:val="36EF47D1"/>
    <w:rsid w:val="36F6488E"/>
    <w:rsid w:val="36F84876"/>
    <w:rsid w:val="36FC5BB4"/>
    <w:rsid w:val="36FD595A"/>
    <w:rsid w:val="372E11FF"/>
    <w:rsid w:val="3736112E"/>
    <w:rsid w:val="373D540C"/>
    <w:rsid w:val="374E412B"/>
    <w:rsid w:val="37677539"/>
    <w:rsid w:val="37A32ECD"/>
    <w:rsid w:val="37A5694D"/>
    <w:rsid w:val="37B06B2D"/>
    <w:rsid w:val="37B24134"/>
    <w:rsid w:val="37C81BE6"/>
    <w:rsid w:val="37E00298"/>
    <w:rsid w:val="37E40B8A"/>
    <w:rsid w:val="38195A9B"/>
    <w:rsid w:val="381A593A"/>
    <w:rsid w:val="38294E2C"/>
    <w:rsid w:val="383D7513"/>
    <w:rsid w:val="383F6B1D"/>
    <w:rsid w:val="38402264"/>
    <w:rsid w:val="385250E9"/>
    <w:rsid w:val="38585104"/>
    <w:rsid w:val="385D2BED"/>
    <w:rsid w:val="38623F68"/>
    <w:rsid w:val="3864398B"/>
    <w:rsid w:val="386F77ED"/>
    <w:rsid w:val="38724626"/>
    <w:rsid w:val="387A4E0B"/>
    <w:rsid w:val="38AC0AB3"/>
    <w:rsid w:val="38B302F9"/>
    <w:rsid w:val="38D971CD"/>
    <w:rsid w:val="38F12CD3"/>
    <w:rsid w:val="38F2548A"/>
    <w:rsid w:val="38F94775"/>
    <w:rsid w:val="390465DF"/>
    <w:rsid w:val="3908459E"/>
    <w:rsid w:val="39172166"/>
    <w:rsid w:val="39203A50"/>
    <w:rsid w:val="392971ED"/>
    <w:rsid w:val="392E5BA9"/>
    <w:rsid w:val="39325651"/>
    <w:rsid w:val="39475874"/>
    <w:rsid w:val="39594B0A"/>
    <w:rsid w:val="39716715"/>
    <w:rsid w:val="39A22AAB"/>
    <w:rsid w:val="39BA13E3"/>
    <w:rsid w:val="39BE778C"/>
    <w:rsid w:val="39BF4865"/>
    <w:rsid w:val="39BF7692"/>
    <w:rsid w:val="39CB0253"/>
    <w:rsid w:val="39D808C6"/>
    <w:rsid w:val="39E268BF"/>
    <w:rsid w:val="39E5103F"/>
    <w:rsid w:val="3A105538"/>
    <w:rsid w:val="3A123518"/>
    <w:rsid w:val="3A19447F"/>
    <w:rsid w:val="3A227A5C"/>
    <w:rsid w:val="3A2636DC"/>
    <w:rsid w:val="3A46338B"/>
    <w:rsid w:val="3A4F678F"/>
    <w:rsid w:val="3A5B08D0"/>
    <w:rsid w:val="3A824DB6"/>
    <w:rsid w:val="3A872856"/>
    <w:rsid w:val="3AAE3310"/>
    <w:rsid w:val="3ABA05E3"/>
    <w:rsid w:val="3AD35612"/>
    <w:rsid w:val="3AE50EA1"/>
    <w:rsid w:val="3AF37A62"/>
    <w:rsid w:val="3B16386B"/>
    <w:rsid w:val="3B1C64BD"/>
    <w:rsid w:val="3B1D4ADF"/>
    <w:rsid w:val="3B2A3510"/>
    <w:rsid w:val="3B33490A"/>
    <w:rsid w:val="3B3763D1"/>
    <w:rsid w:val="3B3B31B7"/>
    <w:rsid w:val="3B725E37"/>
    <w:rsid w:val="3B844B0C"/>
    <w:rsid w:val="3B8F34C7"/>
    <w:rsid w:val="3B993A5E"/>
    <w:rsid w:val="3B9C12AF"/>
    <w:rsid w:val="3BBC42F8"/>
    <w:rsid w:val="3BBC67B6"/>
    <w:rsid w:val="3BD37F49"/>
    <w:rsid w:val="3BDA652C"/>
    <w:rsid w:val="3BE52982"/>
    <w:rsid w:val="3BE752C8"/>
    <w:rsid w:val="3BEB24E7"/>
    <w:rsid w:val="3BF1065F"/>
    <w:rsid w:val="3C061A59"/>
    <w:rsid w:val="3C241E9D"/>
    <w:rsid w:val="3C2F6E1E"/>
    <w:rsid w:val="3C4F64BA"/>
    <w:rsid w:val="3C5C1637"/>
    <w:rsid w:val="3C682A76"/>
    <w:rsid w:val="3C776CBD"/>
    <w:rsid w:val="3C8F7316"/>
    <w:rsid w:val="3CA31014"/>
    <w:rsid w:val="3CAD1E92"/>
    <w:rsid w:val="3CCD3349"/>
    <w:rsid w:val="3CD825B8"/>
    <w:rsid w:val="3CDA245A"/>
    <w:rsid w:val="3CDF1CD3"/>
    <w:rsid w:val="3CFC5114"/>
    <w:rsid w:val="3D083518"/>
    <w:rsid w:val="3D167A65"/>
    <w:rsid w:val="3D1B32A0"/>
    <w:rsid w:val="3D1D47D7"/>
    <w:rsid w:val="3D1E06B7"/>
    <w:rsid w:val="3D295F0E"/>
    <w:rsid w:val="3D330A4C"/>
    <w:rsid w:val="3D354A42"/>
    <w:rsid w:val="3D363C36"/>
    <w:rsid w:val="3D5132BA"/>
    <w:rsid w:val="3D595B76"/>
    <w:rsid w:val="3D8C1AA8"/>
    <w:rsid w:val="3D9F0E00"/>
    <w:rsid w:val="3DA81ED8"/>
    <w:rsid w:val="3DC47494"/>
    <w:rsid w:val="3DDB1939"/>
    <w:rsid w:val="3DDD0555"/>
    <w:rsid w:val="3DE32437"/>
    <w:rsid w:val="3E3F1164"/>
    <w:rsid w:val="3E511645"/>
    <w:rsid w:val="3E94330A"/>
    <w:rsid w:val="3EA22003"/>
    <w:rsid w:val="3EB80566"/>
    <w:rsid w:val="3EC44C7B"/>
    <w:rsid w:val="3EDA0523"/>
    <w:rsid w:val="3EED2A1A"/>
    <w:rsid w:val="3EEF0540"/>
    <w:rsid w:val="3F03223E"/>
    <w:rsid w:val="3F04402F"/>
    <w:rsid w:val="3F122481"/>
    <w:rsid w:val="3F15615C"/>
    <w:rsid w:val="3F2226C4"/>
    <w:rsid w:val="3F2E72F8"/>
    <w:rsid w:val="3F4D6710"/>
    <w:rsid w:val="3F8133B0"/>
    <w:rsid w:val="3F850DDC"/>
    <w:rsid w:val="3F9B2476"/>
    <w:rsid w:val="3FC1050E"/>
    <w:rsid w:val="3FC90D91"/>
    <w:rsid w:val="3FCA2922"/>
    <w:rsid w:val="3FF102E8"/>
    <w:rsid w:val="3FF45607"/>
    <w:rsid w:val="3FF83425"/>
    <w:rsid w:val="402D6EBB"/>
    <w:rsid w:val="40440D59"/>
    <w:rsid w:val="404531FF"/>
    <w:rsid w:val="406D3AC3"/>
    <w:rsid w:val="407A6407"/>
    <w:rsid w:val="40880C4C"/>
    <w:rsid w:val="40D65C15"/>
    <w:rsid w:val="40E213A7"/>
    <w:rsid w:val="40F14768"/>
    <w:rsid w:val="40F868B8"/>
    <w:rsid w:val="41054D9E"/>
    <w:rsid w:val="41264B4B"/>
    <w:rsid w:val="412D35A2"/>
    <w:rsid w:val="412F603D"/>
    <w:rsid w:val="41320BB8"/>
    <w:rsid w:val="414D6E2D"/>
    <w:rsid w:val="415028BF"/>
    <w:rsid w:val="41652D3C"/>
    <w:rsid w:val="41720912"/>
    <w:rsid w:val="41C8221C"/>
    <w:rsid w:val="41CC707C"/>
    <w:rsid w:val="41CD6CF7"/>
    <w:rsid w:val="41F965E3"/>
    <w:rsid w:val="4200449D"/>
    <w:rsid w:val="42093DD9"/>
    <w:rsid w:val="422F5263"/>
    <w:rsid w:val="423A3BCC"/>
    <w:rsid w:val="423A6666"/>
    <w:rsid w:val="424E57D2"/>
    <w:rsid w:val="426A6115"/>
    <w:rsid w:val="42842D49"/>
    <w:rsid w:val="429E4757"/>
    <w:rsid w:val="42A11203"/>
    <w:rsid w:val="42A4262E"/>
    <w:rsid w:val="42B26C49"/>
    <w:rsid w:val="42B37AD7"/>
    <w:rsid w:val="42C27D1A"/>
    <w:rsid w:val="430B44F5"/>
    <w:rsid w:val="433A2DDF"/>
    <w:rsid w:val="433A6FE6"/>
    <w:rsid w:val="43480868"/>
    <w:rsid w:val="4350713C"/>
    <w:rsid w:val="43561E73"/>
    <w:rsid w:val="436653E0"/>
    <w:rsid w:val="437E6337"/>
    <w:rsid w:val="43954001"/>
    <w:rsid w:val="43A74F98"/>
    <w:rsid w:val="43AF3685"/>
    <w:rsid w:val="43B6787E"/>
    <w:rsid w:val="43C17D93"/>
    <w:rsid w:val="43C4431A"/>
    <w:rsid w:val="43C57AC2"/>
    <w:rsid w:val="43D81E46"/>
    <w:rsid w:val="43E077C9"/>
    <w:rsid w:val="43EE648D"/>
    <w:rsid w:val="43F25B34"/>
    <w:rsid w:val="44124799"/>
    <w:rsid w:val="443334C0"/>
    <w:rsid w:val="44364FE3"/>
    <w:rsid w:val="443855B1"/>
    <w:rsid w:val="44391A79"/>
    <w:rsid w:val="443C7EB9"/>
    <w:rsid w:val="44543EEF"/>
    <w:rsid w:val="44715950"/>
    <w:rsid w:val="44774EB8"/>
    <w:rsid w:val="44782D86"/>
    <w:rsid w:val="447A06D8"/>
    <w:rsid w:val="447B4D9C"/>
    <w:rsid w:val="447F5EC2"/>
    <w:rsid w:val="448476F1"/>
    <w:rsid w:val="44A4205E"/>
    <w:rsid w:val="44AD4AE7"/>
    <w:rsid w:val="44AE56BD"/>
    <w:rsid w:val="44B951CC"/>
    <w:rsid w:val="44CD14E0"/>
    <w:rsid w:val="44D81A76"/>
    <w:rsid w:val="44DA759D"/>
    <w:rsid w:val="44E10783"/>
    <w:rsid w:val="44F20B0B"/>
    <w:rsid w:val="44FD328B"/>
    <w:rsid w:val="452D183E"/>
    <w:rsid w:val="452E2293"/>
    <w:rsid w:val="452E5F4C"/>
    <w:rsid w:val="453C3DB3"/>
    <w:rsid w:val="453E7B2C"/>
    <w:rsid w:val="455455A1"/>
    <w:rsid w:val="45612018"/>
    <w:rsid w:val="4561381A"/>
    <w:rsid w:val="45667082"/>
    <w:rsid w:val="456B6E89"/>
    <w:rsid w:val="45701CAF"/>
    <w:rsid w:val="45706463"/>
    <w:rsid w:val="458946E9"/>
    <w:rsid w:val="45A47C0E"/>
    <w:rsid w:val="45B8042E"/>
    <w:rsid w:val="45D175C9"/>
    <w:rsid w:val="45DE40E5"/>
    <w:rsid w:val="45E3145B"/>
    <w:rsid w:val="45EA380F"/>
    <w:rsid w:val="46004DE1"/>
    <w:rsid w:val="46027484"/>
    <w:rsid w:val="46107135"/>
    <w:rsid w:val="461C42E4"/>
    <w:rsid w:val="4626675E"/>
    <w:rsid w:val="46577FD6"/>
    <w:rsid w:val="466874E9"/>
    <w:rsid w:val="466E4440"/>
    <w:rsid w:val="466F4F80"/>
    <w:rsid w:val="4670640B"/>
    <w:rsid w:val="46737CA9"/>
    <w:rsid w:val="469043B7"/>
    <w:rsid w:val="46D955A7"/>
    <w:rsid w:val="46E95100"/>
    <w:rsid w:val="46EC0D3A"/>
    <w:rsid w:val="46F25071"/>
    <w:rsid w:val="46FC5E48"/>
    <w:rsid w:val="47133957"/>
    <w:rsid w:val="474C7559"/>
    <w:rsid w:val="475048F5"/>
    <w:rsid w:val="47543636"/>
    <w:rsid w:val="47584032"/>
    <w:rsid w:val="477C3E97"/>
    <w:rsid w:val="4783216D"/>
    <w:rsid w:val="4783315E"/>
    <w:rsid w:val="478D08F6"/>
    <w:rsid w:val="47A07E0C"/>
    <w:rsid w:val="47C111AF"/>
    <w:rsid w:val="47D429C9"/>
    <w:rsid w:val="47D44777"/>
    <w:rsid w:val="47E0311C"/>
    <w:rsid w:val="47F85D7E"/>
    <w:rsid w:val="4812506E"/>
    <w:rsid w:val="48174664"/>
    <w:rsid w:val="481A154B"/>
    <w:rsid w:val="482B699E"/>
    <w:rsid w:val="484418FD"/>
    <w:rsid w:val="485125FB"/>
    <w:rsid w:val="48512660"/>
    <w:rsid w:val="485A6857"/>
    <w:rsid w:val="485F21A7"/>
    <w:rsid w:val="48651873"/>
    <w:rsid w:val="48687944"/>
    <w:rsid w:val="486D4E03"/>
    <w:rsid w:val="4870272E"/>
    <w:rsid w:val="48741AB6"/>
    <w:rsid w:val="48783354"/>
    <w:rsid w:val="4878796E"/>
    <w:rsid w:val="487C6DF6"/>
    <w:rsid w:val="4882778C"/>
    <w:rsid w:val="488C7C32"/>
    <w:rsid w:val="489F4D85"/>
    <w:rsid w:val="48C93BB0"/>
    <w:rsid w:val="48CD641C"/>
    <w:rsid w:val="48D53233"/>
    <w:rsid w:val="48DA5DBD"/>
    <w:rsid w:val="48DF1625"/>
    <w:rsid w:val="48E50CC1"/>
    <w:rsid w:val="48EA4000"/>
    <w:rsid w:val="48EB1D78"/>
    <w:rsid w:val="48F52BF7"/>
    <w:rsid w:val="48FA020D"/>
    <w:rsid w:val="48FA5516"/>
    <w:rsid w:val="48FC3F85"/>
    <w:rsid w:val="49071E24"/>
    <w:rsid w:val="491E2DBF"/>
    <w:rsid w:val="492732DF"/>
    <w:rsid w:val="492B6E5B"/>
    <w:rsid w:val="49367059"/>
    <w:rsid w:val="495C4104"/>
    <w:rsid w:val="49684B22"/>
    <w:rsid w:val="49867532"/>
    <w:rsid w:val="498F2506"/>
    <w:rsid w:val="49AD6C71"/>
    <w:rsid w:val="49B56851"/>
    <w:rsid w:val="49CA4A1A"/>
    <w:rsid w:val="49DC7715"/>
    <w:rsid w:val="49E07403"/>
    <w:rsid w:val="49E40496"/>
    <w:rsid w:val="49F11610"/>
    <w:rsid w:val="49F124B9"/>
    <w:rsid w:val="49F41101"/>
    <w:rsid w:val="49FD2107"/>
    <w:rsid w:val="4A023139"/>
    <w:rsid w:val="4A0E0C60"/>
    <w:rsid w:val="4A174CED"/>
    <w:rsid w:val="4A2016AA"/>
    <w:rsid w:val="4A374032"/>
    <w:rsid w:val="4A42233D"/>
    <w:rsid w:val="4A495E33"/>
    <w:rsid w:val="4A6231C4"/>
    <w:rsid w:val="4A69564B"/>
    <w:rsid w:val="4A6963F3"/>
    <w:rsid w:val="4A7B576F"/>
    <w:rsid w:val="4A7B5977"/>
    <w:rsid w:val="4A7F6A22"/>
    <w:rsid w:val="4A8578ED"/>
    <w:rsid w:val="4A9C268A"/>
    <w:rsid w:val="4A9E3566"/>
    <w:rsid w:val="4AAE3290"/>
    <w:rsid w:val="4AAE64FB"/>
    <w:rsid w:val="4AE70C53"/>
    <w:rsid w:val="4AEE5F25"/>
    <w:rsid w:val="4AEF12C4"/>
    <w:rsid w:val="4AF37680"/>
    <w:rsid w:val="4AF561A9"/>
    <w:rsid w:val="4AFF1B0B"/>
    <w:rsid w:val="4B102DE2"/>
    <w:rsid w:val="4B116E05"/>
    <w:rsid w:val="4B1977E7"/>
    <w:rsid w:val="4B1A2435"/>
    <w:rsid w:val="4B2E6F0F"/>
    <w:rsid w:val="4B360DA7"/>
    <w:rsid w:val="4B5D5DFB"/>
    <w:rsid w:val="4B6000DE"/>
    <w:rsid w:val="4B881FB8"/>
    <w:rsid w:val="4B953269"/>
    <w:rsid w:val="4BBA1ED6"/>
    <w:rsid w:val="4BC516EA"/>
    <w:rsid w:val="4BF76C86"/>
    <w:rsid w:val="4BFF02E3"/>
    <w:rsid w:val="4C001FDF"/>
    <w:rsid w:val="4C065F5C"/>
    <w:rsid w:val="4C211F55"/>
    <w:rsid w:val="4C296491"/>
    <w:rsid w:val="4C3447C6"/>
    <w:rsid w:val="4C365A00"/>
    <w:rsid w:val="4C4719BC"/>
    <w:rsid w:val="4C4A0649"/>
    <w:rsid w:val="4C643571"/>
    <w:rsid w:val="4C74490D"/>
    <w:rsid w:val="4C7E5ECA"/>
    <w:rsid w:val="4C820C46"/>
    <w:rsid w:val="4C83592D"/>
    <w:rsid w:val="4C876AA5"/>
    <w:rsid w:val="4C885C64"/>
    <w:rsid w:val="4C8B2404"/>
    <w:rsid w:val="4C942727"/>
    <w:rsid w:val="4C98497D"/>
    <w:rsid w:val="4CA76F77"/>
    <w:rsid w:val="4CCC1EC1"/>
    <w:rsid w:val="4CD877A0"/>
    <w:rsid w:val="4CE8124B"/>
    <w:rsid w:val="4CFE23DC"/>
    <w:rsid w:val="4D0618E7"/>
    <w:rsid w:val="4D09154B"/>
    <w:rsid w:val="4D0E00FB"/>
    <w:rsid w:val="4D176606"/>
    <w:rsid w:val="4D186EB4"/>
    <w:rsid w:val="4D1A3B1C"/>
    <w:rsid w:val="4D1C3C25"/>
    <w:rsid w:val="4D2C45E1"/>
    <w:rsid w:val="4D2D5989"/>
    <w:rsid w:val="4D31065B"/>
    <w:rsid w:val="4D622624"/>
    <w:rsid w:val="4D671BE9"/>
    <w:rsid w:val="4D67598A"/>
    <w:rsid w:val="4D700A9E"/>
    <w:rsid w:val="4D90586E"/>
    <w:rsid w:val="4DA91783"/>
    <w:rsid w:val="4DCA5198"/>
    <w:rsid w:val="4DE2647A"/>
    <w:rsid w:val="4DEC4FB0"/>
    <w:rsid w:val="4DEF40B9"/>
    <w:rsid w:val="4DF47921"/>
    <w:rsid w:val="4DFB720F"/>
    <w:rsid w:val="4DFF3282"/>
    <w:rsid w:val="4E075D8A"/>
    <w:rsid w:val="4E0C6385"/>
    <w:rsid w:val="4E214B94"/>
    <w:rsid w:val="4E320994"/>
    <w:rsid w:val="4E4B421E"/>
    <w:rsid w:val="4E546612"/>
    <w:rsid w:val="4E87715F"/>
    <w:rsid w:val="4E915694"/>
    <w:rsid w:val="4EA851B5"/>
    <w:rsid w:val="4EAD009D"/>
    <w:rsid w:val="4EAF3AA1"/>
    <w:rsid w:val="4EC00FAD"/>
    <w:rsid w:val="4EDD5CB0"/>
    <w:rsid w:val="4EDE5F3A"/>
    <w:rsid w:val="4EE07C89"/>
    <w:rsid w:val="4EE07EA7"/>
    <w:rsid w:val="4EE117A9"/>
    <w:rsid w:val="4F0F7EEB"/>
    <w:rsid w:val="4F1F09CE"/>
    <w:rsid w:val="4F2953A8"/>
    <w:rsid w:val="4F322AC9"/>
    <w:rsid w:val="4F4F7445"/>
    <w:rsid w:val="4F512B51"/>
    <w:rsid w:val="4F524CFA"/>
    <w:rsid w:val="4F615302"/>
    <w:rsid w:val="4F6A78E4"/>
    <w:rsid w:val="4F8216D1"/>
    <w:rsid w:val="4F8627FB"/>
    <w:rsid w:val="4F9843DC"/>
    <w:rsid w:val="4FA44B3F"/>
    <w:rsid w:val="4FAB5ED7"/>
    <w:rsid w:val="4FB355BA"/>
    <w:rsid w:val="4FC62A8C"/>
    <w:rsid w:val="4FC72DFF"/>
    <w:rsid w:val="4FD71E1C"/>
    <w:rsid w:val="4FDD3C58"/>
    <w:rsid w:val="4FE20F0D"/>
    <w:rsid w:val="4FE51552"/>
    <w:rsid w:val="4FEE53D3"/>
    <w:rsid w:val="500B71A4"/>
    <w:rsid w:val="50121BE7"/>
    <w:rsid w:val="501D2551"/>
    <w:rsid w:val="502A2F12"/>
    <w:rsid w:val="503C55AF"/>
    <w:rsid w:val="503E30D6"/>
    <w:rsid w:val="504301ED"/>
    <w:rsid w:val="50504C4B"/>
    <w:rsid w:val="505A659D"/>
    <w:rsid w:val="50630A08"/>
    <w:rsid w:val="5066262C"/>
    <w:rsid w:val="506A5C79"/>
    <w:rsid w:val="50704303"/>
    <w:rsid w:val="5099261D"/>
    <w:rsid w:val="509C6E7C"/>
    <w:rsid w:val="50A1712A"/>
    <w:rsid w:val="50A95ED0"/>
    <w:rsid w:val="50B54C1B"/>
    <w:rsid w:val="50C47696"/>
    <w:rsid w:val="50C53BE2"/>
    <w:rsid w:val="50C64E79"/>
    <w:rsid w:val="50C97343"/>
    <w:rsid w:val="50CB79A4"/>
    <w:rsid w:val="50DB457A"/>
    <w:rsid w:val="512272B5"/>
    <w:rsid w:val="51316796"/>
    <w:rsid w:val="51505B6F"/>
    <w:rsid w:val="5162104E"/>
    <w:rsid w:val="51932FAD"/>
    <w:rsid w:val="51942FA7"/>
    <w:rsid w:val="51B27742"/>
    <w:rsid w:val="51C37D47"/>
    <w:rsid w:val="51C50152"/>
    <w:rsid w:val="51CE104C"/>
    <w:rsid w:val="51FD26A8"/>
    <w:rsid w:val="52053E77"/>
    <w:rsid w:val="52097713"/>
    <w:rsid w:val="521A360C"/>
    <w:rsid w:val="521C2BD3"/>
    <w:rsid w:val="522307D5"/>
    <w:rsid w:val="522602C5"/>
    <w:rsid w:val="52383B54"/>
    <w:rsid w:val="52743ECF"/>
    <w:rsid w:val="527905F6"/>
    <w:rsid w:val="52A41DC7"/>
    <w:rsid w:val="52BE0D1A"/>
    <w:rsid w:val="52DC2762"/>
    <w:rsid w:val="52E046B9"/>
    <w:rsid w:val="53023861"/>
    <w:rsid w:val="53051C89"/>
    <w:rsid w:val="530525E4"/>
    <w:rsid w:val="530D2FF3"/>
    <w:rsid w:val="5317053D"/>
    <w:rsid w:val="531F15D2"/>
    <w:rsid w:val="532B3DDB"/>
    <w:rsid w:val="53306C7A"/>
    <w:rsid w:val="53511372"/>
    <w:rsid w:val="535D2D02"/>
    <w:rsid w:val="535D3B69"/>
    <w:rsid w:val="53662245"/>
    <w:rsid w:val="536C1D18"/>
    <w:rsid w:val="537415F2"/>
    <w:rsid w:val="53A039CC"/>
    <w:rsid w:val="53A1505A"/>
    <w:rsid w:val="53D30726"/>
    <w:rsid w:val="53D5211F"/>
    <w:rsid w:val="53EA7351"/>
    <w:rsid w:val="54063E08"/>
    <w:rsid w:val="540A08BE"/>
    <w:rsid w:val="540C7047"/>
    <w:rsid w:val="54111450"/>
    <w:rsid w:val="54336CB2"/>
    <w:rsid w:val="543437E8"/>
    <w:rsid w:val="543640C4"/>
    <w:rsid w:val="544375DC"/>
    <w:rsid w:val="54861534"/>
    <w:rsid w:val="548815E5"/>
    <w:rsid w:val="549B2726"/>
    <w:rsid w:val="54BC23AD"/>
    <w:rsid w:val="54CF50DB"/>
    <w:rsid w:val="54D27A81"/>
    <w:rsid w:val="54D538DD"/>
    <w:rsid w:val="54D73AF9"/>
    <w:rsid w:val="54DF6509"/>
    <w:rsid w:val="54EA382C"/>
    <w:rsid w:val="54EB3100"/>
    <w:rsid w:val="54F73313"/>
    <w:rsid w:val="54F77971"/>
    <w:rsid w:val="54F80955"/>
    <w:rsid w:val="550B4D5B"/>
    <w:rsid w:val="550D12C8"/>
    <w:rsid w:val="551E3E40"/>
    <w:rsid w:val="552B174F"/>
    <w:rsid w:val="55473E13"/>
    <w:rsid w:val="554F7B33"/>
    <w:rsid w:val="555170A7"/>
    <w:rsid w:val="55570029"/>
    <w:rsid w:val="555D6BAA"/>
    <w:rsid w:val="5567566E"/>
    <w:rsid w:val="55755869"/>
    <w:rsid w:val="5579695E"/>
    <w:rsid w:val="557B26D6"/>
    <w:rsid w:val="557C2CF9"/>
    <w:rsid w:val="55833339"/>
    <w:rsid w:val="5587536D"/>
    <w:rsid w:val="559317CE"/>
    <w:rsid w:val="55943798"/>
    <w:rsid w:val="559934C3"/>
    <w:rsid w:val="559B174B"/>
    <w:rsid w:val="55AB30F4"/>
    <w:rsid w:val="55C73B9E"/>
    <w:rsid w:val="55CE0CF4"/>
    <w:rsid w:val="55EB13F3"/>
    <w:rsid w:val="55EC0A1B"/>
    <w:rsid w:val="55F14746"/>
    <w:rsid w:val="55F71FB9"/>
    <w:rsid w:val="55FA3DCA"/>
    <w:rsid w:val="562769F2"/>
    <w:rsid w:val="56322EF6"/>
    <w:rsid w:val="56680E72"/>
    <w:rsid w:val="567535C9"/>
    <w:rsid w:val="56771B23"/>
    <w:rsid w:val="56B22A9C"/>
    <w:rsid w:val="56CD0D0F"/>
    <w:rsid w:val="56F10DFC"/>
    <w:rsid w:val="56F20776"/>
    <w:rsid w:val="57004255"/>
    <w:rsid w:val="57065805"/>
    <w:rsid w:val="57081D47"/>
    <w:rsid w:val="57122AD4"/>
    <w:rsid w:val="572C3B65"/>
    <w:rsid w:val="575310E3"/>
    <w:rsid w:val="575D6537"/>
    <w:rsid w:val="578D155B"/>
    <w:rsid w:val="579932E7"/>
    <w:rsid w:val="57AA72A2"/>
    <w:rsid w:val="57AE7EC9"/>
    <w:rsid w:val="57B7128B"/>
    <w:rsid w:val="57B72A76"/>
    <w:rsid w:val="57C3426C"/>
    <w:rsid w:val="57CE1F93"/>
    <w:rsid w:val="57D4172A"/>
    <w:rsid w:val="57E000DA"/>
    <w:rsid w:val="57EF60CF"/>
    <w:rsid w:val="57FA1FD8"/>
    <w:rsid w:val="581F559B"/>
    <w:rsid w:val="583077A8"/>
    <w:rsid w:val="584140EF"/>
    <w:rsid w:val="587030BA"/>
    <w:rsid w:val="587873A1"/>
    <w:rsid w:val="58825B29"/>
    <w:rsid w:val="588635C4"/>
    <w:rsid w:val="58871392"/>
    <w:rsid w:val="588743D1"/>
    <w:rsid w:val="5887701A"/>
    <w:rsid w:val="58957016"/>
    <w:rsid w:val="58A34162"/>
    <w:rsid w:val="58E400CD"/>
    <w:rsid w:val="58EB5270"/>
    <w:rsid w:val="58F702C5"/>
    <w:rsid w:val="590C1FE3"/>
    <w:rsid w:val="59116003"/>
    <w:rsid w:val="59162E41"/>
    <w:rsid w:val="593126B7"/>
    <w:rsid w:val="593A7C80"/>
    <w:rsid w:val="59441031"/>
    <w:rsid w:val="595F09EB"/>
    <w:rsid w:val="596B1A25"/>
    <w:rsid w:val="59797DF8"/>
    <w:rsid w:val="59BF71FB"/>
    <w:rsid w:val="59C0439F"/>
    <w:rsid w:val="59CA1249"/>
    <w:rsid w:val="59CB36AD"/>
    <w:rsid w:val="59D23E53"/>
    <w:rsid w:val="59F86BA9"/>
    <w:rsid w:val="59F97A67"/>
    <w:rsid w:val="59FD0628"/>
    <w:rsid w:val="59FF19BC"/>
    <w:rsid w:val="5A0507C0"/>
    <w:rsid w:val="5A176A50"/>
    <w:rsid w:val="5A344EA3"/>
    <w:rsid w:val="5A3B68D8"/>
    <w:rsid w:val="5A447A54"/>
    <w:rsid w:val="5A546353"/>
    <w:rsid w:val="5A6A0B89"/>
    <w:rsid w:val="5A875679"/>
    <w:rsid w:val="5AA75D1B"/>
    <w:rsid w:val="5AAF7D25"/>
    <w:rsid w:val="5AB640FE"/>
    <w:rsid w:val="5ABE2233"/>
    <w:rsid w:val="5ACB40C5"/>
    <w:rsid w:val="5ACD585D"/>
    <w:rsid w:val="5AD14B46"/>
    <w:rsid w:val="5AD45A06"/>
    <w:rsid w:val="5AD92379"/>
    <w:rsid w:val="5B2561DF"/>
    <w:rsid w:val="5B292E96"/>
    <w:rsid w:val="5B33191E"/>
    <w:rsid w:val="5B506B9E"/>
    <w:rsid w:val="5B5F37BE"/>
    <w:rsid w:val="5B615ECA"/>
    <w:rsid w:val="5B711DD1"/>
    <w:rsid w:val="5B764AA4"/>
    <w:rsid w:val="5B8A71CF"/>
    <w:rsid w:val="5B8D4F11"/>
    <w:rsid w:val="5BAB0BC1"/>
    <w:rsid w:val="5BBE451E"/>
    <w:rsid w:val="5BC052E6"/>
    <w:rsid w:val="5BDF5D95"/>
    <w:rsid w:val="5BDF6A2E"/>
    <w:rsid w:val="5BE54D4D"/>
    <w:rsid w:val="5BEB069E"/>
    <w:rsid w:val="5BF8345D"/>
    <w:rsid w:val="5BFE7528"/>
    <w:rsid w:val="5C080BF2"/>
    <w:rsid w:val="5C0A47B4"/>
    <w:rsid w:val="5C245875"/>
    <w:rsid w:val="5C466AA1"/>
    <w:rsid w:val="5C5679F9"/>
    <w:rsid w:val="5C594DF3"/>
    <w:rsid w:val="5C595FD3"/>
    <w:rsid w:val="5C76226A"/>
    <w:rsid w:val="5C984FD5"/>
    <w:rsid w:val="5CBC5AAE"/>
    <w:rsid w:val="5CBE6E20"/>
    <w:rsid w:val="5CC17594"/>
    <w:rsid w:val="5CCD7CBB"/>
    <w:rsid w:val="5CDC1CAC"/>
    <w:rsid w:val="5CF50FC0"/>
    <w:rsid w:val="5CFE60C6"/>
    <w:rsid w:val="5D126197"/>
    <w:rsid w:val="5D174F38"/>
    <w:rsid w:val="5D1D209C"/>
    <w:rsid w:val="5D231B2B"/>
    <w:rsid w:val="5D283143"/>
    <w:rsid w:val="5D2E6280"/>
    <w:rsid w:val="5D537F00"/>
    <w:rsid w:val="5D6E5D52"/>
    <w:rsid w:val="5D7E2D63"/>
    <w:rsid w:val="5DAD3BFC"/>
    <w:rsid w:val="5DB01FF6"/>
    <w:rsid w:val="5DB25ED5"/>
    <w:rsid w:val="5DBE7D16"/>
    <w:rsid w:val="5DBF3C0F"/>
    <w:rsid w:val="5DC10EA2"/>
    <w:rsid w:val="5DD4022E"/>
    <w:rsid w:val="5DF21A97"/>
    <w:rsid w:val="5DFC012C"/>
    <w:rsid w:val="5E035209"/>
    <w:rsid w:val="5E084D23"/>
    <w:rsid w:val="5E0B3FE2"/>
    <w:rsid w:val="5E0C65C1"/>
    <w:rsid w:val="5E17303A"/>
    <w:rsid w:val="5E2467F1"/>
    <w:rsid w:val="5E483371"/>
    <w:rsid w:val="5E541D16"/>
    <w:rsid w:val="5E96066D"/>
    <w:rsid w:val="5EA7453C"/>
    <w:rsid w:val="5EB629D1"/>
    <w:rsid w:val="5ECF7738"/>
    <w:rsid w:val="5EDB41E5"/>
    <w:rsid w:val="5EDC5030"/>
    <w:rsid w:val="5EF552A7"/>
    <w:rsid w:val="5F14535A"/>
    <w:rsid w:val="5F1A2B43"/>
    <w:rsid w:val="5F46742F"/>
    <w:rsid w:val="5F5660E2"/>
    <w:rsid w:val="5F6B2D88"/>
    <w:rsid w:val="5F6B7592"/>
    <w:rsid w:val="5F8039E1"/>
    <w:rsid w:val="5F926B50"/>
    <w:rsid w:val="5F97635E"/>
    <w:rsid w:val="5FB837BB"/>
    <w:rsid w:val="5FC8307F"/>
    <w:rsid w:val="5FEE7142"/>
    <w:rsid w:val="5FFB4038"/>
    <w:rsid w:val="600E0B9C"/>
    <w:rsid w:val="601A4B56"/>
    <w:rsid w:val="602D1FF5"/>
    <w:rsid w:val="60367925"/>
    <w:rsid w:val="604D2EC1"/>
    <w:rsid w:val="605424A1"/>
    <w:rsid w:val="606725E8"/>
    <w:rsid w:val="608C39E9"/>
    <w:rsid w:val="608F01B4"/>
    <w:rsid w:val="60A800F7"/>
    <w:rsid w:val="60A81C5D"/>
    <w:rsid w:val="60AE3960"/>
    <w:rsid w:val="60C644A5"/>
    <w:rsid w:val="60CC405A"/>
    <w:rsid w:val="60D30478"/>
    <w:rsid w:val="60D31BB6"/>
    <w:rsid w:val="60E73E67"/>
    <w:rsid w:val="60EB1CE4"/>
    <w:rsid w:val="60F15F42"/>
    <w:rsid w:val="60F613B0"/>
    <w:rsid w:val="61243891"/>
    <w:rsid w:val="618D5C6B"/>
    <w:rsid w:val="619E2CB7"/>
    <w:rsid w:val="61B444A8"/>
    <w:rsid w:val="61B8191A"/>
    <w:rsid w:val="61BE6D19"/>
    <w:rsid w:val="61E215D8"/>
    <w:rsid w:val="61EB7B0C"/>
    <w:rsid w:val="61FE0491"/>
    <w:rsid w:val="621163B4"/>
    <w:rsid w:val="62164D6F"/>
    <w:rsid w:val="62170173"/>
    <w:rsid w:val="621B3775"/>
    <w:rsid w:val="621C6917"/>
    <w:rsid w:val="62363BB1"/>
    <w:rsid w:val="62364782"/>
    <w:rsid w:val="624259C6"/>
    <w:rsid w:val="6251037B"/>
    <w:rsid w:val="62597372"/>
    <w:rsid w:val="6268471D"/>
    <w:rsid w:val="627E3805"/>
    <w:rsid w:val="627E42C5"/>
    <w:rsid w:val="627E55B4"/>
    <w:rsid w:val="628003C9"/>
    <w:rsid w:val="628A3FBF"/>
    <w:rsid w:val="62A51173"/>
    <w:rsid w:val="62A9148F"/>
    <w:rsid w:val="62C751AC"/>
    <w:rsid w:val="62D33B51"/>
    <w:rsid w:val="62D578C9"/>
    <w:rsid w:val="62E42C0C"/>
    <w:rsid w:val="62FB4E56"/>
    <w:rsid w:val="63085F6C"/>
    <w:rsid w:val="631303F2"/>
    <w:rsid w:val="63212B0F"/>
    <w:rsid w:val="63266449"/>
    <w:rsid w:val="632E78CF"/>
    <w:rsid w:val="63414F5F"/>
    <w:rsid w:val="634858F4"/>
    <w:rsid w:val="634B5FB2"/>
    <w:rsid w:val="63576672"/>
    <w:rsid w:val="635B5114"/>
    <w:rsid w:val="636876BD"/>
    <w:rsid w:val="638E0EAC"/>
    <w:rsid w:val="63921DB1"/>
    <w:rsid w:val="6394356A"/>
    <w:rsid w:val="639D7CBB"/>
    <w:rsid w:val="63A524E1"/>
    <w:rsid w:val="63C118F1"/>
    <w:rsid w:val="63C61B2C"/>
    <w:rsid w:val="63D402AA"/>
    <w:rsid w:val="63D40BE9"/>
    <w:rsid w:val="63DC1ED3"/>
    <w:rsid w:val="63F31427"/>
    <w:rsid w:val="64102431"/>
    <w:rsid w:val="641102D3"/>
    <w:rsid w:val="64176A93"/>
    <w:rsid w:val="64183A0B"/>
    <w:rsid w:val="641960CB"/>
    <w:rsid w:val="64236F5F"/>
    <w:rsid w:val="645C7B76"/>
    <w:rsid w:val="646F2744"/>
    <w:rsid w:val="647C1FC7"/>
    <w:rsid w:val="648C045C"/>
    <w:rsid w:val="64907493"/>
    <w:rsid w:val="64943B84"/>
    <w:rsid w:val="64996488"/>
    <w:rsid w:val="649E018F"/>
    <w:rsid w:val="64A42686"/>
    <w:rsid w:val="64A5243A"/>
    <w:rsid w:val="64B93514"/>
    <w:rsid w:val="64BC1741"/>
    <w:rsid w:val="64BC791C"/>
    <w:rsid w:val="64C86B84"/>
    <w:rsid w:val="64F531DE"/>
    <w:rsid w:val="64F61614"/>
    <w:rsid w:val="64F70602"/>
    <w:rsid w:val="65091D4C"/>
    <w:rsid w:val="65373578"/>
    <w:rsid w:val="655B5866"/>
    <w:rsid w:val="656942F9"/>
    <w:rsid w:val="657333CA"/>
    <w:rsid w:val="65A046E0"/>
    <w:rsid w:val="65AE743D"/>
    <w:rsid w:val="660F7B1C"/>
    <w:rsid w:val="661A04F6"/>
    <w:rsid w:val="66214484"/>
    <w:rsid w:val="663440AA"/>
    <w:rsid w:val="664D59C9"/>
    <w:rsid w:val="66552ACF"/>
    <w:rsid w:val="66681758"/>
    <w:rsid w:val="666B5609"/>
    <w:rsid w:val="668659BA"/>
    <w:rsid w:val="668F7D8F"/>
    <w:rsid w:val="66A15D14"/>
    <w:rsid w:val="66AC6B93"/>
    <w:rsid w:val="66AF4543"/>
    <w:rsid w:val="66B07BA5"/>
    <w:rsid w:val="66C37567"/>
    <w:rsid w:val="66D1246C"/>
    <w:rsid w:val="66D46E62"/>
    <w:rsid w:val="66EF4CD2"/>
    <w:rsid w:val="66F62D13"/>
    <w:rsid w:val="67065B78"/>
    <w:rsid w:val="671007F1"/>
    <w:rsid w:val="671F124A"/>
    <w:rsid w:val="672A4A9A"/>
    <w:rsid w:val="672F4561"/>
    <w:rsid w:val="673600AC"/>
    <w:rsid w:val="67362078"/>
    <w:rsid w:val="67375C25"/>
    <w:rsid w:val="67440358"/>
    <w:rsid w:val="67544B35"/>
    <w:rsid w:val="67690C49"/>
    <w:rsid w:val="676C00D0"/>
    <w:rsid w:val="677A33C6"/>
    <w:rsid w:val="67835894"/>
    <w:rsid w:val="67D176DB"/>
    <w:rsid w:val="67D24A56"/>
    <w:rsid w:val="67E759A9"/>
    <w:rsid w:val="67E9723D"/>
    <w:rsid w:val="68092D2E"/>
    <w:rsid w:val="680E3193"/>
    <w:rsid w:val="681F6961"/>
    <w:rsid w:val="682D7860"/>
    <w:rsid w:val="682E35D8"/>
    <w:rsid w:val="68336E40"/>
    <w:rsid w:val="68447B1B"/>
    <w:rsid w:val="68534D17"/>
    <w:rsid w:val="68573DCC"/>
    <w:rsid w:val="685F19E3"/>
    <w:rsid w:val="68610A2F"/>
    <w:rsid w:val="68677C28"/>
    <w:rsid w:val="68805514"/>
    <w:rsid w:val="68972A5B"/>
    <w:rsid w:val="68AB67DA"/>
    <w:rsid w:val="68C85713"/>
    <w:rsid w:val="68F640F6"/>
    <w:rsid w:val="68FD5E74"/>
    <w:rsid w:val="69046B94"/>
    <w:rsid w:val="690771EE"/>
    <w:rsid w:val="691E364C"/>
    <w:rsid w:val="692073C4"/>
    <w:rsid w:val="69316E2F"/>
    <w:rsid w:val="69412185"/>
    <w:rsid w:val="694E2071"/>
    <w:rsid w:val="695F613F"/>
    <w:rsid w:val="696F21C8"/>
    <w:rsid w:val="69766163"/>
    <w:rsid w:val="697A3B33"/>
    <w:rsid w:val="69813E26"/>
    <w:rsid w:val="698143C6"/>
    <w:rsid w:val="69935DE8"/>
    <w:rsid w:val="699A7709"/>
    <w:rsid w:val="699E6871"/>
    <w:rsid w:val="69A73642"/>
    <w:rsid w:val="69B5669A"/>
    <w:rsid w:val="69CB3796"/>
    <w:rsid w:val="69CE41E0"/>
    <w:rsid w:val="69D44760"/>
    <w:rsid w:val="69D6696E"/>
    <w:rsid w:val="69FA7C16"/>
    <w:rsid w:val="6A1520C6"/>
    <w:rsid w:val="6A163CB3"/>
    <w:rsid w:val="6A2922A9"/>
    <w:rsid w:val="6A2A37E1"/>
    <w:rsid w:val="6A3E4E5B"/>
    <w:rsid w:val="6A40688B"/>
    <w:rsid w:val="6A486DEA"/>
    <w:rsid w:val="6A520EC7"/>
    <w:rsid w:val="6A5226EB"/>
    <w:rsid w:val="6A54472F"/>
    <w:rsid w:val="6A5D7B95"/>
    <w:rsid w:val="6A5E7278"/>
    <w:rsid w:val="6A6274F5"/>
    <w:rsid w:val="6A6A258C"/>
    <w:rsid w:val="6A6F1133"/>
    <w:rsid w:val="6A721AC0"/>
    <w:rsid w:val="6A731776"/>
    <w:rsid w:val="6A881678"/>
    <w:rsid w:val="6A8E035E"/>
    <w:rsid w:val="6A8E65B0"/>
    <w:rsid w:val="6AB71A4E"/>
    <w:rsid w:val="6ABB5893"/>
    <w:rsid w:val="6AC719CB"/>
    <w:rsid w:val="6AEE12E1"/>
    <w:rsid w:val="6AF07534"/>
    <w:rsid w:val="6AF57F30"/>
    <w:rsid w:val="6AF64881"/>
    <w:rsid w:val="6AF87E20"/>
    <w:rsid w:val="6B1271E1"/>
    <w:rsid w:val="6B1B42E7"/>
    <w:rsid w:val="6B2D01CC"/>
    <w:rsid w:val="6B322639"/>
    <w:rsid w:val="6B3F14F2"/>
    <w:rsid w:val="6B446550"/>
    <w:rsid w:val="6B653367"/>
    <w:rsid w:val="6B67752D"/>
    <w:rsid w:val="6B6C68F1"/>
    <w:rsid w:val="6B7C6D01"/>
    <w:rsid w:val="6B9721E7"/>
    <w:rsid w:val="6BB23693"/>
    <w:rsid w:val="6BD43D40"/>
    <w:rsid w:val="6BDF5315"/>
    <w:rsid w:val="6BE40B7D"/>
    <w:rsid w:val="6BF012D0"/>
    <w:rsid w:val="6BF02D3A"/>
    <w:rsid w:val="6BF1329A"/>
    <w:rsid w:val="6C136D6D"/>
    <w:rsid w:val="6C144D72"/>
    <w:rsid w:val="6C1D3F8C"/>
    <w:rsid w:val="6C4A0489"/>
    <w:rsid w:val="6C636C38"/>
    <w:rsid w:val="6C8A37F3"/>
    <w:rsid w:val="6CB53E19"/>
    <w:rsid w:val="6CBC494F"/>
    <w:rsid w:val="6CC33C12"/>
    <w:rsid w:val="6CC43300"/>
    <w:rsid w:val="6CDF00E3"/>
    <w:rsid w:val="6CF748E0"/>
    <w:rsid w:val="6CFE6DA1"/>
    <w:rsid w:val="6D14490D"/>
    <w:rsid w:val="6D157F94"/>
    <w:rsid w:val="6D175563"/>
    <w:rsid w:val="6D1D67B2"/>
    <w:rsid w:val="6D2E0466"/>
    <w:rsid w:val="6D322BCE"/>
    <w:rsid w:val="6D536BD3"/>
    <w:rsid w:val="6D631F76"/>
    <w:rsid w:val="6D7C2869"/>
    <w:rsid w:val="6D85139E"/>
    <w:rsid w:val="6D87532F"/>
    <w:rsid w:val="6DA24DAB"/>
    <w:rsid w:val="6DB34098"/>
    <w:rsid w:val="6DB545B6"/>
    <w:rsid w:val="6DC90FA7"/>
    <w:rsid w:val="6DE02FB4"/>
    <w:rsid w:val="6DEF61D4"/>
    <w:rsid w:val="6DF70674"/>
    <w:rsid w:val="6DFA4688"/>
    <w:rsid w:val="6E104F63"/>
    <w:rsid w:val="6E120AC0"/>
    <w:rsid w:val="6E1E73FF"/>
    <w:rsid w:val="6E48789D"/>
    <w:rsid w:val="6E4C47B8"/>
    <w:rsid w:val="6E514CED"/>
    <w:rsid w:val="6E516890"/>
    <w:rsid w:val="6E7D2BC3"/>
    <w:rsid w:val="6EB563D5"/>
    <w:rsid w:val="6EB8009F"/>
    <w:rsid w:val="6EB83E57"/>
    <w:rsid w:val="6EBD385B"/>
    <w:rsid w:val="6ED77915"/>
    <w:rsid w:val="6ED92677"/>
    <w:rsid w:val="6F1B436C"/>
    <w:rsid w:val="6F225983"/>
    <w:rsid w:val="6F23536E"/>
    <w:rsid w:val="6F255735"/>
    <w:rsid w:val="6F304560"/>
    <w:rsid w:val="6F415205"/>
    <w:rsid w:val="6F477302"/>
    <w:rsid w:val="6F522435"/>
    <w:rsid w:val="6F6D3CFE"/>
    <w:rsid w:val="6F7A29AC"/>
    <w:rsid w:val="6F7A7103"/>
    <w:rsid w:val="6F806FB0"/>
    <w:rsid w:val="6F826DF1"/>
    <w:rsid w:val="6F863CF9"/>
    <w:rsid w:val="6F961429"/>
    <w:rsid w:val="6F9741DB"/>
    <w:rsid w:val="6F9D176F"/>
    <w:rsid w:val="6FA0097C"/>
    <w:rsid w:val="6FB1521A"/>
    <w:rsid w:val="6FC0545D"/>
    <w:rsid w:val="6FCD251C"/>
    <w:rsid w:val="6FEB1D4F"/>
    <w:rsid w:val="6FF13869"/>
    <w:rsid w:val="6FF14338"/>
    <w:rsid w:val="6FFC5590"/>
    <w:rsid w:val="70003A7A"/>
    <w:rsid w:val="700417EE"/>
    <w:rsid w:val="70141D1F"/>
    <w:rsid w:val="701632CF"/>
    <w:rsid w:val="702D6A2F"/>
    <w:rsid w:val="702F613F"/>
    <w:rsid w:val="70567B70"/>
    <w:rsid w:val="705D4B94"/>
    <w:rsid w:val="705F1C41"/>
    <w:rsid w:val="706D1DD0"/>
    <w:rsid w:val="70856B87"/>
    <w:rsid w:val="70992801"/>
    <w:rsid w:val="709E568B"/>
    <w:rsid w:val="70A46BFB"/>
    <w:rsid w:val="70B06371"/>
    <w:rsid w:val="70BD5CF7"/>
    <w:rsid w:val="70D46EC1"/>
    <w:rsid w:val="70D527EE"/>
    <w:rsid w:val="70D57798"/>
    <w:rsid w:val="70F640AA"/>
    <w:rsid w:val="70FC24C5"/>
    <w:rsid w:val="71031AA6"/>
    <w:rsid w:val="710475CC"/>
    <w:rsid w:val="71096990"/>
    <w:rsid w:val="710D65BC"/>
    <w:rsid w:val="713B454D"/>
    <w:rsid w:val="71443F6B"/>
    <w:rsid w:val="715720E6"/>
    <w:rsid w:val="715B5300"/>
    <w:rsid w:val="715F2A54"/>
    <w:rsid w:val="716E05DD"/>
    <w:rsid w:val="718D580D"/>
    <w:rsid w:val="718E5BD8"/>
    <w:rsid w:val="718E761B"/>
    <w:rsid w:val="719A709B"/>
    <w:rsid w:val="71CD26DD"/>
    <w:rsid w:val="71D27F8A"/>
    <w:rsid w:val="71E82A49"/>
    <w:rsid w:val="71F47640"/>
    <w:rsid w:val="720071B9"/>
    <w:rsid w:val="721942DD"/>
    <w:rsid w:val="72312642"/>
    <w:rsid w:val="724C7C4B"/>
    <w:rsid w:val="72553024"/>
    <w:rsid w:val="729130E1"/>
    <w:rsid w:val="72AC125A"/>
    <w:rsid w:val="72AE7F25"/>
    <w:rsid w:val="72B03F1D"/>
    <w:rsid w:val="72D65B9F"/>
    <w:rsid w:val="72FF32FB"/>
    <w:rsid w:val="73122968"/>
    <w:rsid w:val="73172613"/>
    <w:rsid w:val="731F5D5E"/>
    <w:rsid w:val="73634A7D"/>
    <w:rsid w:val="73651A65"/>
    <w:rsid w:val="736F095A"/>
    <w:rsid w:val="737F2CF3"/>
    <w:rsid w:val="737F73DD"/>
    <w:rsid w:val="73944970"/>
    <w:rsid w:val="739A4B38"/>
    <w:rsid w:val="73AA6BB8"/>
    <w:rsid w:val="73B4738E"/>
    <w:rsid w:val="73C51AD5"/>
    <w:rsid w:val="73C75B4D"/>
    <w:rsid w:val="73CC5F21"/>
    <w:rsid w:val="73DC65DE"/>
    <w:rsid w:val="73FF5BF7"/>
    <w:rsid w:val="74000BBA"/>
    <w:rsid w:val="74097195"/>
    <w:rsid w:val="7419513C"/>
    <w:rsid w:val="741E793C"/>
    <w:rsid w:val="74281823"/>
    <w:rsid w:val="744473D9"/>
    <w:rsid w:val="744E128A"/>
    <w:rsid w:val="745E3944"/>
    <w:rsid w:val="745E68F9"/>
    <w:rsid w:val="74675EA7"/>
    <w:rsid w:val="748277BA"/>
    <w:rsid w:val="74850A24"/>
    <w:rsid w:val="748E2EBD"/>
    <w:rsid w:val="748E36F3"/>
    <w:rsid w:val="74931588"/>
    <w:rsid w:val="74AD5970"/>
    <w:rsid w:val="74B349E6"/>
    <w:rsid w:val="74BA475A"/>
    <w:rsid w:val="74EF7BE9"/>
    <w:rsid w:val="74F04368"/>
    <w:rsid w:val="74F6708C"/>
    <w:rsid w:val="74FE2E5B"/>
    <w:rsid w:val="7501454E"/>
    <w:rsid w:val="75073547"/>
    <w:rsid w:val="75105287"/>
    <w:rsid w:val="75626E6B"/>
    <w:rsid w:val="756D1BE3"/>
    <w:rsid w:val="757545F4"/>
    <w:rsid w:val="7581743D"/>
    <w:rsid w:val="75A4312B"/>
    <w:rsid w:val="75A85211"/>
    <w:rsid w:val="75AB309B"/>
    <w:rsid w:val="75AF0A84"/>
    <w:rsid w:val="75C130FA"/>
    <w:rsid w:val="75D71210"/>
    <w:rsid w:val="75EF084A"/>
    <w:rsid w:val="76047009"/>
    <w:rsid w:val="76156A73"/>
    <w:rsid w:val="76350175"/>
    <w:rsid w:val="7635099D"/>
    <w:rsid w:val="76371D1A"/>
    <w:rsid w:val="76377AFB"/>
    <w:rsid w:val="763E0E8A"/>
    <w:rsid w:val="764058DD"/>
    <w:rsid w:val="769515F9"/>
    <w:rsid w:val="76CD220E"/>
    <w:rsid w:val="76CD2F07"/>
    <w:rsid w:val="76E86F70"/>
    <w:rsid w:val="76E9529A"/>
    <w:rsid w:val="76EF6E43"/>
    <w:rsid w:val="76F4072E"/>
    <w:rsid w:val="77185B7F"/>
    <w:rsid w:val="77346ED9"/>
    <w:rsid w:val="7738682D"/>
    <w:rsid w:val="773F3295"/>
    <w:rsid w:val="77762421"/>
    <w:rsid w:val="77974F54"/>
    <w:rsid w:val="77AD4519"/>
    <w:rsid w:val="77B167FC"/>
    <w:rsid w:val="77B56B1F"/>
    <w:rsid w:val="77CA254E"/>
    <w:rsid w:val="77D21406"/>
    <w:rsid w:val="77D33B9B"/>
    <w:rsid w:val="77D777E8"/>
    <w:rsid w:val="77FA3280"/>
    <w:rsid w:val="78042BEB"/>
    <w:rsid w:val="780F09F4"/>
    <w:rsid w:val="781303B2"/>
    <w:rsid w:val="781E0402"/>
    <w:rsid w:val="7840109F"/>
    <w:rsid w:val="785E28CF"/>
    <w:rsid w:val="78715742"/>
    <w:rsid w:val="787261B1"/>
    <w:rsid w:val="788510E2"/>
    <w:rsid w:val="78A6656A"/>
    <w:rsid w:val="78A90480"/>
    <w:rsid w:val="78B11DE7"/>
    <w:rsid w:val="78B83176"/>
    <w:rsid w:val="78CA2EA9"/>
    <w:rsid w:val="78DD2BDC"/>
    <w:rsid w:val="78E44867"/>
    <w:rsid w:val="78F85C68"/>
    <w:rsid w:val="791E4FA3"/>
    <w:rsid w:val="792112DC"/>
    <w:rsid w:val="79603A76"/>
    <w:rsid w:val="79740C89"/>
    <w:rsid w:val="79782905"/>
    <w:rsid w:val="797A667D"/>
    <w:rsid w:val="797B7C7C"/>
    <w:rsid w:val="79856DD0"/>
    <w:rsid w:val="79C93160"/>
    <w:rsid w:val="79D17DC2"/>
    <w:rsid w:val="79D34EAE"/>
    <w:rsid w:val="79D6613F"/>
    <w:rsid w:val="79F04B91"/>
    <w:rsid w:val="79FD5133"/>
    <w:rsid w:val="79FE73B0"/>
    <w:rsid w:val="7A2605B3"/>
    <w:rsid w:val="7A356A48"/>
    <w:rsid w:val="7A364017"/>
    <w:rsid w:val="7A37456E"/>
    <w:rsid w:val="7A41719B"/>
    <w:rsid w:val="7A4F15AE"/>
    <w:rsid w:val="7A523156"/>
    <w:rsid w:val="7A592736"/>
    <w:rsid w:val="7A604E8D"/>
    <w:rsid w:val="7A8265E1"/>
    <w:rsid w:val="7A8C48BA"/>
    <w:rsid w:val="7A903796"/>
    <w:rsid w:val="7A97325F"/>
    <w:rsid w:val="7AAC160F"/>
    <w:rsid w:val="7AD565AB"/>
    <w:rsid w:val="7AFE508C"/>
    <w:rsid w:val="7AFF6913"/>
    <w:rsid w:val="7B01269B"/>
    <w:rsid w:val="7B36585E"/>
    <w:rsid w:val="7B4B70E2"/>
    <w:rsid w:val="7B686D42"/>
    <w:rsid w:val="7B70631C"/>
    <w:rsid w:val="7B711D02"/>
    <w:rsid w:val="7B723DA3"/>
    <w:rsid w:val="7B841746"/>
    <w:rsid w:val="7B8F65E6"/>
    <w:rsid w:val="7BBD4F47"/>
    <w:rsid w:val="7BC049B4"/>
    <w:rsid w:val="7BC80BAD"/>
    <w:rsid w:val="7BCC44DF"/>
    <w:rsid w:val="7BF30969"/>
    <w:rsid w:val="7C014E34"/>
    <w:rsid w:val="7C0365E7"/>
    <w:rsid w:val="7C1D3FDE"/>
    <w:rsid w:val="7C280203"/>
    <w:rsid w:val="7C2B0991"/>
    <w:rsid w:val="7C346191"/>
    <w:rsid w:val="7C400E00"/>
    <w:rsid w:val="7C6C5AC7"/>
    <w:rsid w:val="7C8D46FD"/>
    <w:rsid w:val="7CBB30F1"/>
    <w:rsid w:val="7CC6544B"/>
    <w:rsid w:val="7CCA16C9"/>
    <w:rsid w:val="7CD95DB0"/>
    <w:rsid w:val="7D0239FF"/>
    <w:rsid w:val="7D2B080D"/>
    <w:rsid w:val="7D311748"/>
    <w:rsid w:val="7D39684F"/>
    <w:rsid w:val="7D3D7C2F"/>
    <w:rsid w:val="7D4B485B"/>
    <w:rsid w:val="7D4D67E8"/>
    <w:rsid w:val="7D51709D"/>
    <w:rsid w:val="7D562900"/>
    <w:rsid w:val="7D5E40CD"/>
    <w:rsid w:val="7D60202E"/>
    <w:rsid w:val="7D710B82"/>
    <w:rsid w:val="7D8E11B2"/>
    <w:rsid w:val="7D9F1964"/>
    <w:rsid w:val="7DBA33D0"/>
    <w:rsid w:val="7DBD5BA4"/>
    <w:rsid w:val="7DCA74A7"/>
    <w:rsid w:val="7DCD56F2"/>
    <w:rsid w:val="7DD757E3"/>
    <w:rsid w:val="7DEE2688"/>
    <w:rsid w:val="7E0822FA"/>
    <w:rsid w:val="7E130E4E"/>
    <w:rsid w:val="7E1E11BB"/>
    <w:rsid w:val="7E281E48"/>
    <w:rsid w:val="7E5A3E12"/>
    <w:rsid w:val="7E5B0585"/>
    <w:rsid w:val="7E7471DD"/>
    <w:rsid w:val="7E7D6AEA"/>
    <w:rsid w:val="7E8131E9"/>
    <w:rsid w:val="7E884179"/>
    <w:rsid w:val="7E8E33F5"/>
    <w:rsid w:val="7E947CCA"/>
    <w:rsid w:val="7E9E48DD"/>
    <w:rsid w:val="7EB34790"/>
    <w:rsid w:val="7EBB3B5F"/>
    <w:rsid w:val="7ED30C48"/>
    <w:rsid w:val="7EF61EEF"/>
    <w:rsid w:val="7F001CE7"/>
    <w:rsid w:val="7F4C61A0"/>
    <w:rsid w:val="7F587460"/>
    <w:rsid w:val="7F69341C"/>
    <w:rsid w:val="7F6B3A8D"/>
    <w:rsid w:val="7F71054D"/>
    <w:rsid w:val="7F742F94"/>
    <w:rsid w:val="7F7818B1"/>
    <w:rsid w:val="7F7A5CDB"/>
    <w:rsid w:val="7F80367E"/>
    <w:rsid w:val="7F840E0D"/>
    <w:rsid w:val="7F967F89"/>
    <w:rsid w:val="7FA82F70"/>
    <w:rsid w:val="7FBF142C"/>
    <w:rsid w:val="7FC312F9"/>
    <w:rsid w:val="7FD01FE6"/>
    <w:rsid w:val="7FD15598"/>
    <w:rsid w:val="7FD23835"/>
    <w:rsid w:val="7FDA4253"/>
    <w:rsid w:val="7FE47E5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nhideWhenUsed="0" w:uiPriority="0" w:semiHidden="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qFormat="1" w:unhideWhenUsed="0" w:uiPriority="0" w:semiHidden="0" w:name="index 8" w:locked="1"/>
    <w:lsdException w:unhideWhenUsed="0" w:uiPriority="0" w:semiHidden="0" w:name="index 9" w:locked="1"/>
    <w:lsdException w:qFormat="1" w:uiPriority="0" w:semiHidden="0" w:name="toc 1" w:locked="1"/>
    <w:lsdException w:qFormat="1" w:uiPriority="0"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autoRedefine/>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75"/>
    <w:autoRedefine/>
    <w:qFormat/>
    <w:locked/>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3"/>
    <w:autoRedefine/>
    <w:qFormat/>
    <w:locked/>
    <w:uiPriority w:val="0"/>
    <w:pPr>
      <w:keepNext/>
      <w:keepLines/>
      <w:spacing w:before="260" w:after="260" w:line="416" w:lineRule="auto"/>
      <w:outlineLvl w:val="2"/>
    </w:pPr>
    <w:rPr>
      <w:b/>
      <w:bCs/>
      <w:sz w:val="32"/>
      <w:szCs w:val="32"/>
    </w:rPr>
  </w:style>
  <w:style w:type="paragraph" w:styleId="6">
    <w:name w:val="heading 4"/>
    <w:basedOn w:val="1"/>
    <w:next w:val="1"/>
    <w:link w:val="132"/>
    <w:autoRedefine/>
    <w:qFormat/>
    <w:locked/>
    <w:uiPriority w:val="0"/>
    <w:pPr>
      <w:keepNext/>
      <w:spacing w:line="440" w:lineRule="exact"/>
      <w:ind w:left="-50" w:right="-50"/>
      <w:jc w:val="center"/>
      <w:outlineLvl w:val="3"/>
    </w:pPr>
    <w:rPr>
      <w:sz w:val="28"/>
    </w:rPr>
  </w:style>
  <w:style w:type="paragraph" w:styleId="7">
    <w:name w:val="heading 5"/>
    <w:basedOn w:val="1"/>
    <w:next w:val="1"/>
    <w:link w:val="63"/>
    <w:autoRedefine/>
    <w:qFormat/>
    <w:locked/>
    <w:uiPriority w:val="0"/>
    <w:pPr>
      <w:keepNext/>
      <w:keepLines/>
      <w:spacing w:before="280" w:after="290" w:line="376" w:lineRule="auto"/>
      <w:outlineLvl w:val="4"/>
    </w:pPr>
    <w:rPr>
      <w:b/>
      <w:bCs/>
      <w:sz w:val="28"/>
      <w:szCs w:val="28"/>
    </w:rPr>
  </w:style>
  <w:style w:type="paragraph" w:styleId="8">
    <w:name w:val="heading 7"/>
    <w:basedOn w:val="1"/>
    <w:next w:val="1"/>
    <w:link w:val="54"/>
    <w:autoRedefine/>
    <w:qFormat/>
    <w:locked/>
    <w:uiPriority w:val="0"/>
    <w:pPr>
      <w:keepNext/>
      <w:tabs>
        <w:tab w:val="left" w:pos="360"/>
      </w:tabs>
      <w:spacing w:line="350" w:lineRule="auto"/>
      <w:outlineLvl w:val="6"/>
    </w:pPr>
    <w:rPr>
      <w:color w:val="000000"/>
      <w:sz w:val="28"/>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2">
    <w:name w:val="Plain Text"/>
    <w:basedOn w:val="1"/>
    <w:next w:val="1"/>
    <w:link w:val="98"/>
    <w:autoRedefine/>
    <w:qFormat/>
    <w:locked/>
    <w:uiPriority w:val="0"/>
    <w:rPr>
      <w:rFonts w:ascii="宋体" w:hAnsi="Courier New" w:cs="Courier New"/>
      <w:szCs w:val="21"/>
    </w:rPr>
  </w:style>
  <w:style w:type="paragraph" w:styleId="9">
    <w:name w:val="Normal Indent"/>
    <w:basedOn w:val="1"/>
    <w:next w:val="1"/>
    <w:link w:val="97"/>
    <w:autoRedefine/>
    <w:qFormat/>
    <w:locked/>
    <w:uiPriority w:val="0"/>
    <w:pPr>
      <w:widowControl/>
      <w:ind w:firstLine="420"/>
      <w:jc w:val="left"/>
    </w:pPr>
    <w:rPr>
      <w:rFonts w:eastAsia="华文中宋"/>
      <w:w w:val="90"/>
      <w:kern w:val="0"/>
      <w:sz w:val="28"/>
      <w:szCs w:val="20"/>
    </w:rPr>
  </w:style>
  <w:style w:type="paragraph" w:styleId="10">
    <w:name w:val="caption"/>
    <w:basedOn w:val="1"/>
    <w:next w:val="1"/>
    <w:link w:val="131"/>
    <w:autoRedefine/>
    <w:qFormat/>
    <w:locked/>
    <w:uiPriority w:val="0"/>
    <w:pPr>
      <w:widowControl/>
      <w:adjustRightInd w:val="0"/>
      <w:snapToGrid w:val="0"/>
      <w:jc w:val="center"/>
    </w:pPr>
    <w:rPr>
      <w:rFonts w:ascii="黑体" w:hAnsi="黑体" w:eastAsia="黑体"/>
      <w:sz w:val="24"/>
      <w:szCs w:val="20"/>
    </w:rPr>
  </w:style>
  <w:style w:type="paragraph" w:styleId="11">
    <w:name w:val="Document Map"/>
    <w:basedOn w:val="1"/>
    <w:link w:val="58"/>
    <w:autoRedefine/>
    <w:qFormat/>
    <w:locked/>
    <w:uiPriority w:val="0"/>
    <w:pPr>
      <w:shd w:val="clear" w:color="auto" w:fill="000080"/>
    </w:pPr>
  </w:style>
  <w:style w:type="paragraph" w:styleId="12">
    <w:name w:val="annotation text"/>
    <w:basedOn w:val="1"/>
    <w:link w:val="74"/>
    <w:autoRedefine/>
    <w:qFormat/>
    <w:uiPriority w:val="99"/>
    <w:pPr>
      <w:jc w:val="left"/>
    </w:pPr>
    <w:rPr>
      <w:kern w:val="0"/>
      <w:sz w:val="24"/>
      <w:szCs w:val="20"/>
    </w:rPr>
  </w:style>
  <w:style w:type="paragraph" w:styleId="13">
    <w:name w:val="Salutation"/>
    <w:basedOn w:val="1"/>
    <w:next w:val="1"/>
    <w:autoRedefine/>
    <w:qFormat/>
    <w:locked/>
    <w:uiPriority w:val="0"/>
  </w:style>
  <w:style w:type="paragraph" w:styleId="14">
    <w:name w:val="Body Text 3"/>
    <w:basedOn w:val="1"/>
    <w:link w:val="55"/>
    <w:autoRedefine/>
    <w:qFormat/>
    <w:locked/>
    <w:uiPriority w:val="0"/>
    <w:pPr>
      <w:widowControl/>
      <w:jc w:val="center"/>
    </w:pPr>
    <w:rPr>
      <w:rFonts w:eastAsia="方正书宋简体"/>
      <w:w w:val="90"/>
      <w:kern w:val="0"/>
      <w:sz w:val="28"/>
      <w:szCs w:val="20"/>
    </w:rPr>
  </w:style>
  <w:style w:type="paragraph" w:styleId="15">
    <w:name w:val="Body Text"/>
    <w:basedOn w:val="1"/>
    <w:next w:val="1"/>
    <w:link w:val="106"/>
    <w:autoRedefine/>
    <w:qFormat/>
    <w:uiPriority w:val="0"/>
    <w:pPr>
      <w:widowControl/>
      <w:snapToGrid w:val="0"/>
      <w:spacing w:before="60" w:after="160" w:line="259" w:lineRule="auto"/>
      <w:ind w:right="113"/>
    </w:pPr>
    <w:rPr>
      <w:kern w:val="0"/>
      <w:sz w:val="18"/>
      <w:szCs w:val="20"/>
    </w:rPr>
  </w:style>
  <w:style w:type="paragraph" w:styleId="16">
    <w:name w:val="Body Text Indent"/>
    <w:basedOn w:val="1"/>
    <w:next w:val="17"/>
    <w:link w:val="50"/>
    <w:autoRedefine/>
    <w:qFormat/>
    <w:uiPriority w:val="0"/>
    <w:pPr>
      <w:spacing w:after="120"/>
      <w:ind w:left="420" w:leftChars="200"/>
    </w:pPr>
    <w:rPr>
      <w:kern w:val="0"/>
      <w:sz w:val="24"/>
      <w:szCs w:val="20"/>
    </w:rPr>
  </w:style>
  <w:style w:type="paragraph" w:styleId="17">
    <w:name w:val="header"/>
    <w:basedOn w:val="1"/>
    <w:next w:val="1"/>
    <w:link w:val="130"/>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toc 3"/>
    <w:basedOn w:val="1"/>
    <w:next w:val="1"/>
    <w:autoRedefine/>
    <w:unhideWhenUsed/>
    <w:qFormat/>
    <w:locked/>
    <w:uiPriority w:val="39"/>
    <w:pPr>
      <w:widowControl/>
      <w:spacing w:after="100" w:line="276" w:lineRule="auto"/>
      <w:ind w:left="440"/>
      <w:jc w:val="left"/>
    </w:pPr>
    <w:rPr>
      <w:rFonts w:ascii="Calibri" w:hAnsi="Calibri"/>
      <w:kern w:val="0"/>
      <w:sz w:val="22"/>
      <w:szCs w:val="22"/>
    </w:rPr>
  </w:style>
  <w:style w:type="paragraph" w:styleId="19">
    <w:name w:val="List Bullet 5"/>
    <w:basedOn w:val="1"/>
    <w:autoRedefine/>
    <w:qFormat/>
    <w:locked/>
    <w:uiPriority w:val="0"/>
    <w:pPr>
      <w:numPr>
        <w:ilvl w:val="0"/>
        <w:numId w:val="1"/>
      </w:numPr>
    </w:pPr>
  </w:style>
  <w:style w:type="paragraph" w:styleId="20">
    <w:name w:val="Date"/>
    <w:basedOn w:val="1"/>
    <w:next w:val="1"/>
    <w:link w:val="82"/>
    <w:autoRedefine/>
    <w:qFormat/>
    <w:uiPriority w:val="0"/>
    <w:pPr>
      <w:ind w:left="100" w:leftChars="2500"/>
    </w:pPr>
    <w:rPr>
      <w:kern w:val="0"/>
      <w:sz w:val="24"/>
      <w:szCs w:val="20"/>
    </w:rPr>
  </w:style>
  <w:style w:type="paragraph" w:styleId="21">
    <w:name w:val="Body Text Indent 2"/>
    <w:basedOn w:val="1"/>
    <w:link w:val="96"/>
    <w:autoRedefine/>
    <w:qFormat/>
    <w:locked/>
    <w:uiPriority w:val="0"/>
    <w:pPr>
      <w:tabs>
        <w:tab w:val="left" w:pos="180"/>
      </w:tabs>
      <w:ind w:firstLine="567"/>
    </w:pPr>
    <w:rPr>
      <w:rFonts w:ascii="宋体" w:hAnsi="宋体"/>
      <w:sz w:val="28"/>
    </w:rPr>
  </w:style>
  <w:style w:type="paragraph" w:styleId="22">
    <w:name w:val="Balloon Text"/>
    <w:basedOn w:val="1"/>
    <w:link w:val="105"/>
    <w:autoRedefine/>
    <w:qFormat/>
    <w:uiPriority w:val="0"/>
    <w:rPr>
      <w:kern w:val="0"/>
      <w:sz w:val="18"/>
      <w:szCs w:val="20"/>
    </w:rPr>
  </w:style>
  <w:style w:type="paragraph" w:styleId="23">
    <w:name w:val="footer"/>
    <w:basedOn w:val="1"/>
    <w:next w:val="1"/>
    <w:link w:val="45"/>
    <w:autoRedefine/>
    <w:qFormat/>
    <w:uiPriority w:val="0"/>
    <w:pPr>
      <w:tabs>
        <w:tab w:val="center" w:pos="4153"/>
        <w:tab w:val="right" w:pos="8306"/>
      </w:tabs>
      <w:snapToGrid w:val="0"/>
      <w:jc w:val="left"/>
    </w:pPr>
    <w:rPr>
      <w:kern w:val="0"/>
      <w:sz w:val="18"/>
      <w:szCs w:val="20"/>
    </w:rPr>
  </w:style>
  <w:style w:type="paragraph" w:styleId="24">
    <w:name w:val="toc 1"/>
    <w:basedOn w:val="1"/>
    <w:next w:val="1"/>
    <w:autoRedefine/>
    <w:unhideWhenUsed/>
    <w:qFormat/>
    <w:locked/>
    <w:uiPriority w:val="0"/>
    <w:pPr>
      <w:widowControl/>
      <w:spacing w:after="100" w:line="276" w:lineRule="auto"/>
      <w:jc w:val="left"/>
    </w:pPr>
    <w:rPr>
      <w:rFonts w:ascii="Calibri" w:hAnsi="Calibri"/>
      <w:kern w:val="0"/>
      <w:sz w:val="22"/>
      <w:szCs w:val="22"/>
    </w:rPr>
  </w:style>
  <w:style w:type="paragraph" w:styleId="25">
    <w:name w:val="Subtitle"/>
    <w:basedOn w:val="1"/>
    <w:next w:val="1"/>
    <w:link w:val="85"/>
    <w:autoRedefine/>
    <w:qFormat/>
    <w:locked/>
    <w:uiPriority w:val="0"/>
    <w:pPr>
      <w:spacing w:before="240" w:after="60" w:line="312" w:lineRule="auto"/>
      <w:jc w:val="center"/>
      <w:outlineLvl w:val="1"/>
    </w:pPr>
    <w:rPr>
      <w:rFonts w:ascii="Cambria" w:hAnsi="Cambria"/>
      <w:b/>
      <w:bCs/>
      <w:kern w:val="28"/>
      <w:sz w:val="32"/>
      <w:szCs w:val="32"/>
    </w:rPr>
  </w:style>
  <w:style w:type="paragraph" w:styleId="26">
    <w:name w:val="List"/>
    <w:basedOn w:val="1"/>
    <w:autoRedefine/>
    <w:qFormat/>
    <w:locked/>
    <w:uiPriority w:val="0"/>
    <w:pPr>
      <w:jc w:val="center"/>
    </w:pPr>
    <w:rPr>
      <w:szCs w:val="21"/>
    </w:rPr>
  </w:style>
  <w:style w:type="paragraph" w:styleId="27">
    <w:name w:val="footnote text"/>
    <w:basedOn w:val="1"/>
    <w:link w:val="95"/>
    <w:autoRedefine/>
    <w:qFormat/>
    <w:locked/>
    <w:uiPriority w:val="0"/>
    <w:pPr>
      <w:snapToGrid w:val="0"/>
      <w:jc w:val="left"/>
    </w:pPr>
    <w:rPr>
      <w:sz w:val="18"/>
      <w:szCs w:val="18"/>
    </w:rPr>
  </w:style>
  <w:style w:type="paragraph" w:styleId="28">
    <w:name w:val="Body Text Indent 3"/>
    <w:basedOn w:val="1"/>
    <w:link w:val="78"/>
    <w:autoRedefine/>
    <w:qFormat/>
    <w:locked/>
    <w:uiPriority w:val="0"/>
    <w:pPr>
      <w:spacing w:after="120"/>
      <w:ind w:left="420" w:leftChars="200"/>
    </w:pPr>
    <w:rPr>
      <w:rFonts w:ascii="宋体"/>
      <w:sz w:val="16"/>
      <w:szCs w:val="16"/>
    </w:rPr>
  </w:style>
  <w:style w:type="paragraph" w:styleId="29">
    <w:name w:val="toc 2"/>
    <w:basedOn w:val="1"/>
    <w:next w:val="1"/>
    <w:autoRedefine/>
    <w:unhideWhenUsed/>
    <w:qFormat/>
    <w:locked/>
    <w:uiPriority w:val="0"/>
    <w:pPr>
      <w:widowControl/>
      <w:spacing w:after="100" w:line="276" w:lineRule="auto"/>
      <w:ind w:left="220"/>
      <w:jc w:val="left"/>
    </w:pPr>
    <w:rPr>
      <w:rFonts w:ascii="Calibri" w:hAnsi="Calibri"/>
      <w:kern w:val="0"/>
      <w:sz w:val="22"/>
      <w:szCs w:val="22"/>
    </w:rPr>
  </w:style>
  <w:style w:type="paragraph" w:styleId="30">
    <w:name w:val="Body Text 2"/>
    <w:basedOn w:val="1"/>
    <w:link w:val="99"/>
    <w:autoRedefine/>
    <w:qFormat/>
    <w:locked/>
    <w:uiPriority w:val="0"/>
    <w:rPr>
      <w:sz w:val="24"/>
    </w:rPr>
  </w:style>
  <w:style w:type="paragraph" w:styleId="31">
    <w:name w:val="HTML Preformatted"/>
    <w:basedOn w:val="1"/>
    <w:link w:val="89"/>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link w:val="100"/>
    <w:autoRedefine/>
    <w:qFormat/>
    <w:uiPriority w:val="0"/>
    <w:pPr>
      <w:widowControl/>
      <w:spacing w:before="100" w:beforeAutospacing="1" w:after="100" w:afterAutospacing="1"/>
      <w:jc w:val="left"/>
    </w:pPr>
    <w:rPr>
      <w:rFonts w:ascii="宋体" w:hAnsi="宋体"/>
      <w:kern w:val="0"/>
      <w:sz w:val="24"/>
      <w:szCs w:val="20"/>
    </w:rPr>
  </w:style>
  <w:style w:type="paragraph" w:styleId="33">
    <w:name w:val="Title"/>
    <w:basedOn w:val="1"/>
    <w:next w:val="1"/>
    <w:link w:val="88"/>
    <w:autoRedefine/>
    <w:qFormat/>
    <w:locked/>
    <w:uiPriority w:val="0"/>
    <w:pPr>
      <w:spacing w:before="240" w:after="60"/>
      <w:jc w:val="center"/>
      <w:outlineLvl w:val="0"/>
    </w:pPr>
    <w:rPr>
      <w:rFonts w:ascii="Cambria" w:hAnsi="Cambria"/>
      <w:b/>
      <w:bCs/>
      <w:sz w:val="32"/>
      <w:szCs w:val="32"/>
    </w:rPr>
  </w:style>
  <w:style w:type="paragraph" w:styleId="34">
    <w:name w:val="annotation subject"/>
    <w:basedOn w:val="12"/>
    <w:next w:val="12"/>
    <w:link w:val="76"/>
    <w:autoRedefine/>
    <w:qFormat/>
    <w:uiPriority w:val="0"/>
    <w:rPr>
      <w:b/>
    </w:rPr>
  </w:style>
  <w:style w:type="paragraph" w:styleId="35">
    <w:name w:val="Body Text First Indent"/>
    <w:basedOn w:val="15"/>
    <w:next w:val="1"/>
    <w:link w:val="72"/>
    <w:autoRedefine/>
    <w:qFormat/>
    <w:locked/>
    <w:uiPriority w:val="0"/>
    <w:pPr>
      <w:widowControl w:val="0"/>
      <w:snapToGrid/>
      <w:spacing w:before="0" w:after="120" w:line="240" w:lineRule="auto"/>
      <w:ind w:right="0" w:firstLine="420" w:firstLineChars="100"/>
    </w:pPr>
    <w:rPr>
      <w:kern w:val="2"/>
      <w:sz w:val="21"/>
      <w:szCs w:val="24"/>
    </w:rPr>
  </w:style>
  <w:style w:type="paragraph" w:styleId="36">
    <w:name w:val="Body Text First Indent 2"/>
    <w:basedOn w:val="16"/>
    <w:next w:val="35"/>
    <w:link w:val="53"/>
    <w:autoRedefine/>
    <w:qFormat/>
    <w:locked/>
    <w:uiPriority w:val="0"/>
    <w:pPr>
      <w:ind w:firstLine="210" w:firstLineChars="200"/>
    </w:pPr>
    <w:rPr>
      <w:kern w:val="2"/>
      <w:sz w:val="21"/>
      <w:szCs w:val="24"/>
    </w:rPr>
  </w:style>
  <w:style w:type="table" w:styleId="38">
    <w:name w:val="Table Grid"/>
    <w:basedOn w:val="37"/>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autoRedefine/>
    <w:qFormat/>
    <w:locked/>
    <w:uiPriority w:val="0"/>
  </w:style>
  <w:style w:type="character" w:styleId="41">
    <w:name w:val="Hyperlink"/>
    <w:autoRedefine/>
    <w:unhideWhenUsed/>
    <w:qFormat/>
    <w:locked/>
    <w:uiPriority w:val="0"/>
    <w:rPr>
      <w:color w:val="0000FF"/>
      <w:u w:val="single"/>
    </w:rPr>
  </w:style>
  <w:style w:type="character" w:styleId="42">
    <w:name w:val="annotation reference"/>
    <w:autoRedefine/>
    <w:qFormat/>
    <w:uiPriority w:val="0"/>
    <w:rPr>
      <w:sz w:val="21"/>
    </w:rPr>
  </w:style>
  <w:style w:type="paragraph" w:customStyle="1" w:styleId="43">
    <w:name w:val="Default"/>
    <w:basedOn w:val="44"/>
    <w:autoRedefine/>
    <w:qFormat/>
    <w:uiPriority w:val="0"/>
    <w:pPr>
      <w:autoSpaceDE w:val="0"/>
      <w:autoSpaceDN w:val="0"/>
    </w:pPr>
    <w:rPr>
      <w:rFonts w:cs="宋体"/>
      <w:color w:val="000000"/>
      <w:sz w:val="24"/>
      <w:szCs w:val="24"/>
    </w:rPr>
  </w:style>
  <w:style w:type="paragraph" w:customStyle="1" w:styleId="44">
    <w:name w:val="纯文本1"/>
    <w:basedOn w:val="1"/>
    <w:autoRedefine/>
    <w:qFormat/>
    <w:uiPriority w:val="0"/>
    <w:pPr>
      <w:adjustRightInd w:val="0"/>
    </w:pPr>
    <w:rPr>
      <w:rFonts w:ascii="宋体" w:hAnsi="Courier New"/>
      <w:szCs w:val="20"/>
    </w:rPr>
  </w:style>
  <w:style w:type="character" w:customStyle="1" w:styleId="45">
    <w:name w:val="页脚 字符1"/>
    <w:link w:val="23"/>
    <w:autoRedefine/>
    <w:qFormat/>
    <w:locked/>
    <w:uiPriority w:val="0"/>
    <w:rPr>
      <w:sz w:val="18"/>
    </w:rPr>
  </w:style>
  <w:style w:type="character" w:customStyle="1" w:styleId="46">
    <w:name w:val="标题 1 字符"/>
    <w:link w:val="3"/>
    <w:autoRedefine/>
    <w:qFormat/>
    <w:uiPriority w:val="0"/>
    <w:rPr>
      <w:rFonts w:eastAsia="黑体"/>
      <w:b/>
      <w:bCs/>
      <w:color w:val="000000"/>
      <w:kern w:val="44"/>
      <w:sz w:val="30"/>
      <w:szCs w:val="30"/>
    </w:rPr>
  </w:style>
  <w:style w:type="character" w:customStyle="1" w:styleId="47">
    <w:name w:val="S表名图名 Char"/>
    <w:link w:val="48"/>
    <w:autoRedefine/>
    <w:qFormat/>
    <w:uiPriority w:val="1"/>
    <w:rPr>
      <w:b/>
      <w:kern w:val="2"/>
      <w:sz w:val="24"/>
      <w:szCs w:val="23"/>
    </w:rPr>
  </w:style>
  <w:style w:type="paragraph" w:customStyle="1" w:styleId="48">
    <w:name w:val="S表名图名"/>
    <w:basedOn w:val="49"/>
    <w:link w:val="47"/>
    <w:autoRedefine/>
    <w:qFormat/>
    <w:uiPriority w:val="1"/>
    <w:pPr>
      <w:ind w:firstLine="0"/>
      <w:jc w:val="center"/>
    </w:pPr>
    <w:rPr>
      <w:b/>
      <w:szCs w:val="23"/>
    </w:rPr>
  </w:style>
  <w:style w:type="paragraph" w:customStyle="1" w:styleId="49">
    <w:name w:val="S报告正文"/>
    <w:basedOn w:val="1"/>
    <w:autoRedefine/>
    <w:qFormat/>
    <w:uiPriority w:val="0"/>
    <w:pPr>
      <w:adjustRightInd w:val="0"/>
      <w:snapToGrid w:val="0"/>
      <w:spacing w:line="480" w:lineRule="exact"/>
      <w:ind w:firstLine="510"/>
      <w:jc w:val="left"/>
    </w:pPr>
    <w:rPr>
      <w:sz w:val="24"/>
    </w:rPr>
  </w:style>
  <w:style w:type="character" w:customStyle="1" w:styleId="50">
    <w:name w:val="正文文本缩进 字符"/>
    <w:link w:val="16"/>
    <w:autoRedefine/>
    <w:qFormat/>
    <w:locked/>
    <w:uiPriority w:val="0"/>
    <w:rPr>
      <w:rFonts w:ascii="Times New Roman" w:hAnsi="Times New Roman" w:eastAsia="宋体"/>
      <w:sz w:val="24"/>
    </w:rPr>
  </w:style>
  <w:style w:type="character" w:customStyle="1" w:styleId="51">
    <w:name w:val="正文(首行缩进) Char Char"/>
    <w:autoRedefine/>
    <w:unhideWhenUsed/>
    <w:qFormat/>
    <w:uiPriority w:val="0"/>
    <w:rPr>
      <w:rFonts w:hint="default" w:ascii="Times New Roman" w:eastAsia="楷体_GB2312"/>
      <w:bCs/>
      <w:snapToGrid/>
      <w:spacing w:val="34"/>
      <w:kern w:val="2"/>
      <w:sz w:val="24"/>
      <w:szCs w:val="32"/>
      <w:lang w:val="en-US" w:eastAsia="zh-CN" w:bidi="ar-SA"/>
    </w:rPr>
  </w:style>
  <w:style w:type="character" w:customStyle="1" w:styleId="52">
    <w:name w:val="纯文本 Char1"/>
    <w:autoRedefine/>
    <w:unhideWhenUsed/>
    <w:qFormat/>
    <w:uiPriority w:val="99"/>
    <w:rPr>
      <w:rFonts w:hint="eastAsia" w:ascii="宋体" w:hAnsi="Courier New" w:eastAsia="宋体"/>
      <w:bCs/>
      <w:spacing w:val="34"/>
      <w:kern w:val="2"/>
      <w:sz w:val="21"/>
      <w:szCs w:val="32"/>
      <w:lang w:val="en-US" w:eastAsia="zh-CN" w:bidi="ar-SA"/>
    </w:rPr>
  </w:style>
  <w:style w:type="character" w:customStyle="1" w:styleId="53">
    <w:name w:val="正文首行缩进 2 字符"/>
    <w:link w:val="36"/>
    <w:autoRedefine/>
    <w:qFormat/>
    <w:uiPriority w:val="0"/>
    <w:rPr>
      <w:rFonts w:ascii="Times New Roman" w:hAnsi="Times New Roman" w:eastAsia="宋体"/>
      <w:kern w:val="2"/>
      <w:sz w:val="21"/>
      <w:szCs w:val="24"/>
    </w:rPr>
  </w:style>
  <w:style w:type="character" w:customStyle="1" w:styleId="54">
    <w:name w:val="标题 7 字符"/>
    <w:link w:val="8"/>
    <w:autoRedefine/>
    <w:qFormat/>
    <w:uiPriority w:val="0"/>
    <w:rPr>
      <w:color w:val="000000"/>
      <w:kern w:val="2"/>
      <w:sz w:val="28"/>
      <w:szCs w:val="24"/>
    </w:rPr>
  </w:style>
  <w:style w:type="character" w:customStyle="1" w:styleId="55">
    <w:name w:val="正文文本 3 字符"/>
    <w:link w:val="14"/>
    <w:autoRedefine/>
    <w:qFormat/>
    <w:uiPriority w:val="0"/>
    <w:rPr>
      <w:rFonts w:eastAsia="方正书宋简体"/>
      <w:w w:val="90"/>
      <w:sz w:val="28"/>
    </w:rPr>
  </w:style>
  <w:style w:type="character" w:customStyle="1" w:styleId="56">
    <w:name w:val="报告表正文 Char"/>
    <w:link w:val="57"/>
    <w:autoRedefine/>
    <w:qFormat/>
    <w:uiPriority w:val="0"/>
    <w:rPr>
      <w:sz w:val="24"/>
    </w:rPr>
  </w:style>
  <w:style w:type="paragraph" w:customStyle="1" w:styleId="57">
    <w:name w:val="报告表正文"/>
    <w:basedOn w:val="1"/>
    <w:link w:val="56"/>
    <w:autoRedefine/>
    <w:qFormat/>
    <w:uiPriority w:val="0"/>
    <w:pPr>
      <w:adjustRightInd w:val="0"/>
      <w:spacing w:line="312" w:lineRule="auto"/>
      <w:ind w:left="113" w:right="113" w:firstLine="482"/>
      <w:jc w:val="left"/>
      <w:textAlignment w:val="baseline"/>
    </w:pPr>
    <w:rPr>
      <w:kern w:val="0"/>
      <w:sz w:val="24"/>
      <w:szCs w:val="20"/>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报告正文S 字符"/>
    <w:link w:val="60"/>
    <w:autoRedefine/>
    <w:qFormat/>
    <w:uiPriority w:val="0"/>
    <w:rPr>
      <w:snapToGrid/>
      <w:sz w:val="24"/>
      <w:szCs w:val="24"/>
    </w:rPr>
  </w:style>
  <w:style w:type="paragraph" w:customStyle="1" w:styleId="60">
    <w:name w:val="报告正文S"/>
    <w:basedOn w:val="1"/>
    <w:link w:val="59"/>
    <w:autoRedefine/>
    <w:qFormat/>
    <w:uiPriority w:val="0"/>
    <w:pPr>
      <w:topLinePunct/>
      <w:spacing w:line="520" w:lineRule="exact"/>
      <w:ind w:firstLine="510"/>
      <w:jc w:val="left"/>
    </w:pPr>
    <w:rPr>
      <w:snapToGrid w:val="0"/>
      <w:kern w:val="0"/>
      <w:sz w:val="24"/>
    </w:rPr>
  </w:style>
  <w:style w:type="character" w:customStyle="1" w:styleId="61">
    <w:name w:val="样式 正文首行缩进 + 首行缩进:  1 字符 Char"/>
    <w:link w:val="62"/>
    <w:autoRedefine/>
    <w:qFormat/>
    <w:locked/>
    <w:uiPriority w:val="0"/>
    <w:rPr>
      <w:rFonts w:cs="宋体"/>
      <w:sz w:val="24"/>
    </w:rPr>
  </w:style>
  <w:style w:type="paragraph" w:customStyle="1" w:styleId="62">
    <w:name w:val="样式 正文首行缩进 + 首行缩进:  1 字符"/>
    <w:basedOn w:val="35"/>
    <w:link w:val="61"/>
    <w:autoRedefine/>
    <w:qFormat/>
    <w:uiPriority w:val="0"/>
    <w:pPr>
      <w:adjustRightInd w:val="0"/>
      <w:spacing w:after="0" w:line="360" w:lineRule="auto"/>
      <w:ind w:firstLine="100" w:firstLineChars="200"/>
      <w:textAlignment w:val="baseline"/>
    </w:pPr>
    <w:rPr>
      <w:rFonts w:cs="宋体"/>
      <w:kern w:val="0"/>
      <w:sz w:val="24"/>
      <w:szCs w:val="20"/>
    </w:rPr>
  </w:style>
  <w:style w:type="character" w:customStyle="1" w:styleId="63">
    <w:name w:val="标题 5 字符"/>
    <w:link w:val="7"/>
    <w:autoRedefine/>
    <w:qFormat/>
    <w:uiPriority w:val="0"/>
    <w:rPr>
      <w:b/>
      <w:bCs/>
      <w:kern w:val="2"/>
      <w:sz w:val="28"/>
      <w:szCs w:val="28"/>
    </w:rPr>
  </w:style>
  <w:style w:type="character" w:customStyle="1" w:styleId="64">
    <w:name w:val="wz1"/>
    <w:autoRedefine/>
    <w:qFormat/>
    <w:uiPriority w:val="0"/>
  </w:style>
  <w:style w:type="character" w:customStyle="1" w:styleId="65">
    <w:name w:val="apple-converted-space"/>
    <w:autoRedefine/>
    <w:unhideWhenUsed/>
    <w:qFormat/>
    <w:uiPriority w:val="0"/>
    <w:rPr>
      <w:rFonts w:hint="default" w:ascii="Times New Roman" w:eastAsia="楷体_GB2312"/>
      <w:bCs/>
      <w:spacing w:val="34"/>
      <w:kern w:val="2"/>
      <w:sz w:val="28"/>
      <w:szCs w:val="32"/>
      <w:lang w:val="en-US" w:eastAsia="zh-CN" w:bidi="ar-SA"/>
    </w:rPr>
  </w:style>
  <w:style w:type="character" w:customStyle="1" w:styleId="66">
    <w:name w:val="报告书正文 Char"/>
    <w:link w:val="67"/>
    <w:autoRedefine/>
    <w:semiHidden/>
    <w:qFormat/>
    <w:uiPriority w:val="0"/>
    <w:rPr>
      <w:kern w:val="2"/>
      <w:sz w:val="24"/>
      <w:szCs w:val="24"/>
    </w:rPr>
  </w:style>
  <w:style w:type="paragraph" w:customStyle="1" w:styleId="67">
    <w:name w:val="报告书正文"/>
    <w:basedOn w:val="1"/>
    <w:link w:val="66"/>
    <w:autoRedefine/>
    <w:semiHidden/>
    <w:qFormat/>
    <w:uiPriority w:val="0"/>
    <w:pPr>
      <w:spacing w:line="360" w:lineRule="auto"/>
      <w:ind w:firstLine="480" w:firstLineChars="200"/>
    </w:pPr>
    <w:rPr>
      <w:sz w:val="24"/>
    </w:rPr>
  </w:style>
  <w:style w:type="character" w:customStyle="1" w:styleId="68">
    <w:name w:val="表格 Char1"/>
    <w:autoRedefine/>
    <w:unhideWhenUsed/>
    <w:qFormat/>
    <w:uiPriority w:val="0"/>
    <w:rPr>
      <w:rFonts w:hint="default" w:ascii="Times New Roman" w:eastAsia="楷体_GB2312"/>
      <w:bCs/>
      <w:spacing w:val="34"/>
      <w:kern w:val="2"/>
      <w:sz w:val="24"/>
      <w:szCs w:val="32"/>
      <w:lang w:val="en-US" w:eastAsia="zh-CN" w:bidi="ar-SA"/>
    </w:rPr>
  </w:style>
  <w:style w:type="character" w:customStyle="1" w:styleId="69">
    <w:name w:val="日期 字符"/>
    <w:autoRedefine/>
    <w:semiHidden/>
    <w:qFormat/>
    <w:uiPriority w:val="0"/>
    <w:rPr>
      <w:rFonts w:ascii="Times New Roman" w:hAnsi="Times New Roman" w:eastAsia="宋体"/>
      <w:sz w:val="24"/>
    </w:rPr>
  </w:style>
  <w:style w:type="character" w:customStyle="1" w:styleId="70">
    <w:name w:val="表格内容 Char"/>
    <w:link w:val="71"/>
    <w:autoRedefine/>
    <w:qFormat/>
    <w:uiPriority w:val="0"/>
    <w:rPr>
      <w:rFonts w:cs="宋体"/>
      <w:kern w:val="2"/>
      <w:sz w:val="21"/>
    </w:rPr>
  </w:style>
  <w:style w:type="paragraph" w:customStyle="1" w:styleId="71">
    <w:name w:val="表格内容"/>
    <w:basedOn w:val="1"/>
    <w:link w:val="70"/>
    <w:autoRedefine/>
    <w:qFormat/>
    <w:uiPriority w:val="0"/>
    <w:pPr>
      <w:jc w:val="left"/>
    </w:pPr>
    <w:rPr>
      <w:rFonts w:cs="宋体"/>
      <w:szCs w:val="20"/>
    </w:rPr>
  </w:style>
  <w:style w:type="character" w:customStyle="1" w:styleId="72">
    <w:name w:val="正文首行缩进 字符"/>
    <w:link w:val="35"/>
    <w:autoRedefine/>
    <w:qFormat/>
    <w:uiPriority w:val="0"/>
    <w:rPr>
      <w:kern w:val="2"/>
      <w:sz w:val="21"/>
      <w:szCs w:val="24"/>
    </w:rPr>
  </w:style>
  <w:style w:type="character" w:customStyle="1" w:styleId="73">
    <w:name w:val="标题 3 字符"/>
    <w:link w:val="5"/>
    <w:autoRedefine/>
    <w:qFormat/>
    <w:uiPriority w:val="0"/>
    <w:rPr>
      <w:b/>
      <w:bCs/>
      <w:kern w:val="2"/>
      <w:sz w:val="32"/>
      <w:szCs w:val="32"/>
    </w:rPr>
  </w:style>
  <w:style w:type="character" w:customStyle="1" w:styleId="74">
    <w:name w:val="批注文字 字符"/>
    <w:link w:val="12"/>
    <w:autoRedefine/>
    <w:qFormat/>
    <w:locked/>
    <w:uiPriority w:val="99"/>
    <w:rPr>
      <w:rFonts w:ascii="Times New Roman" w:hAnsi="Times New Roman" w:eastAsia="宋体"/>
      <w:sz w:val="24"/>
    </w:rPr>
  </w:style>
  <w:style w:type="character" w:customStyle="1" w:styleId="75">
    <w:name w:val="标题 2 字符"/>
    <w:link w:val="4"/>
    <w:autoRedefine/>
    <w:qFormat/>
    <w:uiPriority w:val="0"/>
    <w:rPr>
      <w:rFonts w:ascii="Cambria" w:hAnsi="Cambria" w:eastAsia="宋体" w:cs="Times New Roman"/>
      <w:b/>
      <w:bCs/>
      <w:kern w:val="2"/>
      <w:sz w:val="32"/>
      <w:szCs w:val="32"/>
    </w:rPr>
  </w:style>
  <w:style w:type="character" w:customStyle="1" w:styleId="76">
    <w:name w:val="批注主题 字符"/>
    <w:link w:val="34"/>
    <w:autoRedefine/>
    <w:qFormat/>
    <w:locked/>
    <w:uiPriority w:val="0"/>
    <w:rPr>
      <w:rFonts w:ascii="Times New Roman" w:hAnsi="Times New Roman" w:eastAsia="宋体"/>
      <w:b/>
      <w:kern w:val="2"/>
      <w:sz w:val="24"/>
    </w:rPr>
  </w:style>
  <w:style w:type="character" w:customStyle="1" w:styleId="77">
    <w:name w:val="正文文本 字符1"/>
    <w:autoRedefine/>
    <w:semiHidden/>
    <w:qFormat/>
    <w:uiPriority w:val="0"/>
    <w:rPr>
      <w:rFonts w:ascii="Times New Roman" w:hAnsi="Times New Roman" w:eastAsia="宋体"/>
      <w:sz w:val="24"/>
    </w:rPr>
  </w:style>
  <w:style w:type="character" w:customStyle="1" w:styleId="78">
    <w:name w:val="正文文本缩进 3 字符"/>
    <w:link w:val="28"/>
    <w:autoRedefine/>
    <w:qFormat/>
    <w:uiPriority w:val="0"/>
    <w:rPr>
      <w:rFonts w:ascii="宋体"/>
      <w:kern w:val="2"/>
      <w:sz w:val="16"/>
      <w:szCs w:val="16"/>
    </w:rPr>
  </w:style>
  <w:style w:type="character" w:customStyle="1" w:styleId="79">
    <w:name w:val="Char Char Char"/>
    <w:link w:val="80"/>
    <w:autoRedefine/>
    <w:unhideWhenUsed/>
    <w:qFormat/>
    <w:uiPriority w:val="0"/>
    <w:rPr>
      <w:rFonts w:eastAsia="楷体_GB2312"/>
      <w:bCs/>
      <w:spacing w:val="34"/>
      <w:kern w:val="2"/>
      <w:sz w:val="24"/>
      <w:szCs w:val="32"/>
    </w:rPr>
  </w:style>
  <w:style w:type="paragraph" w:customStyle="1" w:styleId="80">
    <w:name w:val="Char3"/>
    <w:basedOn w:val="1"/>
    <w:link w:val="79"/>
    <w:autoRedefine/>
    <w:unhideWhenUsed/>
    <w:qFormat/>
    <w:uiPriority w:val="0"/>
    <w:rPr>
      <w:rFonts w:eastAsia="楷体_GB2312"/>
      <w:bCs/>
      <w:spacing w:val="34"/>
      <w:sz w:val="24"/>
      <w:szCs w:val="32"/>
    </w:rPr>
  </w:style>
  <w:style w:type="character" w:customStyle="1" w:styleId="81">
    <w:name w:val="apple-style-span"/>
    <w:autoRedefine/>
    <w:qFormat/>
    <w:uiPriority w:val="0"/>
    <w:rPr>
      <w:rFonts w:eastAsia="楷体_GB2312"/>
      <w:bCs/>
      <w:spacing w:val="34"/>
      <w:kern w:val="2"/>
      <w:sz w:val="28"/>
      <w:szCs w:val="32"/>
      <w:lang w:val="en-US" w:eastAsia="zh-CN" w:bidi="ar-SA"/>
    </w:rPr>
  </w:style>
  <w:style w:type="character" w:customStyle="1" w:styleId="82">
    <w:name w:val="日期 字符1"/>
    <w:link w:val="20"/>
    <w:autoRedefine/>
    <w:qFormat/>
    <w:locked/>
    <w:uiPriority w:val="0"/>
    <w:rPr>
      <w:rFonts w:ascii="Times New Roman" w:hAnsi="Times New Roman" w:eastAsia="宋体"/>
      <w:sz w:val="24"/>
    </w:rPr>
  </w:style>
  <w:style w:type="character" w:customStyle="1" w:styleId="83">
    <w:name w:val="表格标题 字符"/>
    <w:link w:val="84"/>
    <w:autoRedefine/>
    <w:qFormat/>
    <w:uiPriority w:val="0"/>
    <w:rPr>
      <w:b/>
      <w:kern w:val="2"/>
      <w:sz w:val="24"/>
      <w:szCs w:val="24"/>
    </w:rPr>
  </w:style>
  <w:style w:type="paragraph" w:customStyle="1" w:styleId="84">
    <w:name w:val="表格标题"/>
    <w:basedOn w:val="1"/>
    <w:link w:val="83"/>
    <w:autoRedefine/>
    <w:qFormat/>
    <w:uiPriority w:val="0"/>
    <w:pPr>
      <w:spacing w:line="520" w:lineRule="exact"/>
      <w:jc w:val="center"/>
    </w:pPr>
    <w:rPr>
      <w:b/>
      <w:sz w:val="24"/>
    </w:rPr>
  </w:style>
  <w:style w:type="character" w:customStyle="1" w:styleId="85">
    <w:name w:val="副标题 字符"/>
    <w:link w:val="25"/>
    <w:autoRedefine/>
    <w:qFormat/>
    <w:uiPriority w:val="0"/>
    <w:rPr>
      <w:rFonts w:ascii="Cambria" w:hAnsi="Cambria" w:cs="Times New Roman"/>
      <w:b/>
      <w:bCs/>
      <w:kern w:val="28"/>
      <w:sz w:val="32"/>
      <w:szCs w:val="32"/>
    </w:rPr>
  </w:style>
  <w:style w:type="character" w:customStyle="1" w:styleId="86">
    <w:name w:val="宋体 小四 Char Char"/>
    <w:link w:val="87"/>
    <w:autoRedefine/>
    <w:unhideWhenUsed/>
    <w:qFormat/>
    <w:uiPriority w:val="0"/>
    <w:rPr>
      <w:rFonts w:hAnsi="宋体" w:eastAsia="楷体_GB2312"/>
      <w:bCs/>
      <w:spacing w:val="34"/>
      <w:kern w:val="2"/>
      <w:sz w:val="24"/>
      <w:szCs w:val="32"/>
    </w:rPr>
  </w:style>
  <w:style w:type="paragraph" w:customStyle="1" w:styleId="87">
    <w:name w:val="宋体 小四"/>
    <w:basedOn w:val="1"/>
    <w:link w:val="86"/>
    <w:autoRedefine/>
    <w:unhideWhenUsed/>
    <w:qFormat/>
    <w:uiPriority w:val="0"/>
    <w:pPr>
      <w:spacing w:line="360" w:lineRule="auto"/>
      <w:ind w:firstLine="200" w:firstLineChars="200"/>
    </w:pPr>
    <w:rPr>
      <w:rFonts w:hAnsi="宋体" w:eastAsia="楷体_GB2312"/>
      <w:bCs/>
      <w:spacing w:val="34"/>
      <w:sz w:val="24"/>
      <w:szCs w:val="32"/>
    </w:rPr>
  </w:style>
  <w:style w:type="character" w:customStyle="1" w:styleId="88">
    <w:name w:val="标题 字符"/>
    <w:link w:val="33"/>
    <w:autoRedefine/>
    <w:qFormat/>
    <w:uiPriority w:val="0"/>
    <w:rPr>
      <w:rFonts w:ascii="Cambria" w:hAnsi="Cambria" w:cs="Times New Roman"/>
      <w:b/>
      <w:bCs/>
      <w:kern w:val="2"/>
      <w:sz w:val="32"/>
      <w:szCs w:val="32"/>
    </w:rPr>
  </w:style>
  <w:style w:type="character" w:customStyle="1" w:styleId="89">
    <w:name w:val="HTML 预设格式 字符"/>
    <w:link w:val="31"/>
    <w:autoRedefine/>
    <w:qFormat/>
    <w:uiPriority w:val="0"/>
    <w:rPr>
      <w:rFonts w:ascii="宋体" w:hAnsi="宋体" w:cs="宋体"/>
      <w:sz w:val="24"/>
      <w:szCs w:val="24"/>
    </w:rPr>
  </w:style>
  <w:style w:type="character" w:customStyle="1" w:styleId="90">
    <w:name w:val="表格 Char"/>
    <w:link w:val="91"/>
    <w:autoRedefine/>
    <w:qFormat/>
    <w:locked/>
    <w:uiPriority w:val="0"/>
    <w:rPr>
      <w:rFonts w:ascii="宋体"/>
      <w:sz w:val="21"/>
    </w:rPr>
  </w:style>
  <w:style w:type="paragraph" w:customStyle="1" w:styleId="91">
    <w:name w:val="表格"/>
    <w:basedOn w:val="92"/>
    <w:next w:val="94"/>
    <w:link w:val="90"/>
    <w:autoRedefine/>
    <w:qFormat/>
    <w:uiPriority w:val="0"/>
    <w:pPr>
      <w:adjustRightInd w:val="0"/>
      <w:snapToGrid w:val="0"/>
      <w:spacing w:beforeLines="10" w:afterLines="10" w:line="259" w:lineRule="auto"/>
      <w:jc w:val="center"/>
    </w:pPr>
    <w:rPr>
      <w:rFonts w:ascii="宋体"/>
      <w:kern w:val="0"/>
      <w:szCs w:val="20"/>
    </w:rPr>
  </w:style>
  <w:style w:type="paragraph" w:customStyle="1" w:styleId="92">
    <w:name w:val="二级正文"/>
    <w:basedOn w:val="93"/>
    <w:next w:val="1"/>
    <w:autoRedefine/>
    <w:qFormat/>
    <w:uiPriority w:val="0"/>
  </w:style>
  <w:style w:type="paragraph" w:customStyle="1" w:styleId="93">
    <w:name w:val="一级正文"/>
    <w:basedOn w:val="1"/>
    <w:next w:val="1"/>
    <w:qFormat/>
    <w:uiPriority w:val="0"/>
    <w:rPr>
      <w:b/>
    </w:rPr>
  </w:style>
  <w:style w:type="paragraph" w:customStyle="1" w:styleId="94">
    <w:name w:val="正文首行"/>
    <w:basedOn w:val="9"/>
    <w:qFormat/>
    <w:uiPriority w:val="0"/>
    <w:pPr>
      <w:spacing w:line="480" w:lineRule="exact"/>
      <w:ind w:firstLine="200"/>
    </w:pPr>
  </w:style>
  <w:style w:type="character" w:customStyle="1" w:styleId="95">
    <w:name w:val="脚注文本 字符"/>
    <w:link w:val="27"/>
    <w:autoRedefine/>
    <w:qFormat/>
    <w:uiPriority w:val="0"/>
    <w:rPr>
      <w:kern w:val="2"/>
      <w:sz w:val="18"/>
      <w:szCs w:val="18"/>
    </w:rPr>
  </w:style>
  <w:style w:type="character" w:customStyle="1" w:styleId="96">
    <w:name w:val="正文文本缩进 2 字符"/>
    <w:link w:val="21"/>
    <w:autoRedefine/>
    <w:qFormat/>
    <w:uiPriority w:val="0"/>
    <w:rPr>
      <w:rFonts w:ascii="宋体" w:hAnsi="宋体"/>
      <w:kern w:val="2"/>
      <w:sz w:val="28"/>
      <w:szCs w:val="24"/>
    </w:rPr>
  </w:style>
  <w:style w:type="character" w:customStyle="1" w:styleId="97">
    <w:name w:val="正文缩进 字符"/>
    <w:link w:val="9"/>
    <w:autoRedefine/>
    <w:qFormat/>
    <w:uiPriority w:val="0"/>
    <w:rPr>
      <w:rFonts w:eastAsia="华文中宋"/>
      <w:w w:val="90"/>
      <w:sz w:val="28"/>
    </w:rPr>
  </w:style>
  <w:style w:type="character" w:customStyle="1" w:styleId="98">
    <w:name w:val="纯文本 字符"/>
    <w:link w:val="2"/>
    <w:autoRedefine/>
    <w:qFormat/>
    <w:uiPriority w:val="0"/>
    <w:rPr>
      <w:rFonts w:ascii="宋体" w:hAnsi="Courier New" w:cs="Courier New"/>
      <w:kern w:val="2"/>
      <w:sz w:val="21"/>
      <w:szCs w:val="21"/>
    </w:rPr>
  </w:style>
  <w:style w:type="character" w:customStyle="1" w:styleId="99">
    <w:name w:val="正文文本 2 字符"/>
    <w:link w:val="30"/>
    <w:autoRedefine/>
    <w:qFormat/>
    <w:uiPriority w:val="0"/>
    <w:rPr>
      <w:kern w:val="2"/>
      <w:sz w:val="24"/>
      <w:szCs w:val="24"/>
    </w:rPr>
  </w:style>
  <w:style w:type="character" w:customStyle="1" w:styleId="100">
    <w:name w:val="普通(网站) 字符"/>
    <w:link w:val="32"/>
    <w:autoRedefine/>
    <w:qFormat/>
    <w:locked/>
    <w:uiPriority w:val="0"/>
    <w:rPr>
      <w:rFonts w:ascii="宋体" w:hAnsi="宋体" w:eastAsia="宋体"/>
      <w:sz w:val="24"/>
    </w:rPr>
  </w:style>
  <w:style w:type="character" w:customStyle="1" w:styleId="101">
    <w:name w:val="正文(首行缩进) Char"/>
    <w:link w:val="102"/>
    <w:autoRedefine/>
    <w:qFormat/>
    <w:uiPriority w:val="0"/>
    <w:rPr>
      <w:sz w:val="24"/>
      <w:szCs w:val="24"/>
    </w:rPr>
  </w:style>
  <w:style w:type="paragraph" w:customStyle="1" w:styleId="102">
    <w:name w:val="正文(首行缩进)"/>
    <w:basedOn w:val="1"/>
    <w:link w:val="101"/>
    <w:autoRedefine/>
    <w:qFormat/>
    <w:uiPriority w:val="0"/>
    <w:pPr>
      <w:adjustRightInd w:val="0"/>
      <w:snapToGrid w:val="0"/>
      <w:spacing w:line="360" w:lineRule="auto"/>
      <w:ind w:firstLine="200" w:firstLineChars="200"/>
    </w:pPr>
    <w:rPr>
      <w:kern w:val="0"/>
      <w:sz w:val="24"/>
    </w:rPr>
  </w:style>
  <w:style w:type="character" w:customStyle="1" w:styleId="103">
    <w:name w:val="表格文字 Char"/>
    <w:link w:val="104"/>
    <w:autoRedefine/>
    <w:qFormat/>
    <w:uiPriority w:val="0"/>
    <w:rPr>
      <w:szCs w:val="24"/>
    </w:rPr>
  </w:style>
  <w:style w:type="paragraph" w:customStyle="1" w:styleId="104">
    <w:name w:val="表格文字"/>
    <w:basedOn w:val="30"/>
    <w:next w:val="1"/>
    <w:link w:val="103"/>
    <w:autoRedefine/>
    <w:qFormat/>
    <w:uiPriority w:val="0"/>
    <w:pPr>
      <w:adjustRightInd w:val="0"/>
      <w:snapToGrid w:val="0"/>
      <w:spacing w:before="20" w:beforeLines="20" w:after="20" w:afterLines="20"/>
      <w:jc w:val="center"/>
    </w:pPr>
    <w:rPr>
      <w:kern w:val="0"/>
      <w:sz w:val="20"/>
    </w:rPr>
  </w:style>
  <w:style w:type="character" w:customStyle="1" w:styleId="105">
    <w:name w:val="批注框文本 字符"/>
    <w:link w:val="22"/>
    <w:autoRedefine/>
    <w:qFormat/>
    <w:locked/>
    <w:uiPriority w:val="0"/>
    <w:rPr>
      <w:rFonts w:ascii="Times New Roman" w:hAnsi="Times New Roman" w:eastAsia="宋体"/>
      <w:sz w:val="18"/>
    </w:rPr>
  </w:style>
  <w:style w:type="character" w:customStyle="1" w:styleId="106">
    <w:name w:val="正文文本 字符"/>
    <w:link w:val="15"/>
    <w:autoRedefine/>
    <w:qFormat/>
    <w:locked/>
    <w:uiPriority w:val="0"/>
    <w:rPr>
      <w:sz w:val="18"/>
    </w:rPr>
  </w:style>
  <w:style w:type="character" w:customStyle="1" w:styleId="107">
    <w:name w:val="a1"/>
    <w:autoRedefine/>
    <w:unhideWhenUsed/>
    <w:qFormat/>
    <w:uiPriority w:val="0"/>
    <w:rPr>
      <w:rFonts w:hint="default" w:ascii="Times New Roman" w:eastAsia="楷体_GB2312"/>
      <w:bCs/>
      <w:spacing w:val="34"/>
      <w:kern w:val="2"/>
      <w:sz w:val="28"/>
      <w:szCs w:val="32"/>
      <w:lang w:val="en-US" w:eastAsia="zh-CN" w:bidi="ar-SA"/>
    </w:rPr>
  </w:style>
  <w:style w:type="character" w:customStyle="1" w:styleId="108">
    <w:name w:val="页脚 字符"/>
    <w:autoRedefine/>
    <w:qFormat/>
    <w:uiPriority w:val="99"/>
  </w:style>
  <w:style w:type="character" w:customStyle="1" w:styleId="109">
    <w:name w:val="样式 四号 行距: 固定值 26 磅 Char"/>
    <w:link w:val="110"/>
    <w:autoRedefine/>
    <w:qFormat/>
    <w:uiPriority w:val="0"/>
    <w:rPr>
      <w:rFonts w:cs="宋体"/>
      <w:color w:val="0000FF"/>
      <w:kern w:val="44"/>
      <w:sz w:val="28"/>
      <w:szCs w:val="28"/>
    </w:rPr>
  </w:style>
  <w:style w:type="paragraph" w:customStyle="1" w:styleId="110">
    <w:name w:val="样式 四号 行距: 固定值 26 磅"/>
    <w:basedOn w:val="1"/>
    <w:link w:val="109"/>
    <w:autoRedefine/>
    <w:qFormat/>
    <w:uiPriority w:val="0"/>
    <w:pPr>
      <w:spacing w:line="520" w:lineRule="exact"/>
      <w:ind w:firstLine="560" w:firstLineChars="200"/>
    </w:pPr>
    <w:rPr>
      <w:rFonts w:cs="宋体"/>
      <w:color w:val="0000FF"/>
      <w:kern w:val="44"/>
      <w:sz w:val="28"/>
      <w:szCs w:val="28"/>
    </w:rPr>
  </w:style>
  <w:style w:type="character" w:customStyle="1" w:styleId="111">
    <w:name w:val="ddd"/>
    <w:autoRedefine/>
    <w:qFormat/>
    <w:uiPriority w:val="0"/>
  </w:style>
  <w:style w:type="character" w:customStyle="1" w:styleId="112">
    <w:name w:val="正文001 Char"/>
    <w:link w:val="113"/>
    <w:autoRedefine/>
    <w:qFormat/>
    <w:uiPriority w:val="0"/>
    <w:rPr>
      <w:kern w:val="2"/>
      <w:sz w:val="24"/>
      <w:szCs w:val="24"/>
    </w:rPr>
  </w:style>
  <w:style w:type="paragraph" w:customStyle="1" w:styleId="113">
    <w:name w:val="正文001"/>
    <w:basedOn w:val="1"/>
    <w:link w:val="112"/>
    <w:autoRedefine/>
    <w:qFormat/>
    <w:uiPriority w:val="0"/>
    <w:pPr>
      <w:adjustRightInd w:val="0"/>
      <w:snapToGrid w:val="0"/>
      <w:spacing w:line="440" w:lineRule="exact"/>
      <w:ind w:firstLine="482"/>
    </w:pPr>
    <w:rPr>
      <w:sz w:val="24"/>
    </w:rPr>
  </w:style>
  <w:style w:type="character" w:customStyle="1" w:styleId="114">
    <w:name w:val="neirong1"/>
    <w:autoRedefine/>
    <w:unhideWhenUsed/>
    <w:qFormat/>
    <w:uiPriority w:val="0"/>
    <w:rPr>
      <w:rFonts w:hint="default" w:ascii="Times New Roman" w:eastAsia="楷体_GB2312"/>
      <w:bCs/>
      <w:spacing w:val="34"/>
      <w:kern w:val="2"/>
      <w:sz w:val="21"/>
      <w:szCs w:val="32"/>
      <w:lang w:val="en-US" w:eastAsia="zh-CN" w:bidi="ar-SA"/>
    </w:rPr>
  </w:style>
  <w:style w:type="character" w:customStyle="1" w:styleId="115">
    <w:name w:val="lh151"/>
    <w:autoRedefine/>
    <w:qFormat/>
    <w:uiPriority w:val="0"/>
  </w:style>
  <w:style w:type="character" w:customStyle="1" w:styleId="116">
    <w:name w:val="正文1 Char Char"/>
    <w:link w:val="117"/>
    <w:autoRedefine/>
    <w:qFormat/>
    <w:uiPriority w:val="0"/>
    <w:rPr>
      <w:rFonts w:ascii="楷体_GB2312" w:eastAsia="楷体_GB2312" w:cs="宋体"/>
      <w:kern w:val="2"/>
      <w:sz w:val="28"/>
    </w:rPr>
  </w:style>
  <w:style w:type="paragraph" w:customStyle="1" w:styleId="117">
    <w:name w:val="正文1 Char"/>
    <w:basedOn w:val="1"/>
    <w:link w:val="116"/>
    <w:autoRedefine/>
    <w:qFormat/>
    <w:uiPriority w:val="0"/>
    <w:pPr>
      <w:spacing w:line="500" w:lineRule="exact"/>
    </w:pPr>
    <w:rPr>
      <w:rFonts w:ascii="楷体_GB2312" w:eastAsia="楷体_GB2312" w:cs="宋体"/>
      <w:sz w:val="28"/>
      <w:szCs w:val="20"/>
    </w:rPr>
  </w:style>
  <w:style w:type="character" w:customStyle="1" w:styleId="118">
    <w:name w:val="正文首行缩进 2 + Times New Roman Char Char"/>
    <w:link w:val="119"/>
    <w:autoRedefine/>
    <w:qFormat/>
    <w:uiPriority w:val="0"/>
    <w:rPr>
      <w:kern w:val="2"/>
      <w:sz w:val="24"/>
      <w:szCs w:val="24"/>
    </w:rPr>
  </w:style>
  <w:style w:type="paragraph" w:customStyle="1" w:styleId="119">
    <w:name w:val="正文首行缩进 2 + Times New Roman"/>
    <w:basedOn w:val="1"/>
    <w:link w:val="118"/>
    <w:autoRedefine/>
    <w:qFormat/>
    <w:uiPriority w:val="0"/>
    <w:pPr>
      <w:tabs>
        <w:tab w:val="left" w:pos="0"/>
        <w:tab w:val="left" w:pos="870"/>
        <w:tab w:val="left" w:pos="3150"/>
      </w:tabs>
      <w:autoSpaceDE w:val="0"/>
      <w:autoSpaceDN w:val="0"/>
      <w:spacing w:line="360" w:lineRule="auto"/>
      <w:ind w:firstLine="480" w:firstLineChars="200"/>
      <w:jc w:val="left"/>
    </w:pPr>
    <w:rPr>
      <w:sz w:val="24"/>
    </w:rPr>
  </w:style>
  <w:style w:type="character" w:customStyle="1" w:styleId="120">
    <w:name w:val="表头1 Char"/>
    <w:link w:val="121"/>
    <w:autoRedefine/>
    <w:qFormat/>
    <w:uiPriority w:val="0"/>
    <w:rPr>
      <w:rFonts w:eastAsia="黑体"/>
      <w:sz w:val="21"/>
      <w:szCs w:val="28"/>
    </w:rPr>
  </w:style>
  <w:style w:type="paragraph" w:customStyle="1" w:styleId="121">
    <w:name w:val="表头1"/>
    <w:basedOn w:val="1"/>
    <w:next w:val="1"/>
    <w:link w:val="120"/>
    <w:autoRedefine/>
    <w:qFormat/>
    <w:uiPriority w:val="0"/>
    <w:pPr>
      <w:tabs>
        <w:tab w:val="left" w:pos="605"/>
      </w:tabs>
      <w:adjustRightInd w:val="0"/>
      <w:snapToGrid w:val="0"/>
      <w:jc w:val="center"/>
    </w:pPr>
    <w:rPr>
      <w:rFonts w:eastAsia="黑体"/>
      <w:kern w:val="0"/>
      <w:szCs w:val="28"/>
    </w:rPr>
  </w:style>
  <w:style w:type="character" w:customStyle="1" w:styleId="122">
    <w:name w:val="表格文字2 Char"/>
    <w:link w:val="123"/>
    <w:autoRedefine/>
    <w:qFormat/>
    <w:uiPriority w:val="0"/>
    <w:rPr>
      <w:rFonts w:cs="宋体"/>
      <w:sz w:val="21"/>
      <w:szCs w:val="21"/>
    </w:rPr>
  </w:style>
  <w:style w:type="paragraph" w:customStyle="1" w:styleId="123">
    <w:name w:val="表格文字2"/>
    <w:basedOn w:val="1"/>
    <w:link w:val="122"/>
    <w:autoRedefine/>
    <w:qFormat/>
    <w:uiPriority w:val="0"/>
    <w:pPr>
      <w:tabs>
        <w:tab w:val="left" w:pos="277"/>
        <w:tab w:val="left" w:pos="600"/>
        <w:tab w:val="left" w:pos="780"/>
        <w:tab w:val="left" w:pos="2517"/>
      </w:tabs>
      <w:adjustRightInd w:val="0"/>
      <w:spacing w:before="60"/>
      <w:jc w:val="center"/>
      <w:textAlignment w:val="baseline"/>
    </w:pPr>
    <w:rPr>
      <w:rFonts w:cs="宋体"/>
      <w:kern w:val="0"/>
      <w:szCs w:val="21"/>
    </w:rPr>
  </w:style>
  <w:style w:type="character" w:customStyle="1" w:styleId="124">
    <w:name w:val="批注文字 字符1"/>
    <w:autoRedefine/>
    <w:semiHidden/>
    <w:qFormat/>
    <w:uiPriority w:val="0"/>
    <w:rPr>
      <w:rFonts w:ascii="Times New Roman" w:hAnsi="Times New Roman" w:eastAsia="宋体"/>
      <w:sz w:val="24"/>
    </w:rPr>
  </w:style>
  <w:style w:type="character" w:customStyle="1" w:styleId="125">
    <w:name w:val="description"/>
    <w:autoRedefine/>
    <w:qFormat/>
    <w:uiPriority w:val="0"/>
    <w:rPr>
      <w:rFonts w:eastAsia="楷体_GB2312"/>
      <w:bCs/>
      <w:spacing w:val="34"/>
      <w:kern w:val="2"/>
      <w:sz w:val="28"/>
      <w:szCs w:val="32"/>
      <w:lang w:val="en-US" w:eastAsia="zh-CN" w:bidi="ar-SA"/>
    </w:rPr>
  </w:style>
  <w:style w:type="character" w:customStyle="1" w:styleId="126">
    <w:name w:val="批注文字 Char2"/>
    <w:autoRedefine/>
    <w:qFormat/>
    <w:uiPriority w:val="0"/>
    <w:rPr>
      <w:rFonts w:ascii="Times New Roman" w:hAnsi="Times New Roman" w:eastAsia="宋体" w:cs="Times New Roman"/>
      <w:kern w:val="2"/>
      <w:sz w:val="21"/>
      <w:szCs w:val="24"/>
    </w:rPr>
  </w:style>
  <w:style w:type="character" w:customStyle="1" w:styleId="127">
    <w:name w:val="bjh-p"/>
    <w:autoRedefine/>
    <w:qFormat/>
    <w:uiPriority w:val="0"/>
  </w:style>
  <w:style w:type="character" w:customStyle="1" w:styleId="128">
    <w:name w:val="S表格文字 Char"/>
    <w:link w:val="129"/>
    <w:autoRedefine/>
    <w:qFormat/>
    <w:locked/>
    <w:uiPriority w:val="0"/>
    <w:rPr>
      <w:kern w:val="2"/>
      <w:sz w:val="21"/>
    </w:rPr>
  </w:style>
  <w:style w:type="paragraph" w:customStyle="1" w:styleId="129">
    <w:name w:val="S表格文字"/>
    <w:basedOn w:val="35"/>
    <w:link w:val="128"/>
    <w:autoRedefine/>
    <w:qFormat/>
    <w:uiPriority w:val="0"/>
    <w:pPr>
      <w:adjustRightInd w:val="0"/>
      <w:snapToGrid w:val="0"/>
      <w:spacing w:before="20" w:after="20"/>
      <w:ind w:firstLine="0" w:firstLineChars="0"/>
      <w:jc w:val="center"/>
    </w:pPr>
    <w:rPr>
      <w:szCs w:val="20"/>
    </w:rPr>
  </w:style>
  <w:style w:type="character" w:customStyle="1" w:styleId="130">
    <w:name w:val="页眉 字符"/>
    <w:link w:val="17"/>
    <w:autoRedefine/>
    <w:qFormat/>
    <w:locked/>
    <w:uiPriority w:val="0"/>
    <w:rPr>
      <w:sz w:val="18"/>
    </w:rPr>
  </w:style>
  <w:style w:type="character" w:customStyle="1" w:styleId="131">
    <w:name w:val="题注 字符"/>
    <w:link w:val="10"/>
    <w:autoRedefine/>
    <w:qFormat/>
    <w:locked/>
    <w:uiPriority w:val="0"/>
    <w:rPr>
      <w:rFonts w:ascii="黑体" w:hAnsi="黑体" w:eastAsia="黑体"/>
      <w:kern w:val="2"/>
      <w:sz w:val="24"/>
    </w:rPr>
  </w:style>
  <w:style w:type="character" w:customStyle="1" w:styleId="132">
    <w:name w:val="标题 4 字符"/>
    <w:link w:val="6"/>
    <w:autoRedefine/>
    <w:qFormat/>
    <w:uiPriority w:val="0"/>
    <w:rPr>
      <w:kern w:val="2"/>
      <w:sz w:val="28"/>
      <w:szCs w:val="24"/>
    </w:rPr>
  </w:style>
  <w:style w:type="paragraph" w:customStyle="1" w:styleId="133">
    <w:name w:val="正文1"/>
    <w:autoRedefine/>
    <w:qFormat/>
    <w:uiPriority w:val="0"/>
    <w:pPr>
      <w:spacing w:line="480" w:lineRule="exact"/>
      <w:ind w:firstLine="200" w:firstLineChars="200"/>
    </w:pPr>
    <w:rPr>
      <w:rFonts w:ascii="Times New Roman" w:hAnsi="Times New Roman" w:eastAsia="宋体" w:cs="Times New Roman"/>
      <w:bCs/>
      <w:kern w:val="2"/>
      <w:sz w:val="26"/>
      <w:szCs w:val="30"/>
      <w:lang w:val="en-US" w:eastAsia="zh-CN" w:bidi="ar-SA"/>
    </w:rPr>
  </w:style>
  <w:style w:type="paragraph" w:customStyle="1" w:styleId="134">
    <w:name w:val="正文文字"/>
    <w:basedOn w:val="9"/>
    <w:autoRedefine/>
    <w:qFormat/>
    <w:uiPriority w:val="0"/>
    <w:pPr>
      <w:adjustRightInd w:val="0"/>
      <w:snapToGrid w:val="0"/>
      <w:spacing w:line="480" w:lineRule="exact"/>
      <w:ind w:firstLine="200"/>
    </w:pPr>
    <w:rPr>
      <w:sz w:val="24"/>
    </w:rPr>
  </w:style>
  <w:style w:type="paragraph" w:customStyle="1" w:styleId="13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报告"/>
    <w:basedOn w:val="1"/>
    <w:autoRedefine/>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137">
    <w:name w:val="列出段落1"/>
    <w:basedOn w:val="1"/>
    <w:autoRedefine/>
    <w:qFormat/>
    <w:uiPriority w:val="0"/>
    <w:pPr>
      <w:ind w:firstLine="420"/>
    </w:pPr>
  </w:style>
  <w:style w:type="paragraph" w:customStyle="1" w:styleId="138">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139">
    <w:name w:val="表文"/>
    <w:basedOn w:val="1"/>
    <w:autoRedefine/>
    <w:qFormat/>
    <w:uiPriority w:val="0"/>
    <w:pPr>
      <w:jc w:val="center"/>
    </w:pPr>
    <w:rPr>
      <w:spacing w:val="-2"/>
      <w:kern w:val="0"/>
      <w:szCs w:val="20"/>
    </w:rPr>
  </w:style>
  <w:style w:type="paragraph" w:customStyle="1" w:styleId="140">
    <w:name w:val="表头长征"/>
    <w:basedOn w:val="1"/>
    <w:autoRedefine/>
    <w:qFormat/>
    <w:uiPriority w:val="0"/>
    <w:pPr>
      <w:autoSpaceDE w:val="0"/>
      <w:autoSpaceDN w:val="0"/>
      <w:adjustRightInd w:val="0"/>
      <w:snapToGrid w:val="0"/>
      <w:jc w:val="center"/>
      <w:textAlignment w:val="center"/>
    </w:pPr>
    <w:rPr>
      <w:b/>
      <w:sz w:val="24"/>
    </w:rPr>
  </w:style>
  <w:style w:type="paragraph" w:customStyle="1" w:styleId="141">
    <w:name w:val="Table Paragraph"/>
    <w:basedOn w:val="1"/>
    <w:autoRedefine/>
    <w:qFormat/>
    <w:uiPriority w:val="1"/>
    <w:pPr>
      <w:jc w:val="left"/>
    </w:pPr>
    <w:rPr>
      <w:rFonts w:ascii="Calibri" w:hAnsi="Calibri"/>
      <w:kern w:val="0"/>
      <w:sz w:val="22"/>
      <w:szCs w:val="22"/>
      <w:lang w:eastAsia="en-US"/>
    </w:rPr>
  </w:style>
  <w:style w:type="paragraph" w:customStyle="1" w:styleId="142">
    <w:name w:val="正文_2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43">
    <w:name w:val="样式35"/>
    <w:basedOn w:val="1"/>
    <w:autoRedefine/>
    <w:qFormat/>
    <w:uiPriority w:val="0"/>
    <w:pPr>
      <w:adjustRightInd w:val="0"/>
      <w:spacing w:line="312" w:lineRule="auto"/>
      <w:ind w:firstLine="567"/>
    </w:pPr>
    <w:rPr>
      <w:rFonts w:ascii="宋体"/>
      <w:kern w:val="0"/>
      <w:sz w:val="28"/>
      <w:szCs w:val="20"/>
    </w:rPr>
  </w:style>
  <w:style w:type="paragraph" w:customStyle="1" w:styleId="144">
    <w:name w:val="翔一表格"/>
    <w:basedOn w:val="1"/>
    <w:next w:val="1"/>
    <w:autoRedefine/>
    <w:semiHidden/>
    <w:qFormat/>
    <w:uiPriority w:val="0"/>
    <w:pPr>
      <w:autoSpaceDE w:val="0"/>
      <w:autoSpaceDN w:val="0"/>
      <w:jc w:val="center"/>
      <w:textAlignment w:val="baseline"/>
    </w:pPr>
    <w:rPr>
      <w:kern w:val="0"/>
      <w:szCs w:val="21"/>
    </w:rPr>
  </w:style>
  <w:style w:type="paragraph" w:customStyle="1" w:styleId="145">
    <w:name w:val="S备注"/>
    <w:basedOn w:val="49"/>
    <w:autoRedefine/>
    <w:qFormat/>
    <w:uiPriority w:val="0"/>
    <w:pPr>
      <w:spacing w:before="60" w:after="120" w:line="240" w:lineRule="auto"/>
      <w:ind w:firstLine="0"/>
    </w:pPr>
    <w:rPr>
      <w:b/>
      <w:sz w:val="21"/>
      <w:szCs w:val="21"/>
    </w:rPr>
  </w:style>
  <w:style w:type="paragraph" w:customStyle="1" w:styleId="146">
    <w:name w:val="报告书：表格表头"/>
    <w:basedOn w:val="1"/>
    <w:next w:val="1"/>
    <w:autoRedefine/>
    <w:qFormat/>
    <w:uiPriority w:val="0"/>
    <w:pPr>
      <w:jc w:val="center"/>
    </w:pPr>
    <w:rPr>
      <w:rFonts w:eastAsia="仿宋_GB2312"/>
      <w:b/>
    </w:rPr>
  </w:style>
  <w:style w:type="paragraph" w:customStyle="1" w:styleId="147">
    <w:name w:val="报告正文"/>
    <w:basedOn w:val="1"/>
    <w:autoRedefine/>
    <w:qFormat/>
    <w:uiPriority w:val="0"/>
    <w:pPr>
      <w:spacing w:line="480" w:lineRule="exact"/>
      <w:ind w:firstLine="200" w:firstLineChars="200"/>
    </w:pPr>
    <w:rPr>
      <w:sz w:val="24"/>
    </w:rPr>
  </w:style>
  <w:style w:type="paragraph" w:customStyle="1" w:styleId="148">
    <w:name w:val="0"/>
    <w:basedOn w:val="1"/>
    <w:autoRedefine/>
    <w:qFormat/>
    <w:uiPriority w:val="99"/>
    <w:pPr>
      <w:widowControl/>
      <w:snapToGrid w:val="0"/>
    </w:pPr>
    <w:rPr>
      <w:kern w:val="0"/>
      <w:szCs w:val="21"/>
    </w:rPr>
  </w:style>
  <w:style w:type="paragraph" w:customStyle="1" w:styleId="149">
    <w:name w:val="表格文字1"/>
    <w:basedOn w:val="123"/>
    <w:autoRedefine/>
    <w:qFormat/>
    <w:uiPriority w:val="0"/>
    <w:pPr>
      <w:jc w:val="both"/>
    </w:pPr>
  </w:style>
  <w:style w:type="paragraph" w:customStyle="1" w:styleId="150">
    <w:name w:val="1正文"/>
    <w:basedOn w:val="1"/>
    <w:autoRedefine/>
    <w:qFormat/>
    <w:uiPriority w:val="0"/>
    <w:pPr>
      <w:ind w:firstLine="200" w:firstLineChars="200"/>
    </w:pPr>
    <w:rPr>
      <w:sz w:val="24"/>
    </w:rPr>
  </w:style>
  <w:style w:type="paragraph" w:customStyle="1" w:styleId="151">
    <w:name w:val="B表格文字"/>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152">
    <w:name w:val="_Style 146"/>
    <w:basedOn w:val="3"/>
    <w:next w:val="1"/>
    <w:autoRedefine/>
    <w:qFormat/>
    <w:uiPriority w:val="39"/>
    <w:pPr>
      <w:keepLines/>
      <w:widowControl/>
      <w:overflowPunct/>
      <w:snapToGrid/>
      <w:spacing w:before="480" w:after="0" w:line="276" w:lineRule="auto"/>
      <w:ind w:left="0" w:firstLine="0"/>
      <w:jc w:val="left"/>
      <w:outlineLvl w:val="9"/>
    </w:pPr>
    <w:rPr>
      <w:rFonts w:ascii="Cambria" w:hAnsi="Cambria" w:eastAsia="宋体"/>
      <w:color w:val="365F91"/>
      <w:kern w:val="0"/>
      <w:sz w:val="28"/>
      <w:szCs w:val="28"/>
    </w:rPr>
  </w:style>
  <w:style w:type="paragraph" w:customStyle="1" w:styleId="153">
    <w:name w:val="标题 31"/>
    <w:basedOn w:val="1"/>
    <w:autoRedefine/>
    <w:qFormat/>
    <w:uiPriority w:val="1"/>
    <w:pPr>
      <w:spacing w:before="26"/>
      <w:ind w:left="232"/>
      <w:jc w:val="left"/>
      <w:outlineLvl w:val="3"/>
    </w:pPr>
    <w:rPr>
      <w:rFonts w:ascii="宋体" w:hAnsi="宋体"/>
      <w:b/>
      <w:bCs/>
      <w:kern w:val="0"/>
      <w:sz w:val="24"/>
      <w:lang w:eastAsia="en-US"/>
    </w:rPr>
  </w:style>
  <w:style w:type="paragraph" w:customStyle="1" w:styleId="154">
    <w:name w:val="正文标题"/>
    <w:basedOn w:val="1"/>
    <w:autoRedefine/>
    <w:qFormat/>
    <w:uiPriority w:val="0"/>
    <w:rPr>
      <w:b/>
    </w:rPr>
  </w:style>
  <w:style w:type="paragraph" w:customStyle="1" w:styleId="155">
    <w:name w:val="正文文字（首行缩进2字）"/>
    <w:basedOn w:val="1"/>
    <w:autoRedefine/>
    <w:qFormat/>
    <w:uiPriority w:val="0"/>
    <w:pPr>
      <w:spacing w:line="360" w:lineRule="auto"/>
      <w:ind w:firstLine="200" w:firstLineChars="200"/>
    </w:pPr>
    <w:rPr>
      <w:rFonts w:ascii="Arial" w:hAnsi="Arial"/>
      <w:position w:val="-30"/>
      <w:sz w:val="24"/>
    </w:rPr>
  </w:style>
  <w:style w:type="paragraph" w:customStyle="1" w:styleId="156">
    <w:name w:val="表标题"/>
    <w:autoRedefine/>
    <w:qFormat/>
    <w:uiPriority w:val="0"/>
    <w:pPr>
      <w:tabs>
        <w:tab w:val="left" w:pos="0"/>
      </w:tabs>
      <w:jc w:val="center"/>
    </w:pPr>
    <w:rPr>
      <w:rFonts w:ascii="Times New Roman" w:hAnsi="Times New Roman" w:eastAsia="宋体" w:cs="Times New Roman"/>
      <w:b/>
      <w:sz w:val="24"/>
      <w:lang w:val="en-US" w:eastAsia="zh-CN" w:bidi="ar-SA"/>
    </w:rPr>
  </w:style>
  <w:style w:type="paragraph" w:customStyle="1" w:styleId="157">
    <w:name w:val="表格标题行文字胡"/>
    <w:basedOn w:val="1"/>
    <w:autoRedefine/>
    <w:qFormat/>
    <w:uiPriority w:val="0"/>
    <w:pPr>
      <w:spacing w:before="50" w:beforeLines="50"/>
      <w:jc w:val="center"/>
    </w:pPr>
    <w:rPr>
      <w:rFonts w:cs="黑体"/>
      <w:b/>
      <w:sz w:val="24"/>
    </w:rPr>
  </w:style>
  <w:style w:type="paragraph" w:customStyle="1" w:styleId="158">
    <w:name w:val="表格内容2"/>
    <w:basedOn w:val="1"/>
    <w:autoRedefine/>
    <w:qFormat/>
    <w:uiPriority w:val="0"/>
    <w:pPr>
      <w:overflowPunct w:val="0"/>
      <w:adjustRightInd w:val="0"/>
      <w:snapToGrid w:val="0"/>
      <w:jc w:val="center"/>
      <w:textAlignment w:val="baseline"/>
    </w:pPr>
    <w:rPr>
      <w:rFonts w:ascii="_x000B__x000C_" w:hAnsi="_x000B__x000C_" w:eastAsia="Courier New" w:cs="楷体_GB2312"/>
      <w:color w:val="000000"/>
      <w:kern w:val="0"/>
    </w:rPr>
  </w:style>
  <w:style w:type="paragraph" w:customStyle="1" w:styleId="159">
    <w:name w:val="表格字体"/>
    <w:basedOn w:val="1"/>
    <w:autoRedefine/>
    <w:qFormat/>
    <w:uiPriority w:val="0"/>
    <w:pPr>
      <w:jc w:val="center"/>
    </w:pPr>
  </w:style>
  <w:style w:type="paragraph" w:customStyle="1" w:styleId="160">
    <w:name w:val="翔一正文"/>
    <w:basedOn w:val="1"/>
    <w:next w:val="1"/>
    <w:autoRedefine/>
    <w:semiHidden/>
    <w:qFormat/>
    <w:uiPriority w:val="0"/>
    <w:pPr>
      <w:spacing w:line="360" w:lineRule="auto"/>
      <w:ind w:firstLine="1446" w:firstLineChars="200"/>
    </w:pPr>
    <w:rPr>
      <w:sz w:val="24"/>
    </w:rPr>
  </w:style>
  <w:style w:type="paragraph" w:customStyle="1" w:styleId="161">
    <w:name w:val="表格长征"/>
    <w:basedOn w:val="1"/>
    <w:autoRedefine/>
    <w:qFormat/>
    <w:uiPriority w:val="0"/>
    <w:pPr>
      <w:adjustRightInd w:val="0"/>
      <w:snapToGrid w:val="0"/>
      <w:jc w:val="center"/>
    </w:pPr>
    <w:rPr>
      <w:rFonts w:eastAsia="仿宋_GB2312"/>
      <w:snapToGrid w:val="0"/>
      <w:szCs w:val="21"/>
      <w:lang w:val="zh-CN"/>
    </w:rPr>
  </w:style>
  <w:style w:type="paragraph" w:customStyle="1" w:styleId="16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63">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164">
    <w:name w:val="B表头"/>
    <w:autoRedefine/>
    <w:qFormat/>
    <w:uiPriority w:val="0"/>
    <w:pPr>
      <w:jc w:val="center"/>
    </w:pPr>
    <w:rPr>
      <w:rFonts w:ascii="Times New Roman" w:hAnsi="Times New Roman" w:eastAsia="黑体" w:cs="Times New Roman"/>
      <w:kern w:val="2"/>
      <w:sz w:val="24"/>
      <w:szCs w:val="24"/>
      <w:lang w:val="en-US" w:eastAsia="zh-CN" w:bidi="ar-SA"/>
    </w:rPr>
  </w:style>
  <w:style w:type="table" w:customStyle="1" w:styleId="165">
    <w:name w:val="Table Normal"/>
    <w:autoRedefine/>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66">
    <w:name w:val="制表格"/>
    <w:basedOn w:val="1"/>
    <w:autoRedefine/>
    <w:qFormat/>
    <w:uiPriority w:val="0"/>
    <w:pPr>
      <w:jc w:val="center"/>
    </w:pPr>
    <w:rPr>
      <w:snapToGrid w:val="0"/>
      <w:kern w:val="0"/>
      <w:szCs w:val="28"/>
    </w:rPr>
  </w:style>
  <w:style w:type="paragraph" w:customStyle="1" w:styleId="167">
    <w:name w:val="表-五号安宁"/>
    <w:basedOn w:val="1"/>
    <w:autoRedefine/>
    <w:qFormat/>
    <w:uiPriority w:val="0"/>
    <w:pPr>
      <w:spacing w:line="240" w:lineRule="atLeast"/>
      <w:jc w:val="center"/>
    </w:pPr>
    <w:rPr>
      <w:szCs w:val="21"/>
    </w:rPr>
  </w:style>
  <w:style w:type="paragraph" w:customStyle="1" w:styleId="168">
    <w:name w:val="表格内文本（自定 重要）"/>
    <w:basedOn w:val="2"/>
    <w:qFormat/>
    <w:uiPriority w:val="0"/>
    <w:pPr>
      <w:spacing w:line="360" w:lineRule="auto"/>
      <w:ind w:firstLine="720" w:firstLineChars="200"/>
    </w:pPr>
    <w:rPr>
      <w:rFonts w:ascii="Times New Roman" w:hAnsi="Times New Roman"/>
      <w:sz w:val="24"/>
      <w:szCs w:val="24"/>
    </w:rPr>
  </w:style>
  <w:style w:type="paragraph" w:customStyle="1" w:styleId="169">
    <w:name w:val="表头"/>
    <w:basedOn w:val="133"/>
    <w:qFormat/>
    <w:uiPriority w:val="0"/>
    <w:pPr>
      <w:spacing w:line="240" w:lineRule="auto"/>
      <w:ind w:firstLine="0" w:firstLineChars="0"/>
      <w:jc w:val="center"/>
    </w:pPr>
    <w:rPr>
      <w:b/>
      <w:sz w:val="21"/>
      <w:szCs w:val="21"/>
    </w:rPr>
  </w:style>
  <w:style w:type="paragraph" w:customStyle="1" w:styleId="170">
    <w:name w:val="Table Text"/>
    <w:basedOn w:val="1"/>
    <w:semiHidden/>
    <w:qFormat/>
    <w:uiPriority w:val="0"/>
    <w:rPr>
      <w:rFonts w:ascii="宋体" w:hAnsi="宋体" w:cs="宋体"/>
      <w:sz w:val="43"/>
      <w:szCs w:val="43"/>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emf"/><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4031</Words>
  <Characters>4327</Characters>
  <Lines>358</Lines>
  <Paragraphs>101</Paragraphs>
  <TotalTime>2</TotalTime>
  <ScaleCrop>false</ScaleCrop>
  <LinksUpToDate>false</LinksUpToDate>
  <CharactersWithSpaces>4551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2024-12-26T07:50:00Z</dcterms:created>
  <dc:creator>lhj</dc:creator>
  <cp:lastModifiedBy>NTKO</cp:lastModifiedBy>
  <cp:lastPrinted>2020-12-29T02:43:00Z</cp:lastPrinted>
  <dcterms:modified xsi:type="dcterms:W3CDTF">2024-12-30T07:11:27Z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4D1BE81A731F4769A6D593723AAF1B52</vt:lpwstr>
  </property>
  <property fmtid="{D5CDD505-2E9C-101B-9397-08002B2CF9AE}" pid="4" name="KSOTemplateDocerSaveRecord">
    <vt:lpwstr>eyJoZGlkIjoiM2MzNTFmYmQ4NWE2OWNmZDIxODVlOTNmMTlhNGFmNWYifQ==</vt:lpwstr>
  </property>
</Properties>
</file>