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D2F1C">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方正小标宋_GBK" w:hAnsi="Times New Roman" w:eastAsia="方正小标宋_GBK" w:cs="Times New Roman"/>
          <w:color w:val="333333"/>
          <w:kern w:val="0"/>
          <w:sz w:val="42"/>
          <w:szCs w:val="42"/>
          <w:u w:val="none"/>
        </w:rPr>
      </w:pPr>
      <w:r>
        <w:rPr>
          <w:rFonts w:hint="eastAsia" w:ascii="方正小标宋_GBK" w:hAnsi="Times New Roman" w:eastAsia="方正小标宋_GBK" w:cs="Times New Roman"/>
          <w:color w:val="333333"/>
          <w:kern w:val="0"/>
          <w:sz w:val="42"/>
          <w:szCs w:val="42"/>
          <w:u w:val="none"/>
        </w:rPr>
        <w:t>曲靖市生态环境局宣威分局关于宣威市筑龙建筑建材有限公司龙潭镇营上采石场年产</w:t>
      </w:r>
    </w:p>
    <w:p w14:paraId="47D89DE1">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方正小标宋_GBK" w:hAnsi="Times New Roman" w:eastAsia="方正小标宋_GBK" w:cs="Times New Roman"/>
          <w:color w:val="333333"/>
          <w:kern w:val="0"/>
          <w:sz w:val="42"/>
          <w:szCs w:val="42"/>
          <w:u w:val="none"/>
        </w:rPr>
      </w:pPr>
      <w:r>
        <w:rPr>
          <w:rFonts w:hint="eastAsia" w:ascii="方正小标宋_GBK" w:hAnsi="Times New Roman" w:eastAsia="方正小标宋_GBK" w:cs="Times New Roman"/>
          <w:color w:val="333333"/>
          <w:kern w:val="0"/>
          <w:sz w:val="42"/>
          <w:szCs w:val="42"/>
          <w:u w:val="none"/>
        </w:rPr>
        <w:t>70万吨建筑石料项目环境影响</w:t>
      </w:r>
    </w:p>
    <w:p w14:paraId="76CCC524">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ascii="方正小标宋_GBK" w:hAnsi="Times New Roman" w:eastAsia="方正小标宋_GBK" w:cs="Times New Roman"/>
          <w:color w:val="000000"/>
          <w:kern w:val="0"/>
          <w:sz w:val="15"/>
          <w:szCs w:val="15"/>
          <w:u w:val="none"/>
        </w:rPr>
      </w:pPr>
      <w:r>
        <w:rPr>
          <w:rFonts w:hint="eastAsia" w:ascii="方正小标宋_GBK" w:hAnsi="Times New Roman" w:eastAsia="方正小标宋_GBK" w:cs="Times New Roman"/>
          <w:color w:val="333333"/>
          <w:kern w:val="0"/>
          <w:sz w:val="42"/>
          <w:szCs w:val="42"/>
          <w:u w:val="none"/>
        </w:rPr>
        <w:t>评价文件拟进行审查公示</w:t>
      </w:r>
    </w:p>
    <w:p w14:paraId="1CD5E0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bookmarkStart w:id="0" w:name="_GoBack"/>
      <w:bookmarkEnd w:id="0"/>
    </w:p>
    <w:p w14:paraId="1B2DD5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根据建设项目环境影响评价审批程序及信息公开要求，曲靖市生态环境局宣威分局将对宣威市筑龙建筑建材有限公司龙潭镇营上采石场年产70万吨建筑石料项目环境影响报告表</w:t>
      </w:r>
      <w:r>
        <w:rPr>
          <w:rFonts w:hint="eastAsia" w:ascii="Times New Roman" w:hAnsi="Times New Roman" w:eastAsia="方正仿宋_GBK"/>
          <w:sz w:val="32"/>
          <w:u w:val="none" w:color="auto"/>
          <w:shd w:val="clear" w:fill="auto"/>
          <w:lang w:eastAsia="zh-CN"/>
        </w:rPr>
        <w:t>等文件</w:t>
      </w:r>
      <w:r>
        <w:rPr>
          <w:rFonts w:hint="eastAsia" w:ascii="Times New Roman" w:hAnsi="Times New Roman" w:eastAsia="方正仿宋_GBK"/>
          <w:sz w:val="32"/>
          <w:u w:val="none"/>
        </w:rPr>
        <w:t>进行审查，现对项目基本情况予以公示，公示期为2024年12月12日—2024年12月18日（5个工作日）。</w:t>
      </w:r>
    </w:p>
    <w:p w14:paraId="681B26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听证权利告知：依据《中华人民共和国行政许可法》，自公示起五日内申请人、利害关系人可对以下拟作出的建设项目环境影响评价决定要求听证。</w:t>
      </w:r>
    </w:p>
    <w:p w14:paraId="4EB52F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联系电话： 0874-6061568，传真：0874-6061568</w:t>
      </w:r>
    </w:p>
    <w:p w14:paraId="77F54D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通讯地址：宣威市政务服务中心曲靖市生态环境局宣威分局窗口（宣威市向阳西街政务服务中心二楼）</w:t>
      </w:r>
    </w:p>
    <w:p w14:paraId="64CA70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邮    编：655400</w:t>
      </w:r>
    </w:p>
    <w:p w14:paraId="510917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p>
    <w:tbl>
      <w:tblPr>
        <w:tblStyle w:val="14"/>
        <w:tblW w:w="9124" w:type="dxa"/>
        <w:jc w:val="center"/>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Layout w:type="autofit"/>
        <w:tblCellMar>
          <w:top w:w="0" w:type="dxa"/>
          <w:left w:w="0" w:type="dxa"/>
          <w:bottom w:w="0" w:type="dxa"/>
          <w:right w:w="0" w:type="dxa"/>
        </w:tblCellMar>
      </w:tblPr>
      <w:tblGrid>
        <w:gridCol w:w="1663"/>
        <w:gridCol w:w="1723"/>
        <w:gridCol w:w="1466"/>
        <w:gridCol w:w="1227"/>
        <w:gridCol w:w="1467"/>
        <w:gridCol w:w="1578"/>
      </w:tblGrid>
      <w:tr w14:paraId="7BA8247F">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71" w:hRule="atLeast"/>
          <w:jc w:val="center"/>
        </w:trPr>
        <w:tc>
          <w:tcPr>
            <w:tcW w:w="1663" w:type="dxa"/>
            <w:tcBorders>
              <w:top w:val="single" w:color="auto" w:sz="8" w:space="0"/>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528DB4E4">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宋体" w:cs="Times New Roman"/>
                <w:color w:val="000000"/>
                <w:kern w:val="0"/>
                <w:sz w:val="24"/>
                <w:szCs w:val="24"/>
                <w:u w:val="none"/>
              </w:rPr>
              <w:t> </w:t>
            </w:r>
            <w:r>
              <w:rPr>
                <w:rFonts w:ascii="Times New Roman" w:hAnsi="Times New Roman" w:eastAsia="方正仿宋_GBK" w:cs="Times New Roman"/>
                <w:color w:val="000000"/>
                <w:kern w:val="0"/>
                <w:sz w:val="24"/>
                <w:szCs w:val="24"/>
                <w:u w:val="none"/>
              </w:rPr>
              <w:t>项目名称</w:t>
            </w:r>
          </w:p>
        </w:tc>
        <w:tc>
          <w:tcPr>
            <w:tcW w:w="17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A7B320">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宣威市筑龙建筑建材有限公司龙潭镇营上采石场年产70万吨建筑石料项目</w:t>
            </w:r>
          </w:p>
        </w:tc>
        <w:tc>
          <w:tcPr>
            <w:tcW w:w="1466" w:type="dxa"/>
            <w:tcBorders>
              <w:top w:val="single" w:color="auto" w:sz="8" w:space="0"/>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56B8BF35">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宋体" w:cs="Times New Roman"/>
                <w:color w:val="000000"/>
                <w:kern w:val="0"/>
                <w:sz w:val="24"/>
                <w:szCs w:val="24"/>
                <w:u w:val="none"/>
              </w:rPr>
              <w:t>建设地点</w:t>
            </w:r>
          </w:p>
        </w:tc>
        <w:tc>
          <w:tcPr>
            <w:tcW w:w="12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7335AC">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宣威市龙潭镇营上村</w:t>
            </w:r>
          </w:p>
        </w:tc>
        <w:tc>
          <w:tcPr>
            <w:tcW w:w="1467" w:type="dxa"/>
            <w:tcBorders>
              <w:top w:val="single" w:color="auto" w:sz="8" w:space="0"/>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56F42E3A">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宋体" w:cs="Times New Roman"/>
                <w:color w:val="000000"/>
                <w:kern w:val="0"/>
                <w:sz w:val="24"/>
                <w:szCs w:val="24"/>
                <w:u w:val="none"/>
              </w:rPr>
              <w:t>建设单位</w:t>
            </w:r>
          </w:p>
        </w:tc>
        <w:tc>
          <w:tcPr>
            <w:tcW w:w="15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E1BFC0">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宣威市筑龙建筑建材有限公司</w:t>
            </w:r>
          </w:p>
        </w:tc>
      </w:tr>
      <w:tr w14:paraId="4C5E1A0C">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762" w:hRule="atLeast"/>
          <w:jc w:val="center"/>
        </w:trPr>
        <w:tc>
          <w:tcPr>
            <w:tcW w:w="1663" w:type="dxa"/>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60F93103">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环评文件类型</w:t>
            </w:r>
          </w:p>
        </w:tc>
        <w:tc>
          <w:tcPr>
            <w:tcW w:w="1723" w:type="dxa"/>
            <w:tcBorders>
              <w:top w:val="nil"/>
              <w:left w:val="nil"/>
              <w:bottom w:val="single" w:color="auto" w:sz="8" w:space="0"/>
              <w:right w:val="single" w:color="auto" w:sz="8" w:space="0"/>
            </w:tcBorders>
            <w:tcMar>
              <w:top w:w="0" w:type="dxa"/>
              <w:left w:w="108" w:type="dxa"/>
              <w:bottom w:w="0" w:type="dxa"/>
              <w:right w:w="108" w:type="dxa"/>
            </w:tcMar>
            <w:vAlign w:val="center"/>
          </w:tcPr>
          <w:p w14:paraId="6DD36A70">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报告表</w:t>
            </w:r>
          </w:p>
        </w:tc>
        <w:tc>
          <w:tcPr>
            <w:tcW w:w="1466"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25AF3115">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宋体" w:cs="Times New Roman"/>
                <w:color w:val="000000"/>
                <w:kern w:val="0"/>
                <w:sz w:val="24"/>
                <w:szCs w:val="24"/>
                <w:u w:val="none"/>
              </w:rPr>
              <w:t>环境影响评价机构</w:t>
            </w:r>
          </w:p>
        </w:tc>
        <w:tc>
          <w:tcPr>
            <w:tcW w:w="4272"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14:paraId="39C72160">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云南新佳宇建设工程有限公司</w:t>
            </w:r>
          </w:p>
        </w:tc>
      </w:tr>
      <w:tr w14:paraId="1EA92E7C">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04AA319F">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项目概况</w:t>
            </w:r>
          </w:p>
        </w:tc>
      </w:tr>
      <w:tr w14:paraId="416E4773">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CD5E5C">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项目名称：宣威市筑龙建筑建材有限公司龙潭镇营上采石场年产70万吨建筑石料项目；</w:t>
            </w:r>
          </w:p>
          <w:p w14:paraId="2432F3C8">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建设地点：云南省曲靖市宣威市龙潭镇营上村；</w:t>
            </w:r>
          </w:p>
          <w:p w14:paraId="28B2B3EA">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建设单位：宣威市筑龙建筑建材有限公司；</w:t>
            </w:r>
          </w:p>
          <w:p w14:paraId="6A1C5255">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建设性质：扩建；</w:t>
            </w:r>
          </w:p>
          <w:p w14:paraId="0D181E5C">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主要建设内容及规模：利用现有土地和生产线，新建堆料场，新增部分生产设备，建设雨污分流系统及降噪等设施，增加产能至年产70万吨建筑石料。</w:t>
            </w:r>
          </w:p>
          <w:p w14:paraId="5E306F74">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矿区范围：0.0624km</w:t>
            </w:r>
            <w:r>
              <w:rPr>
                <w:rFonts w:hint="eastAsia" w:ascii="Times New Roman" w:hAnsi="Times New Roman" w:eastAsia="宋体" w:cs="Times New Roman"/>
                <w:color w:val="000000"/>
                <w:kern w:val="0"/>
                <w:sz w:val="24"/>
                <w:szCs w:val="24"/>
                <w:u w:val="none"/>
                <w:vertAlign w:val="superscript"/>
              </w:rPr>
              <w:t>2</w:t>
            </w:r>
            <w:r>
              <w:rPr>
                <w:rFonts w:hint="eastAsia" w:ascii="Times New Roman" w:hAnsi="Times New Roman" w:eastAsia="宋体" w:cs="Times New Roman"/>
                <w:color w:val="000000"/>
                <w:kern w:val="0"/>
                <w:sz w:val="24"/>
                <w:szCs w:val="24"/>
                <w:u w:val="none"/>
              </w:rPr>
              <w:t>，开采标高为2240m-2045m。</w:t>
            </w:r>
          </w:p>
          <w:p w14:paraId="478B7ABF">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产品方案：70万吨/年建筑用公分石、瓜子石和砂；</w:t>
            </w:r>
          </w:p>
          <w:p w14:paraId="240328E1">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服务年限：6.6年；</w:t>
            </w:r>
          </w:p>
          <w:p w14:paraId="23C792E3">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投资总额：总投资为2500万元，其中环保投资249万元，占总投资9.96%。</w:t>
            </w:r>
          </w:p>
          <w:p w14:paraId="49DEA306">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项目工程组成</w:t>
            </w:r>
          </w:p>
          <w:p w14:paraId="7870F4CF">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根据项目</w:t>
            </w:r>
            <w:r>
              <w:rPr>
                <w:rFonts w:hint="eastAsia" w:ascii="Times New Roman" w:hAnsi="Times New Roman" w:eastAsia="宋体" w:cs="Times New Roman"/>
                <w:color w:val="000000"/>
                <w:kern w:val="0"/>
                <w:sz w:val="24"/>
                <w:szCs w:val="24"/>
                <w:u w:val="none" w:color="auto"/>
                <w:shd w:val="clear" w:fill="auto"/>
              </w:rPr>
              <w:t>开采</w:t>
            </w:r>
            <w:r>
              <w:rPr>
                <w:rFonts w:hint="eastAsia" w:ascii="Times New Roman" w:hAnsi="Times New Roman" w:eastAsia="宋体" w:cs="Times New Roman"/>
                <w:color w:val="000000"/>
                <w:kern w:val="0"/>
                <w:sz w:val="24"/>
                <w:szCs w:val="24"/>
                <w:u w:val="none"/>
              </w:rPr>
              <w:t>设计，本项目工程内容主要由主体工程、辅助工程、公用工程和环保工程组成。扩建工程主要是变更矿区范围和新建密闭成品堆场，完善相关配套设施。</w:t>
            </w:r>
          </w:p>
        </w:tc>
      </w:tr>
      <w:tr w14:paraId="0FBAB9F3">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323DDB40">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项目</w:t>
            </w:r>
            <w:r>
              <w:rPr>
                <w:rFonts w:hint="eastAsia" w:ascii="Times New Roman" w:hAnsi="Times New Roman" w:eastAsia="方正仿宋_GBK" w:cs="Times New Roman"/>
                <w:color w:val="000000"/>
                <w:kern w:val="0"/>
                <w:sz w:val="24"/>
                <w:szCs w:val="24"/>
                <w:u w:val="none"/>
              </w:rPr>
              <w:t>主要环境影响和保护措施</w:t>
            </w:r>
          </w:p>
        </w:tc>
      </w:tr>
      <w:tr w14:paraId="108048DA">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680AD0">
            <w:pPr>
              <w:widowControl/>
              <w:spacing w:before="100" w:beforeAutospacing="1" w:after="100" w:afterAutospacing="1" w:line="360" w:lineRule="atLeast"/>
              <w:ind w:left="120" w:right="120" w:firstLine="480"/>
              <w:jc w:val="left"/>
              <w:rPr>
                <w:rFonts w:ascii="Times New Roman" w:hAnsi="Times New Roman" w:eastAsia="宋体" w:cs="Times New Roman"/>
                <w:b/>
                <w:color w:val="000000"/>
                <w:kern w:val="0"/>
                <w:sz w:val="24"/>
                <w:szCs w:val="24"/>
                <w:u w:val="none"/>
              </w:rPr>
            </w:pPr>
            <w:r>
              <w:rPr>
                <w:rFonts w:ascii="Times New Roman" w:hAnsi="Times New Roman" w:eastAsia="宋体" w:cs="Times New Roman"/>
                <w:b/>
                <w:color w:val="000000"/>
                <w:kern w:val="0"/>
                <w:sz w:val="24"/>
                <w:szCs w:val="24"/>
                <w:u w:val="none"/>
              </w:rPr>
              <w:t>施工</w:t>
            </w:r>
            <w:r>
              <w:rPr>
                <w:rFonts w:hint="eastAsia" w:ascii="Times New Roman" w:hAnsi="Times New Roman" w:eastAsia="宋体" w:cs="Times New Roman"/>
                <w:b/>
                <w:color w:val="000000"/>
                <w:kern w:val="0"/>
                <w:sz w:val="24"/>
                <w:szCs w:val="24"/>
                <w:u w:val="none" w:color="auto"/>
                <w:shd w:val="clear" w:fill="auto"/>
                <w:lang w:eastAsia="zh-CN"/>
              </w:rPr>
              <w:t>期间</w:t>
            </w:r>
            <w:r>
              <w:rPr>
                <w:rFonts w:hint="eastAsia" w:ascii="Times New Roman" w:hAnsi="Times New Roman" w:eastAsia="宋体" w:cs="Times New Roman"/>
                <w:b/>
                <w:color w:val="000000"/>
                <w:kern w:val="0"/>
                <w:sz w:val="24"/>
                <w:szCs w:val="24"/>
                <w:u w:val="none"/>
              </w:rPr>
              <w:t>主要环境影响和保护措施</w:t>
            </w:r>
            <w:r>
              <w:rPr>
                <w:rFonts w:ascii="Times New Roman" w:hAnsi="Times New Roman" w:eastAsia="宋体" w:cs="Times New Roman"/>
                <w:b/>
                <w:color w:val="000000"/>
                <w:kern w:val="0"/>
                <w:sz w:val="24"/>
                <w:szCs w:val="24"/>
                <w:u w:val="none"/>
              </w:rPr>
              <w:t>：</w:t>
            </w:r>
          </w:p>
          <w:p w14:paraId="0F392A5C">
            <w:pPr>
              <w:adjustRightInd w:val="0"/>
              <w:snapToGrid w:val="0"/>
              <w:spacing w:line="360" w:lineRule="auto"/>
              <w:ind w:firstLine="482" w:firstLineChars="200"/>
              <w:jc w:val="left"/>
              <w:rPr>
                <w:rFonts w:ascii="Times New Roman" w:hAnsi="Times New Roman" w:cs="Times New Roman"/>
                <w:sz w:val="24"/>
                <w:szCs w:val="24"/>
                <w:u w:val="none"/>
              </w:rPr>
            </w:pPr>
            <w:r>
              <w:rPr>
                <w:rFonts w:ascii="Times New Roman" w:hAnsi="Times New Roman" w:eastAsia="宋体" w:cs="Times New Roman"/>
                <w:b/>
                <w:color w:val="000000"/>
                <w:kern w:val="0"/>
                <w:sz w:val="24"/>
                <w:szCs w:val="24"/>
                <w:u w:val="none"/>
              </w:rPr>
              <w:t xml:space="preserve">一、废水  </w:t>
            </w:r>
            <w:r>
              <w:rPr>
                <w:rFonts w:hint="eastAsia" w:ascii="Times New Roman" w:hAnsi="Times New Roman" w:eastAsia="宋体" w:cs="Times New Roman"/>
                <w:color w:val="000000"/>
                <w:kern w:val="0"/>
                <w:sz w:val="24"/>
                <w:szCs w:val="24"/>
                <w:u w:val="none"/>
              </w:rPr>
              <w:t>施工期生活污水依托办公区化粪池处理后由附近村民清掏</w:t>
            </w:r>
            <w:r>
              <w:rPr>
                <w:rFonts w:hint="eastAsia" w:ascii="Times New Roman" w:hAnsi="Times New Roman" w:eastAsia="宋体" w:cs="Times New Roman"/>
                <w:color w:val="000000"/>
                <w:kern w:val="0"/>
                <w:sz w:val="24"/>
                <w:szCs w:val="24"/>
                <w:u w:val="none" w:color="auto"/>
                <w:shd w:val="clear" w:fill="auto"/>
                <w:lang w:eastAsia="zh-CN"/>
              </w:rPr>
              <w:t>并作为</w:t>
            </w:r>
            <w:r>
              <w:rPr>
                <w:rFonts w:hint="eastAsia" w:ascii="Times New Roman" w:hAnsi="Times New Roman" w:eastAsia="宋体" w:cs="Times New Roman"/>
                <w:color w:val="000000"/>
                <w:kern w:val="0"/>
                <w:sz w:val="24"/>
                <w:szCs w:val="24"/>
                <w:u w:val="none"/>
              </w:rPr>
              <w:t>农肥使用。采用旱厕接纳施工人员的粪便。粪渣委托当地村民定期清掏，作为农肥使用。项目区本身位于农村区域，占地附近有大量耕地，可接纳旱厕收集后的农肥，不会造成施肥过量。施工期需对进出施工场地的车辆轮胎及车身进行冲洗，项目在施工区进出口设置截水沟及1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的沉淀池，沉淀池要求防漏防渗，洗车废水沉淀后回用于车辆清洗，不外排。尽量避免雨季施工；分段施工，每一段施工完成后要尽快回填土方，恢复植被。无论是挖方还是填方施工，应做好施工排水，先</w:t>
            </w:r>
            <w:r>
              <w:rPr>
                <w:rFonts w:hint="eastAsia" w:ascii="Times New Roman" w:hAnsi="Times New Roman" w:eastAsia="宋体" w:cs="Times New Roman"/>
                <w:color w:val="000000"/>
                <w:kern w:val="0"/>
                <w:sz w:val="24"/>
                <w:szCs w:val="24"/>
                <w:u w:val="none" w:color="auto"/>
                <w:shd w:val="clear" w:fill="auto"/>
                <w:lang w:eastAsia="zh-CN"/>
              </w:rPr>
              <w:t>修好</w:t>
            </w:r>
            <w:r>
              <w:rPr>
                <w:rFonts w:hint="eastAsia" w:ascii="Times New Roman" w:hAnsi="Times New Roman" w:eastAsia="宋体" w:cs="Times New Roman"/>
                <w:color w:val="000000"/>
                <w:kern w:val="0"/>
                <w:sz w:val="24"/>
                <w:szCs w:val="24"/>
                <w:u w:val="none"/>
              </w:rPr>
              <w:t>排水沟，不使地表流水漫坡流动，冲蚀裸露土壤。在采取本次评价的污染防治措施后，可有效地减轻施工废水对地表水环境的影响。</w:t>
            </w:r>
          </w:p>
          <w:p w14:paraId="66804873">
            <w:pPr>
              <w:spacing w:line="360" w:lineRule="auto"/>
              <w:ind w:firstLine="475" w:firstLineChars="197"/>
              <w:jc w:val="left"/>
              <w:rPr>
                <w:rFonts w:ascii="Times New Roman" w:hAnsi="Times New Roman" w:cs="Times New Roman"/>
                <w:kern w:val="0"/>
                <w:sz w:val="24"/>
                <w:u w:val="none"/>
              </w:rPr>
            </w:pPr>
            <w:r>
              <w:rPr>
                <w:rFonts w:ascii="Times New Roman" w:hAnsi="Times New Roman" w:eastAsia="宋体" w:cs="Times New Roman"/>
                <w:b/>
                <w:color w:val="000000"/>
                <w:kern w:val="0"/>
                <w:sz w:val="24"/>
                <w:szCs w:val="24"/>
                <w:u w:val="none"/>
              </w:rPr>
              <w:t>二、废气</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施工场地、施工道路洒水降尘。表土及土石方集中堆放，并加盖篷布。洒水频率以控制场区和道路无扬尘为原则，具体根据天气情况和车流量确定，一般情况下为每2～3个小时一次。天气干燥的季节，缩短至每小时一次。矿山道路建设时，要注意经常洒水，以减少扬尘污染。对于现有的露天采矿道路，须加固边坡，防止建设过程中因运输车辆碾压造成矿山道路下陷和尘土飞扬。加强施工现场运输车辆管理。运输车辆必须车身整洁，装载车厢完好，装载货物堆码整齐。驶出建筑工地的运输车辆必须冲洗干净，严禁带泥上路，严禁超载。必须有遮盖和防护措施，防止施工材料和尘土飞扬、洒落和流溢。项目在严格管理，切实落实上述措施的情况下，施工扬尘产生量和影响程度可得到较大程度地减缓。施工期产生的扬尘污染是短暂的，将随着项目的竣工而结束，对环境的影响不大。</w:t>
            </w:r>
          </w:p>
          <w:p w14:paraId="6C94D3F4">
            <w:pPr>
              <w:spacing w:line="360" w:lineRule="auto"/>
              <w:ind w:firstLine="482" w:firstLineChars="200"/>
              <w:jc w:val="left"/>
              <w:rPr>
                <w:rFonts w:ascii="Times New Roman" w:hAnsi="Times New Roman" w:eastAsia="宋体" w:cs="Times New Roman"/>
                <w:color w:val="000000"/>
                <w:kern w:val="0"/>
                <w:sz w:val="24"/>
                <w:szCs w:val="24"/>
                <w:u w:val="none"/>
              </w:rPr>
            </w:pPr>
            <w:r>
              <w:rPr>
                <w:rFonts w:ascii="Times New Roman" w:hAnsi="Times New Roman" w:eastAsia="宋体" w:cs="Times New Roman"/>
                <w:b/>
                <w:color w:val="000000"/>
                <w:kern w:val="0"/>
                <w:sz w:val="24"/>
                <w:szCs w:val="24"/>
                <w:u w:val="none"/>
              </w:rPr>
              <w:t>三、噪声</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施工单位要根据施工特点，合理分配工期，同时选择合适的时段，避免强噪声设备同时施工、持续作业。项目采用低噪声设备，昼间使用高噪声设备应避开中午休息时间，并公告附近居民，避免施工噪声扰民。减少交通噪声，进出车辆和经过敏感点的车辆限速、限鸣。上述措施将在一定程度上减缓了施工噪声的污染，施工噪声的影响将随施工的结束而消失；整体而言，采取措施后项目施工期噪声影响较小。</w:t>
            </w:r>
          </w:p>
          <w:p w14:paraId="37DB2F03">
            <w:pPr>
              <w:spacing w:line="360" w:lineRule="auto"/>
              <w:ind w:firstLine="482" w:firstLineChars="200"/>
              <w:jc w:val="left"/>
              <w:rPr>
                <w:rFonts w:ascii="Times New Roman" w:hAnsi="Times New Roman" w:eastAsia="宋体" w:cs="Times New Roman"/>
                <w:color w:val="000000"/>
                <w:kern w:val="0"/>
                <w:sz w:val="24"/>
                <w:szCs w:val="24"/>
                <w:u w:val="none"/>
              </w:rPr>
            </w:pPr>
            <w:r>
              <w:rPr>
                <w:rFonts w:ascii="Times New Roman" w:hAnsi="Times New Roman" w:eastAsia="宋体" w:cs="Times New Roman"/>
                <w:b/>
                <w:color w:val="000000"/>
                <w:kern w:val="0"/>
                <w:sz w:val="24"/>
                <w:szCs w:val="24"/>
                <w:u w:val="none"/>
              </w:rPr>
              <w:t>四、固体废物</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项目施工期开挖主要针对局部的平整、2#成品料场、截排水沟和沉淀池建设，产生的土石方量较小，全部用于回填平整，不外排。建筑垃圾能回收利用部分外售物资回收公司，不能回收利用的清运至住建部门指定建筑垃圾堆放点。生活垃圾集中收集于垃圾池中，定期运输至龙潭镇环卫站。</w:t>
            </w:r>
          </w:p>
          <w:p w14:paraId="658E57F2">
            <w:pPr>
              <w:spacing w:line="360" w:lineRule="auto"/>
              <w:ind w:firstLine="482"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b/>
                <w:color w:val="000000"/>
                <w:kern w:val="0"/>
                <w:sz w:val="24"/>
                <w:szCs w:val="24"/>
                <w:u w:val="none"/>
              </w:rPr>
              <w:t>五</w:t>
            </w:r>
            <w:r>
              <w:rPr>
                <w:rFonts w:ascii="Times New Roman" w:hAnsi="Times New Roman" w:eastAsia="宋体" w:cs="Times New Roman"/>
                <w:b/>
                <w:color w:val="000000"/>
                <w:kern w:val="0"/>
                <w:sz w:val="24"/>
                <w:szCs w:val="24"/>
                <w:u w:val="none"/>
              </w:rPr>
              <w:t>、</w:t>
            </w:r>
            <w:r>
              <w:rPr>
                <w:rFonts w:hint="eastAsia" w:ascii="Times New Roman" w:hAnsi="Times New Roman" w:eastAsia="宋体" w:cs="Times New Roman"/>
                <w:b/>
                <w:color w:val="000000"/>
                <w:kern w:val="0"/>
                <w:sz w:val="24"/>
                <w:szCs w:val="24"/>
                <w:u w:val="none"/>
              </w:rPr>
              <w:t>生态</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施工材料堆场设置防雨和遮雨设施，同时尽量避免在暴雨季节进行开挖工作，防止发生水土流失。裸露的地表、边坡及时绿化、硬化或设置护坡挡墙，做到边坡稳定、表土不裸露，防止发生水土流失。施工期间建筑垃圾、弃土等有序堆放，弃土及时处置，尽量减少土地占压，减少植被损坏。施工用地合理规划，减少不必要的占地，防止植被破坏。施工运输车辆行驶时尽量不占压地表植被。施工运输车辆尽量减少鸣笛，减少噪声对野生动物的影响。采用低噪声设备，合理安排施工时间。切实做好各种防尘措施，减少落在植物叶面的粉尘量，影响其光合作用。项目施工期较短，在此期间做好如上保护措施，可有效地保护现有的生态环境。</w:t>
            </w:r>
          </w:p>
          <w:p w14:paraId="367ACF1F">
            <w:pPr>
              <w:widowControl/>
              <w:spacing w:before="100" w:beforeAutospacing="1" w:after="100" w:afterAutospacing="1" w:line="360" w:lineRule="atLeast"/>
              <w:ind w:left="120" w:right="120" w:firstLine="480"/>
              <w:jc w:val="left"/>
              <w:rPr>
                <w:rFonts w:ascii="Times New Roman" w:hAnsi="Times New Roman" w:eastAsia="宋体" w:cs="Times New Roman"/>
                <w:b/>
                <w:color w:val="000000"/>
                <w:kern w:val="0"/>
                <w:sz w:val="24"/>
                <w:szCs w:val="24"/>
                <w:u w:val="none"/>
              </w:rPr>
            </w:pPr>
            <w:r>
              <w:rPr>
                <w:rFonts w:ascii="Times New Roman" w:hAnsi="Times New Roman" w:eastAsia="宋体" w:cs="Times New Roman"/>
                <w:b/>
                <w:color w:val="000000"/>
                <w:kern w:val="0"/>
                <w:sz w:val="24"/>
                <w:szCs w:val="24"/>
                <w:u w:val="none"/>
              </w:rPr>
              <w:t>运营期</w:t>
            </w:r>
            <w:r>
              <w:rPr>
                <w:rFonts w:hint="eastAsia" w:ascii="Times New Roman" w:hAnsi="Times New Roman" w:eastAsia="宋体" w:cs="Times New Roman"/>
                <w:b/>
                <w:color w:val="000000"/>
                <w:kern w:val="0"/>
                <w:sz w:val="24"/>
                <w:szCs w:val="24"/>
                <w:u w:val="none"/>
              </w:rPr>
              <w:t>主要环境影响和保护措施</w:t>
            </w:r>
            <w:r>
              <w:rPr>
                <w:rFonts w:ascii="Times New Roman" w:hAnsi="Times New Roman" w:eastAsia="宋体" w:cs="Times New Roman"/>
                <w:b/>
                <w:color w:val="000000"/>
                <w:kern w:val="0"/>
                <w:sz w:val="24"/>
                <w:szCs w:val="24"/>
                <w:u w:val="none"/>
              </w:rPr>
              <w:t>：</w:t>
            </w:r>
          </w:p>
          <w:p w14:paraId="0505A797">
            <w:pPr>
              <w:spacing w:line="360" w:lineRule="auto"/>
              <w:ind w:firstLine="482" w:firstLineChars="200"/>
              <w:jc w:val="left"/>
              <w:rPr>
                <w:rFonts w:ascii="Times New Roman" w:hAnsiTheme="minorEastAsia"/>
                <w:kern w:val="0"/>
                <w:sz w:val="24"/>
                <w:szCs w:val="24"/>
                <w:u w:val="none"/>
              </w:rPr>
            </w:pPr>
            <w:r>
              <w:rPr>
                <w:rFonts w:ascii="Times New Roman" w:hAnsi="Times New Roman" w:eastAsia="宋体" w:cs="Times New Roman"/>
                <w:b/>
                <w:color w:val="000000"/>
                <w:kern w:val="0"/>
                <w:sz w:val="24"/>
                <w:szCs w:val="24"/>
                <w:u w:val="none"/>
              </w:rPr>
              <w:t>一、</w:t>
            </w:r>
            <w:r>
              <w:rPr>
                <w:rFonts w:hint="eastAsia" w:ascii="Times New Roman" w:hAnsi="Times New Roman" w:eastAsia="宋体" w:cs="Times New Roman"/>
                <w:b/>
                <w:color w:val="000000"/>
                <w:kern w:val="0"/>
                <w:sz w:val="24"/>
                <w:szCs w:val="24"/>
                <w:u w:val="none"/>
              </w:rPr>
              <w:t xml:space="preserve">废水  </w:t>
            </w:r>
            <w:r>
              <w:rPr>
                <w:rFonts w:hint="eastAsia" w:ascii="Times New Roman" w:hAnsi="Times New Roman" w:eastAsia="宋体" w:cs="Times New Roman"/>
                <w:color w:val="000000"/>
                <w:kern w:val="0"/>
                <w:sz w:val="24"/>
                <w:szCs w:val="24"/>
                <w:u w:val="none"/>
              </w:rPr>
              <w:t>场区实施雨污分流，利用原有项目在工业广场内建设的417m的截排水沟，</w:t>
            </w:r>
            <w:r>
              <w:rPr>
                <w:rFonts w:hint="eastAsia" w:ascii="Times New Roman" w:hAnsi="Times New Roman" w:eastAsia="宋体" w:cs="Times New Roman"/>
                <w:color w:val="000000"/>
                <w:kern w:val="0"/>
                <w:sz w:val="24"/>
                <w:szCs w:val="24"/>
                <w:u w:val="none" w:color="auto"/>
                <w:shd w:val="clear" w:fill="auto"/>
              </w:rPr>
              <w:t>整个</w:t>
            </w:r>
            <w:r>
              <w:rPr>
                <w:rFonts w:hint="eastAsia" w:ascii="Times New Roman" w:hAnsi="Times New Roman" w:eastAsia="宋体" w:cs="Times New Roman"/>
                <w:color w:val="000000"/>
                <w:kern w:val="0"/>
                <w:sz w:val="24"/>
                <w:szCs w:val="24"/>
                <w:u w:val="none"/>
              </w:rPr>
              <w:t>矿区东南北三侧建设截排水沟，截排水沟尺寸为0.5×0.5×0.5m，长度约1050m，矿区外围雨水截流外排。利用原有项目在采区西侧建设的1个110m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的1#沉淀池，采场雨污水排入1#沉淀池处理后回用于降尘。对原有项目工业广场建设的1个容积为40m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的2#沉淀池进行扩建，扩建至250m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；工业场地雨污水排入2#沉淀池，经过简单沉淀后全部回用于降尘。在排土场周围设置挡土坝和截排水沟，排土场下方建设1个容积为35m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的3#沉淀池，排土场淋沥水排入3#沉淀池，经过简单沉淀后全部回用于排土场降尘。厂区进出口处设置1个洗车平台，配置1台高压水枪，用于运输车辆车身及车轮冲洗；洗车平台旁设置1个容积为55m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的车辆冲洗废水沉淀池，车辆冲洗废水排入车辆冲洗废水沉淀池处理后回用于车辆冲洗。利用原有项目在办公区和宿舍区已设置的1个0.5m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的隔油池、1个10m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的1#化粪池和1个10m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的2#化粪池，食堂废水先排入隔油池隔油后同其他办公生活污水一同排入化粪池处理，而后排入1套处理能力为1.6m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/d的一体化污水处理站处理，处理达《农田灌溉水质标准》（GB5084-2021）中旱地作物标准限值后，采用密闭运输工具清运用于周边旱地灌溉。</w:t>
            </w:r>
          </w:p>
          <w:p w14:paraId="74B68923">
            <w:pPr>
              <w:spacing w:line="360" w:lineRule="auto"/>
              <w:ind w:firstLine="482" w:firstLineChars="200"/>
              <w:jc w:val="left"/>
              <w:rPr>
                <w:rFonts w:ascii="Times New Roman" w:hAnsi="Times New Roman" w:eastAsia="宋体" w:cs="Times New Roman"/>
                <w:color w:val="000000"/>
                <w:kern w:val="0"/>
                <w:sz w:val="24"/>
                <w:szCs w:val="24"/>
                <w:u w:val="none"/>
              </w:rPr>
            </w:pPr>
            <w:r>
              <w:rPr>
                <w:rFonts w:ascii="Times New Roman" w:hAnsi="Times New Roman" w:eastAsia="宋体" w:cs="Times New Roman"/>
                <w:b/>
                <w:color w:val="000000"/>
                <w:kern w:val="0"/>
                <w:sz w:val="24"/>
                <w:szCs w:val="24"/>
                <w:u w:val="none"/>
              </w:rPr>
              <w:t>二、</w:t>
            </w:r>
            <w:r>
              <w:rPr>
                <w:rFonts w:hint="eastAsia" w:ascii="Times New Roman" w:hAnsi="Times New Roman" w:eastAsia="宋体" w:cs="Times New Roman"/>
                <w:b/>
                <w:color w:val="000000"/>
                <w:kern w:val="0"/>
                <w:sz w:val="24"/>
                <w:szCs w:val="24"/>
                <w:u w:val="none"/>
              </w:rPr>
              <w:t>废气</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钻机选用自带捕尘器的设备，同时采取湿法凿岩；起爆后采用喷雾洒水降尘；在铲装过程中，使用雾炮机对铲装过程进行压尘，同时配备专门的洒水管道对工作面进行洒水；运输车辆用篷布遮盖严实，采用1台洒水车对道路洒水降尘。厂区出入口旁建设1个洗车平台，配备1台高压水枪。车辆出场之前，冲洗车身及车轮。严格控制剥采进度，剥采同步，以避免大面积裸露。采矿完毕后进行复垦、复垦的工程措施和植物防治措施同步，尽早恢复场地植被，干燥季节施工采取洒水降尘措施；降低装卸物料的高度，减少装卸扬尘，严禁从高处直接抛撒剥离表土；避免在大风天气进行挖掘、装卸作业，并在大风时对工作面及时进行洒水，防止工作面风蚀扬尘。一</w:t>
            </w:r>
            <w:r>
              <w:rPr>
                <w:rFonts w:hint="eastAsia" w:ascii="Times New Roman" w:hAnsi="Times New Roman" w:eastAsia="宋体" w:cs="Times New Roman"/>
                <w:color w:val="000000"/>
                <w:kern w:val="0"/>
                <w:sz w:val="24"/>
                <w:szCs w:val="24"/>
                <w:u w:val="none" w:color="auto"/>
                <w:shd w:val="clear" w:fill="auto"/>
              </w:rPr>
              <w:t>破</w:t>
            </w:r>
            <w:r>
              <w:rPr>
                <w:rFonts w:hint="eastAsia" w:ascii="Times New Roman" w:hAnsi="Times New Roman" w:eastAsia="宋体" w:cs="Times New Roman"/>
                <w:color w:val="000000"/>
                <w:kern w:val="0"/>
                <w:sz w:val="24"/>
                <w:szCs w:val="24"/>
                <w:u w:val="none"/>
              </w:rPr>
              <w:t>进料口使用屋顶喷雾进行洒水降尘。皮带运输机的进料点和落料点进行喷雾降尘，输送皮带采取封闭措施，并在下料口处增设溜槽+防尘帘布。成品铲装在防尘大棚内进行，大棚顶部设置喷雾降尘装置，且在成品堆场各设置一台雾炮机，对产品铲装过程喷雾除尘。生产线建设于密闭式防尘大棚内，大棚顶部设置喷雾降尘装置。一破上方设置集气罩，粉尘经集气罩收集后由集气管道引入1#布袋除尘器处理；二破上方设置集气罩，粉尘经集气罩收集后由集气管道引入2#布袋除尘器处理；1#筛分机和2#筛分机上方设置集气罩，粉尘经集气罩收集后由集气管道引入3#布袋除尘器处理。制砂机上方设置集气罩，粉尘经集气罩收集后由集气管道引入4#布袋除尘器处理；3#筛分机上方设置集气罩，粉尘经集气罩收集后由集气管道引入5#布袋除尘器处理。成品堆放于密闭彩钢瓦大棚内，棚顶设置喷雾降尘设施；工业广场裸露地面采用碎石铺垫，设置喷淋降尘喷头喷淋降尘。对排土场表面压实、压平，大风天气对排土场表面洒水降尘。严禁超高运输，降低装载高度，保证装料高度不超过车厢边沿，并在装载完毕后洒水增湿料面，最后加盖篷布，避免运输过程中产生大的扬尘；运输道路配备洒水车对运输所经的路面进行定期洒水；运输车辆出场之前，冲洗车身及车轮，避免车辆带泥上路，以减轻运输车辆产生的粉尘影响；加强运输道路监管与维护工作，对滑落到道路上的物料进行及时清理，对于破损路面应及时进行修复；行驶过程中控制汽车行驶车速，降低车轮产生的扬尘。加强出入矿区道路及矿区内绿化，形成绿化隔离带。</w:t>
            </w:r>
          </w:p>
          <w:p w14:paraId="493D76D3">
            <w:pPr>
              <w:spacing w:line="360" w:lineRule="auto"/>
              <w:ind w:firstLine="482"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b/>
                <w:color w:val="000000"/>
                <w:kern w:val="0"/>
                <w:sz w:val="24"/>
                <w:szCs w:val="24"/>
                <w:u w:val="none"/>
              </w:rPr>
              <w:t>三</w:t>
            </w:r>
            <w:r>
              <w:rPr>
                <w:rFonts w:ascii="Times New Roman" w:hAnsi="Times New Roman" w:eastAsia="宋体" w:cs="Times New Roman"/>
                <w:b/>
                <w:color w:val="000000"/>
                <w:kern w:val="0"/>
                <w:sz w:val="24"/>
                <w:szCs w:val="24"/>
                <w:u w:val="none"/>
              </w:rPr>
              <w:t>、</w:t>
            </w:r>
            <w:r>
              <w:rPr>
                <w:rFonts w:hint="eastAsia" w:ascii="Times New Roman" w:hAnsi="Times New Roman" w:eastAsia="宋体" w:cs="Times New Roman"/>
                <w:b/>
                <w:color w:val="000000"/>
                <w:kern w:val="0"/>
                <w:sz w:val="24"/>
                <w:szCs w:val="24"/>
                <w:u w:val="none"/>
              </w:rPr>
              <w:t>噪声</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采购性能好、噪声低的机械设备和流动运输设备，以最大限度降低噪声。加强设备的维护和保养，保持机械润滑，降低运行噪声。将破碎机、筛分机等固定机械设备置于防尘大棚内，破碎机及筛分机基础安装</w:t>
            </w:r>
            <w:r>
              <w:rPr>
                <w:rFonts w:hint="eastAsia" w:ascii="Times New Roman" w:hAnsi="Times New Roman" w:eastAsia="宋体" w:cs="Times New Roman"/>
                <w:color w:val="000000"/>
                <w:kern w:val="0"/>
                <w:sz w:val="24"/>
                <w:szCs w:val="24"/>
                <w:u w:val="none" w:color="auto"/>
                <w:shd w:val="clear" w:fill="auto"/>
              </w:rPr>
              <w:t>减振</w:t>
            </w:r>
            <w:r>
              <w:rPr>
                <w:rFonts w:hint="eastAsia" w:ascii="Times New Roman" w:hAnsi="Times New Roman" w:eastAsia="宋体" w:cs="Times New Roman"/>
                <w:color w:val="000000"/>
                <w:kern w:val="0"/>
                <w:sz w:val="24"/>
                <w:szCs w:val="24"/>
                <w:u w:val="none"/>
              </w:rPr>
              <w:t>垫。项目采矿设备主要是挖掘机、装载机、</w:t>
            </w:r>
            <w:r>
              <w:rPr>
                <w:rFonts w:hint="eastAsia" w:ascii="Times New Roman" w:hAnsi="Times New Roman" w:eastAsia="宋体" w:cs="Times New Roman"/>
                <w:color w:val="000000"/>
                <w:kern w:val="0"/>
                <w:sz w:val="24"/>
                <w:szCs w:val="24"/>
                <w:u w:val="thick" w:color="FFB03A"/>
                <w:shd w:val="clear" w:fill="FFEFD7"/>
              </w:rPr>
              <w:t>运输车</w:t>
            </w:r>
            <w:r>
              <w:rPr>
                <w:rFonts w:hint="eastAsia" w:ascii="Times New Roman" w:hAnsi="Times New Roman" w:eastAsia="宋体" w:cs="Times New Roman"/>
                <w:color w:val="000000"/>
                <w:kern w:val="0"/>
                <w:sz w:val="24"/>
                <w:szCs w:val="24"/>
                <w:u w:val="none"/>
              </w:rPr>
              <w:t>，这些设备噪声为移动源，较难控制。通过选取优良的生产设备、合理安排作业时间、科学安排作业位置等方法降低噪声对区域声环境的影响。夜间不进行生产活动。做好运输汽车维护，确保运输汽车在正常状态下运行。加强运矿公路段的经常性维护和路面平整，以保证运矿行车平稳，减少噪声。在运输过程中，车辆应平稳低速行驶。矿山地处山区，村级运输道路两侧树木较多，形成隔声屏障。项目运输应选在昼间进行，在</w:t>
            </w:r>
            <w:r>
              <w:rPr>
                <w:rFonts w:hint="eastAsia" w:ascii="Times New Roman" w:hAnsi="Times New Roman" w:eastAsia="宋体" w:cs="Times New Roman"/>
                <w:color w:val="000000"/>
                <w:kern w:val="0"/>
                <w:sz w:val="24"/>
                <w:szCs w:val="24"/>
                <w:u w:val="none" w:color="auto"/>
                <w:shd w:val="clear" w:fill="auto"/>
                <w:lang w:eastAsia="zh-CN"/>
              </w:rPr>
              <w:t>晚上10：00</w:t>
            </w:r>
            <w:r>
              <w:rPr>
                <w:rFonts w:hint="eastAsia" w:ascii="Times New Roman" w:hAnsi="Times New Roman" w:eastAsia="宋体" w:cs="Times New Roman"/>
                <w:color w:val="000000"/>
                <w:kern w:val="0"/>
                <w:sz w:val="24"/>
                <w:szCs w:val="24"/>
                <w:u w:val="none"/>
              </w:rPr>
              <w:t>至次日早上6：00时段不得进行采运作业；同时车辆应减速慢行、禁鸣喇叭，减轻交通噪声对附近敏感点的影响。</w:t>
            </w:r>
          </w:p>
          <w:p w14:paraId="5D4B1D45">
            <w:pPr>
              <w:spacing w:line="360" w:lineRule="auto"/>
              <w:ind w:firstLine="482"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b/>
                <w:color w:val="000000"/>
                <w:kern w:val="0"/>
                <w:sz w:val="24"/>
                <w:szCs w:val="24"/>
                <w:u w:val="none"/>
              </w:rPr>
              <w:t>四</w:t>
            </w:r>
            <w:r>
              <w:rPr>
                <w:rFonts w:ascii="Times New Roman" w:hAnsi="Times New Roman" w:eastAsia="宋体" w:cs="Times New Roman"/>
                <w:b/>
                <w:color w:val="000000"/>
                <w:kern w:val="0"/>
                <w:sz w:val="24"/>
                <w:szCs w:val="24"/>
                <w:u w:val="none"/>
              </w:rPr>
              <w:t>、</w:t>
            </w:r>
            <w:r>
              <w:rPr>
                <w:rFonts w:hint="eastAsia" w:ascii="Times New Roman" w:hAnsi="Times New Roman" w:eastAsia="宋体" w:cs="Times New Roman"/>
                <w:b/>
                <w:color w:val="000000"/>
                <w:kern w:val="0"/>
                <w:sz w:val="24"/>
                <w:szCs w:val="24"/>
                <w:u w:val="none"/>
              </w:rPr>
              <w:t>固体废物</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在厂区东北侧建设1个排土场，项目开采产生的剥离表土规范堆存于表土堆场，废土石规范堆存于废土石堆场。废土石用于道路养护和采空区回填，表土用作采空区覆土绿化使用。布袋除尘器收尘经收集后作为产品外售。沉淀池沉渣由矿山派专人进行定期清掏，自然干化以后全部送入排土场进行堆存，及时进行压实、推平，后期用于道路养护和采空区回填。生活垃圾集中收集于垃圾池中，定期运输至龙潭镇环卫站；化粪池污泥、一体化污水处理站污泥以及旱厕粪渣委托当地村民定期清掏，全部作为农肥使用。利用原有项目设置的1座5m</w:t>
            </w:r>
            <w:r>
              <w:rPr>
                <w:rFonts w:hint="eastAsia" w:ascii="Times New Roman" w:hAnsi="Times New Roman" w:eastAsia="宋体" w:cs="Times New Roman"/>
                <w:color w:val="000000"/>
                <w:kern w:val="0"/>
                <w:sz w:val="24"/>
                <w:szCs w:val="24"/>
                <w:u w:val="none"/>
                <w:vertAlign w:val="superscript"/>
              </w:rPr>
              <w:t>2</w:t>
            </w:r>
            <w:r>
              <w:rPr>
                <w:rFonts w:hint="eastAsia" w:ascii="Times New Roman" w:hAnsi="Times New Roman" w:eastAsia="宋体" w:cs="Times New Roman"/>
                <w:color w:val="000000"/>
                <w:kern w:val="0"/>
                <w:sz w:val="24"/>
                <w:szCs w:val="24"/>
                <w:u w:val="none"/>
              </w:rPr>
              <w:t>的危险废物贮存库，废机油采用密闭的专用容器进行收集，暂存在危险废物贮存库内，委托有资质的单位定期清运、处置。危险废物贮存库按照要求进行了防渗。</w:t>
            </w:r>
          </w:p>
          <w:p w14:paraId="7E0786CA">
            <w:pPr>
              <w:spacing w:line="360" w:lineRule="auto"/>
              <w:ind w:firstLine="482"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b/>
                <w:color w:val="000000"/>
                <w:kern w:val="0"/>
                <w:sz w:val="24"/>
                <w:szCs w:val="24"/>
                <w:u w:val="none"/>
              </w:rPr>
              <w:t>五</w:t>
            </w:r>
            <w:r>
              <w:rPr>
                <w:rFonts w:ascii="Times New Roman" w:hAnsi="Times New Roman" w:eastAsia="宋体" w:cs="Times New Roman"/>
                <w:b/>
                <w:color w:val="000000"/>
                <w:kern w:val="0"/>
                <w:sz w:val="24"/>
                <w:szCs w:val="24"/>
                <w:u w:val="none"/>
              </w:rPr>
              <w:t>、</w:t>
            </w:r>
            <w:r>
              <w:rPr>
                <w:rFonts w:hint="eastAsia" w:ascii="Times New Roman" w:hAnsi="Times New Roman" w:eastAsia="宋体" w:cs="Times New Roman"/>
                <w:b/>
                <w:color w:val="000000"/>
                <w:kern w:val="0"/>
                <w:sz w:val="24"/>
                <w:szCs w:val="24"/>
                <w:u w:val="none"/>
              </w:rPr>
              <w:t>生态</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保护好非规划用地的植被，减少对生态环境的破坏。除规划占地外，不得随意开挖、填埋、毁坏矿区及其周围区域现有的灌木、林地、草地等。采矿生产期间禁止在非规划用地毁林开荒和放火烧山，不得随意砍伐工程用地外的现有树木，破坏植被；对矿区应及时进行植树绿化，以恢复植被。加强管理，尽量少占地、少破坏植被，将临时占地面积控制在最低限度，以免造成土壤与植被的大面积破坏。在项目建设前后禁止乱捕滥杀；加强对员工的教育及管理，禁止捕猎野生动物。生产期内对露天采场边坡定期进行监测，修整边坡，清除松散土体及不稳定边坡，消除崩塌、滑坡等地质灾害隐患，最大限度地减少或避免矿山地质灾害的发生。服务年限结束后，在露天采场平台外侧修建小挡墙、排水沟、回填表土、播撒草籽、种植藏柏、火棘、狗牙根、柳杉、爬山虎等进行复垦。营运期在工业广场周边修建截排水沟，并设沉淀池，最大限度减少雨季雨水冲刷，服务期满</w:t>
            </w:r>
            <w:r>
              <w:rPr>
                <w:rFonts w:hint="eastAsia" w:ascii="Times New Roman" w:hAnsi="Times New Roman" w:eastAsia="宋体" w:cs="Times New Roman"/>
                <w:color w:val="000000"/>
                <w:kern w:val="0"/>
                <w:sz w:val="24"/>
                <w:szCs w:val="24"/>
                <w:u w:val="none" w:color="auto"/>
                <w:shd w:val="clear" w:fill="auto"/>
                <w:lang w:eastAsia="zh-CN"/>
              </w:rPr>
              <w:t>后通过</w:t>
            </w:r>
            <w:r>
              <w:rPr>
                <w:rFonts w:hint="eastAsia" w:ascii="Times New Roman" w:hAnsi="Times New Roman" w:eastAsia="宋体" w:cs="Times New Roman"/>
                <w:color w:val="000000"/>
                <w:kern w:val="0"/>
                <w:sz w:val="24"/>
                <w:szCs w:val="24"/>
                <w:u w:val="none"/>
              </w:rPr>
              <w:t>废渣清运、表土回填、播撒草籽等措施恢复为其他草地。对矿山道路采取开挖树坑、表土回填、坑栽灌木、土地翻耕、土地培肥、种植绿肥、播撒草籽等措施，复垦为旱地、灌木地、林地和其他草地。工程的建设应严格执行水土保持措施，加强建设管理，把植被破坏减少到最低程度，工作</w:t>
            </w:r>
            <w:r>
              <w:rPr>
                <w:rFonts w:hint="eastAsia" w:ascii="Times New Roman" w:hAnsi="Times New Roman" w:eastAsia="宋体" w:cs="Times New Roman"/>
                <w:color w:val="000000"/>
                <w:kern w:val="0"/>
                <w:sz w:val="24"/>
                <w:szCs w:val="24"/>
                <w:u w:val="none" w:color="auto"/>
                <w:shd w:val="clear" w:fill="auto"/>
              </w:rPr>
              <w:t>面</w:t>
            </w:r>
            <w:r>
              <w:rPr>
                <w:rFonts w:hint="eastAsia" w:ascii="Times New Roman" w:hAnsi="Times New Roman" w:eastAsia="宋体" w:cs="Times New Roman"/>
                <w:color w:val="000000"/>
                <w:kern w:val="0"/>
                <w:sz w:val="24"/>
                <w:szCs w:val="24"/>
                <w:u w:val="none"/>
              </w:rPr>
              <w:t>结束后，可以进行植被恢复的地方应尽量进行植被恢复和修复工作。如坡面植树种草固土，尽可能减少水土流失和土壤侵蚀。新开挖边坡要采取工程防护与绿化相结合的方法，尽可能种树植草，最大程度地减轻工程构筑物占地对生态环境的影响。合理布置道路等基础设施，尽可能减少对土地的占用。控制导致土地退化的用地方式，使土地利用更趋合理。矿山应尽量减少露天剥离境界，对局部边坡和露天采坑的稳定性采取预防措施，建立完善的露天</w:t>
            </w:r>
            <w:r>
              <w:rPr>
                <w:rFonts w:hint="eastAsia" w:ascii="Times New Roman" w:hAnsi="Times New Roman" w:eastAsia="宋体" w:cs="Times New Roman"/>
                <w:color w:val="000000"/>
                <w:kern w:val="0"/>
                <w:sz w:val="24"/>
                <w:szCs w:val="24"/>
                <w:u w:val="thick" w:color="FFB03A"/>
                <w:shd w:val="clear" w:fill="FFEFD7"/>
              </w:rPr>
              <w:t>境</w:t>
            </w:r>
            <w:r>
              <w:rPr>
                <w:rFonts w:hint="eastAsia" w:ascii="Times New Roman" w:hAnsi="Times New Roman" w:eastAsia="宋体" w:cs="Times New Roman"/>
                <w:color w:val="000000"/>
                <w:kern w:val="0"/>
                <w:sz w:val="24"/>
                <w:szCs w:val="24"/>
                <w:u w:val="none"/>
              </w:rPr>
              <w:t>界和露天采坑地表排水系统，减少大气降水影响边坡稳定；对拦砂坝、挡墙随时派矿山安全人员监测和巡视，拦砂坝、挡墙如有变形，应及时加固。在开采、生产中应加强安全管理，合理、有序开采。注意采场边坡稳定性及采区高差，采用台阶式分层开采，严格按规范、规程采取安全措施。对易产生崩落、掉块的部位需重点防护，防止采场边坡失稳引发地质灾害。加强对采场边坡的监测和管理。及时排除各种安全隐患和地质灾害危险因素，尽可能地减少对矿山生产构成的威胁。做好边坡监测，对滑坡进行科学预测。必须按设计确定的宽度预留安全平台，自上而下分台阶开采。按设计采场参数布置首采位置、工作线推进及划分台阶高度等。应保持台阶的安全坡面角，不应超挖坡底；每个台阶采掘结束，均应及时清理平台上的</w:t>
            </w:r>
            <w:r>
              <w:rPr>
                <w:rFonts w:hint="eastAsia" w:ascii="Times New Roman" w:hAnsi="Times New Roman" w:eastAsia="宋体" w:cs="Times New Roman"/>
                <w:color w:val="000000"/>
                <w:kern w:val="0"/>
                <w:sz w:val="24"/>
                <w:szCs w:val="24"/>
                <w:u w:val="thick" w:color="FFB03A"/>
                <w:shd w:val="clear" w:fill="FFEFD7"/>
              </w:rPr>
              <w:t>疏松岩土</w:t>
            </w:r>
            <w:r>
              <w:rPr>
                <w:rFonts w:hint="eastAsia" w:ascii="Times New Roman" w:hAnsi="Times New Roman" w:eastAsia="宋体" w:cs="Times New Roman"/>
                <w:color w:val="000000"/>
                <w:kern w:val="0"/>
                <w:sz w:val="24"/>
                <w:szCs w:val="24"/>
                <w:u w:val="none"/>
              </w:rPr>
              <w:t>和坡面上的浮石，边坡浮石清除完毕之前，其下方不应生产；人员和设备不应在边坡底部停留。对采场工作应每季度检查一次，不稳定区段在暴雨过后应及时检查，发现异常应立即处理。根据“谁开发谁保护，谁污染谁治理”的原则，建设单位要制定矿山环境治理和生态恢复方案，切实履行矿产资源开发过程中的水土流失防治、土地复垦、生态恢复重建等责任。实行边开采边复垦措施，利用剥离出的表土进行复垦；基底不易透水时，覆土层厚度一般为0.5m～1m；基底为易透水时，覆土层厚度一般为1.0m～1.5m。覆土后用人工或推土机整平，坡度不宜大于1%，以利耕作和排水。上部再覆0.2m～0.4m的耕作层。在矿区形成最终边坡平台上筑堤填土，种树以及其他能攀爬的藤蔓植物，以实现最终边坡的绿化。种植草本植物之后，要做好管护工作和抚育工作，精细管理，以保证栽种后的成活率，死苗要及时补植。管护时间一般为3年，3年后可适当放宽管理措施。业主方应设置绿化专职管理机构，配备相关管理干部及绿化工人。保留施工期及运营期开挖的排水沟及沉淀池。矿产开采完毕后，先用废土石对采空区需要绿化的部分进行平整，覆盖土进行平整及疏松。对于坡面陡峭、施工难度大的采空面，可不进行覆土，而是在坡脚种植爬山虎，设置必要的辅助攀缘设施以引导爬藤植物攀爬。为防止水土流失，在表土堆表面撒播狗牙根草籽植草。矿山开采结束后，在治理恢复单元内撒播狗牙根草籽。在采场边坡底部种植攀缘植物</w:t>
            </w:r>
            <w:r>
              <w:rPr>
                <w:rFonts w:hint="eastAsia" w:ascii="Times New Roman" w:hAnsi="Times New Roman" w:eastAsia="宋体" w:cs="Times New Roman"/>
                <w:color w:val="000000"/>
                <w:kern w:val="0"/>
                <w:sz w:val="24"/>
                <w:szCs w:val="24"/>
                <w:u w:val="thick" w:color="FFB03A"/>
                <w:shd w:val="clear" w:fill="FFEFD7"/>
              </w:rPr>
              <w:t>爬山虎</w:t>
            </w:r>
            <w:r>
              <w:rPr>
                <w:rFonts w:hint="eastAsia" w:ascii="Times New Roman" w:hAnsi="Times New Roman" w:eastAsia="宋体" w:cs="Times New Roman"/>
                <w:color w:val="000000"/>
                <w:kern w:val="0"/>
                <w:sz w:val="24"/>
                <w:szCs w:val="24"/>
                <w:u w:val="none"/>
              </w:rPr>
              <w:t>对边坡进行保护和绿化。对种植的</w:t>
            </w:r>
            <w:r>
              <w:rPr>
                <w:rFonts w:hint="eastAsia" w:ascii="Times New Roman" w:hAnsi="Times New Roman" w:eastAsia="宋体" w:cs="Times New Roman"/>
                <w:color w:val="000000"/>
                <w:kern w:val="0"/>
                <w:sz w:val="24"/>
                <w:szCs w:val="24"/>
                <w:u w:val="thick" w:color="FFB03A"/>
                <w:shd w:val="clear" w:fill="FFEFD7"/>
              </w:rPr>
              <w:t>爬山虎</w:t>
            </w:r>
            <w:r>
              <w:rPr>
                <w:rFonts w:hint="eastAsia" w:ascii="Times New Roman" w:hAnsi="Times New Roman" w:eastAsia="宋体" w:cs="Times New Roman"/>
                <w:color w:val="000000"/>
                <w:kern w:val="0"/>
                <w:sz w:val="24"/>
                <w:szCs w:val="24"/>
                <w:u w:val="none"/>
              </w:rPr>
              <w:t>扦插苗、撒播草籽施用复合肥。对恢复为旱地的土壤施用有机肥进行培肥。开采结束后，应立即对采场进行清理，对不稳定边坡及时采取支挡、加固等措施，加强对采场边坡的监测和管理。对绿化植被进行定期养护管理，及时更换枯死苗种，保证成活率及绿化率。采取上述措施后，可将闭矿期对环境的影响降到最低。采取覆土和植被修复措施后，区域内绿地数量和景观可逐渐恢复到开采前的水平，闭矿期环境保护措施可行。</w:t>
            </w:r>
          </w:p>
        </w:tc>
      </w:tr>
      <w:tr w14:paraId="30A6651F">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1D85CC8C">
            <w:pPr>
              <w:widowControl/>
              <w:spacing w:before="100" w:beforeAutospacing="1" w:after="100" w:afterAutospacing="1" w:line="40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方正仿宋_GBK" w:cs="Times New Roman"/>
                <w:color w:val="000000"/>
                <w:kern w:val="0"/>
                <w:sz w:val="24"/>
                <w:szCs w:val="24"/>
                <w:u w:val="none"/>
              </w:rPr>
              <w:t>结论</w:t>
            </w:r>
          </w:p>
        </w:tc>
      </w:tr>
      <w:tr w14:paraId="337FA581">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962"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591C81">
            <w:pPr>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宣威市筑龙建筑建材有限公司龙潭镇营上采石场年产70万吨建筑石料项目”符合国家有关政策及规划要求。矿山的开采将不可避免地对区域生态、地表水、空气和声环境质量等产生一定的不利影响，通过采取完善可行的污染防治和生态保护措施，加强矿山服务期满后的生态恢复，采矿工程对环境的不利影响程度和范围均较小。在项目建设运营过程中，建设单位需严格执行国家环保政策和各项规章管理制度，并落实本环评提出的防治措施，保证各项环保和安全措施落实到位，保证矿区“三废”达标排放，实行“三同时”制度的前提下，对环境的影响在可接受范围内。从环境保护的角度分析，该项目的建设是可行的。</w:t>
            </w:r>
          </w:p>
        </w:tc>
      </w:tr>
      <w:tr w14:paraId="6038E60F">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2779AD88">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公众参与情况</w:t>
            </w:r>
          </w:p>
        </w:tc>
      </w:tr>
      <w:tr w14:paraId="7245A7E2">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50558F">
            <w:pPr>
              <w:widowControl/>
              <w:spacing w:line="360" w:lineRule="auto"/>
              <w:jc w:val="left"/>
              <w:rPr>
                <w:rFonts w:ascii="Times New Roman" w:hAnsi="Times New Roman" w:eastAsia="宋体" w:cs="Times New Roman"/>
                <w:color w:val="000000"/>
                <w:kern w:val="0"/>
                <w:sz w:val="24"/>
                <w:szCs w:val="24"/>
                <w:u w:val="none"/>
              </w:rPr>
            </w:pPr>
          </w:p>
        </w:tc>
      </w:tr>
      <w:tr w14:paraId="7CC71A33">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29" w:hRule="atLeast"/>
          <w:jc w:val="center"/>
        </w:trPr>
        <w:tc>
          <w:tcPr>
            <w:tcW w:w="3386" w:type="dxa"/>
            <w:gridSpan w:val="2"/>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329127F6">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建设单位或地方政府所作出的相关承诺文件</w:t>
            </w:r>
          </w:p>
        </w:tc>
        <w:tc>
          <w:tcPr>
            <w:tcW w:w="5738"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14:paraId="49525D39">
            <w:pPr>
              <w:widowControl/>
              <w:spacing w:line="360" w:lineRule="auto"/>
              <w:jc w:val="center"/>
              <w:rPr>
                <w:rFonts w:ascii="Times New Roman" w:hAnsi="Times New Roman" w:eastAsia="宋体" w:cs="Times New Roman"/>
                <w:color w:val="000000"/>
                <w:kern w:val="0"/>
                <w:sz w:val="24"/>
                <w:szCs w:val="24"/>
                <w:u w:val="none"/>
              </w:rPr>
            </w:pPr>
            <w:r>
              <w:rPr>
                <w:rFonts w:hint="eastAsia" w:ascii="Times New Roman" w:hAnsi="Times New Roman" w:eastAsia="方正仿宋_GBK" w:cs="Times New Roman"/>
                <w:color w:val="000000"/>
                <w:kern w:val="0"/>
                <w:sz w:val="24"/>
                <w:szCs w:val="24"/>
                <w:u w:val="none"/>
              </w:rPr>
              <w:t>建设项目环境影响报告表信息全文公开的承诺书</w:t>
            </w:r>
          </w:p>
        </w:tc>
      </w:tr>
      <w:tr w14:paraId="51A3C8F9">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24" w:type="dxa"/>
            <w:gridSpan w:val="6"/>
            <w:tcBorders>
              <w:top w:val="nil"/>
              <w:left w:val="nil"/>
              <w:bottom w:val="nil"/>
              <w:right w:val="nil"/>
            </w:tcBorders>
            <w:tcMar>
              <w:top w:w="0" w:type="dxa"/>
              <w:left w:w="108" w:type="dxa"/>
              <w:bottom w:w="0" w:type="dxa"/>
              <w:right w:w="108" w:type="dxa"/>
            </w:tcMar>
            <w:vAlign w:val="center"/>
          </w:tcPr>
          <w:p w14:paraId="39CCD993">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注</w:t>
            </w:r>
            <w:r>
              <w:rPr>
                <w:rFonts w:ascii="Times New Roman" w:hAnsi="Times New Roman" w:eastAsia="宋体" w:cs="Times New Roman"/>
                <w:color w:val="000000"/>
                <w:kern w:val="0"/>
                <w:sz w:val="24"/>
                <w:szCs w:val="24"/>
                <w:u w:val="none"/>
              </w:rPr>
              <w:t>：</w:t>
            </w:r>
            <w:r>
              <w:rPr>
                <w:rFonts w:ascii="Times New Roman" w:hAnsi="Times New Roman" w:eastAsia="方正仿宋_GBK" w:cs="Times New Roman"/>
                <w:color w:val="000000"/>
                <w:kern w:val="0"/>
                <w:sz w:val="24"/>
                <w:szCs w:val="24"/>
                <w:u w:val="none"/>
              </w:rPr>
              <w:t>项目概况、项目主要环境影响、项目预防及减轻不良环境影响的对策和措施、公众参与情况、建设单位或地方政府所作出的相关承诺文件部分由建设单位填写。公众反馈意见联系方式部分由行政审批机关填写。</w:t>
            </w:r>
          </w:p>
        </w:tc>
      </w:tr>
    </w:tbl>
    <w:p w14:paraId="4A8705F1">
      <w:pPr>
        <w:adjustRightInd w:val="0"/>
        <w:snapToGrid w:val="0"/>
        <w:spacing w:before="100" w:beforeAutospacing="1" w:after="100" w:afterAutospacing="1" w:line="100" w:lineRule="exact"/>
        <w:rPr>
          <w:rFonts w:ascii="Times New Roman" w:hAnsi="Times New Roman" w:eastAsia="方正仿宋_GBK" w:cs="Times New Roman"/>
          <w:color w:val="000000" w:themeColor="text1"/>
          <w:sz w:val="32"/>
          <w:szCs w:val="32"/>
          <w:u w:val="none"/>
          <w14:textFill>
            <w14:solidFill>
              <w14:schemeClr w14:val="tx1"/>
            </w14:solidFill>
          </w14:textFill>
        </w:rPr>
      </w:pPr>
    </w:p>
    <w:p w14:paraId="2E9F8F99">
      <w:pPr>
        <w:adjustRightInd w:val="0"/>
        <w:snapToGrid w:val="0"/>
        <w:spacing w:before="100" w:beforeAutospacing="1" w:after="100" w:afterAutospacing="1" w:line="100" w:lineRule="exact"/>
        <w:rPr>
          <w:rFonts w:ascii="Times New Roman" w:hAnsi="Times New Roman" w:eastAsia="方正仿宋_GBK" w:cs="Times New Roman"/>
          <w:color w:val="000000" w:themeColor="text1"/>
          <w:sz w:val="32"/>
          <w:szCs w:val="32"/>
          <w:u w:val="none"/>
          <w14:textFill>
            <w14:solidFill>
              <w14:schemeClr w14:val="tx1"/>
            </w14:solidFill>
          </w14:textFill>
        </w:rPr>
      </w:pPr>
    </w:p>
    <w:p w14:paraId="5F6A8638">
      <w:pPr>
        <w:adjustRightInd w:val="0"/>
        <w:snapToGrid w:val="0"/>
        <w:spacing w:before="100" w:beforeAutospacing="1" w:after="100" w:afterAutospacing="1"/>
        <w:ind w:firstLine="641"/>
        <w:rPr>
          <w:rFonts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 xml:space="preserve">                      曲靖市生态环境局宣威分局</w:t>
      </w:r>
    </w:p>
    <w:p w14:paraId="61162775">
      <w:pPr>
        <w:adjustRightInd w:val="0"/>
        <w:snapToGrid w:val="0"/>
        <w:spacing w:before="100" w:beforeAutospacing="1" w:after="100" w:afterAutospacing="1"/>
        <w:ind w:right="840" w:rightChars="400"/>
        <w:jc w:val="right"/>
        <w:rPr>
          <w:rFonts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 xml:space="preserve">                        2024年</w:t>
      </w:r>
      <w:r>
        <w:rPr>
          <w:rFonts w:ascii="Times New Roman" w:hAnsi="Times New Roman" w:eastAsia="方正仿宋_GBK" w:cs="Times New Roman"/>
          <w:color w:val="000000" w:themeColor="text1"/>
          <w:sz w:val="32"/>
          <w:szCs w:val="32"/>
          <w:u w:val="none"/>
          <w14:textFill>
            <w14:solidFill>
              <w14:schemeClr w14:val="tx1"/>
            </w14:solidFill>
          </w14:textFill>
        </w:rPr>
        <w:t>12</w:t>
      </w:r>
      <w:r>
        <w:rPr>
          <w:rFonts w:hint="eastAsia" w:ascii="Times New Roman" w:hAnsi="Times New Roman" w:eastAsia="方正仿宋_GBK" w:cs="Times New Roman"/>
          <w:color w:val="000000" w:themeColor="text1"/>
          <w:sz w:val="32"/>
          <w:szCs w:val="32"/>
          <w:u w:val="none"/>
          <w14:textFill>
            <w14:solidFill>
              <w14:schemeClr w14:val="tx1"/>
            </w14:solidFill>
          </w14:textFill>
        </w:rPr>
        <w:t>月</w:t>
      </w:r>
      <w:r>
        <w:rPr>
          <w:rFonts w:ascii="Times New Roman" w:hAnsi="Times New Roman" w:eastAsia="方正仿宋_GBK" w:cs="Times New Roman"/>
          <w:color w:val="000000" w:themeColor="text1"/>
          <w:sz w:val="32"/>
          <w:szCs w:val="32"/>
          <w:u w:val="none"/>
          <w14:textFill>
            <w14:solidFill>
              <w14:schemeClr w14:val="tx1"/>
            </w14:solidFill>
          </w14:textFill>
        </w:rPr>
        <w:t>12</w:t>
      </w:r>
      <w:r>
        <w:rPr>
          <w:rFonts w:hint="eastAsia" w:ascii="Times New Roman" w:hAnsi="Times New Roman" w:eastAsia="方正仿宋_GBK" w:cs="Times New Roman"/>
          <w:color w:val="000000" w:themeColor="text1"/>
          <w:sz w:val="32"/>
          <w:szCs w:val="32"/>
          <w:u w:val="none"/>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F7"/>
    <w:rsid w:val="00000569"/>
    <w:rsid w:val="00003DF6"/>
    <w:rsid w:val="00005A55"/>
    <w:rsid w:val="00014857"/>
    <w:rsid w:val="000161C1"/>
    <w:rsid w:val="00026E1B"/>
    <w:rsid w:val="00026ED3"/>
    <w:rsid w:val="000270D8"/>
    <w:rsid w:val="0003041A"/>
    <w:rsid w:val="00033649"/>
    <w:rsid w:val="00042FAA"/>
    <w:rsid w:val="00046E5F"/>
    <w:rsid w:val="000514CB"/>
    <w:rsid w:val="000559B9"/>
    <w:rsid w:val="00056A19"/>
    <w:rsid w:val="00060B58"/>
    <w:rsid w:val="000622BA"/>
    <w:rsid w:val="000645B8"/>
    <w:rsid w:val="00070643"/>
    <w:rsid w:val="000709A8"/>
    <w:rsid w:val="00071405"/>
    <w:rsid w:val="00074408"/>
    <w:rsid w:val="00075EF3"/>
    <w:rsid w:val="0008353C"/>
    <w:rsid w:val="00087753"/>
    <w:rsid w:val="0009105C"/>
    <w:rsid w:val="00094520"/>
    <w:rsid w:val="00095620"/>
    <w:rsid w:val="000A03F8"/>
    <w:rsid w:val="000A079C"/>
    <w:rsid w:val="000A1258"/>
    <w:rsid w:val="000A6FDE"/>
    <w:rsid w:val="000B0B80"/>
    <w:rsid w:val="000B13FA"/>
    <w:rsid w:val="000B3642"/>
    <w:rsid w:val="000C51CC"/>
    <w:rsid w:val="000D263B"/>
    <w:rsid w:val="000D3FF4"/>
    <w:rsid w:val="000D4B70"/>
    <w:rsid w:val="000D7698"/>
    <w:rsid w:val="000E1A56"/>
    <w:rsid w:val="000E1BDB"/>
    <w:rsid w:val="000E2F50"/>
    <w:rsid w:val="000E5785"/>
    <w:rsid w:val="000F1323"/>
    <w:rsid w:val="000F21F0"/>
    <w:rsid w:val="000F2E69"/>
    <w:rsid w:val="000F5CD2"/>
    <w:rsid w:val="0010175C"/>
    <w:rsid w:val="0010288D"/>
    <w:rsid w:val="00104EFE"/>
    <w:rsid w:val="00106E47"/>
    <w:rsid w:val="00113EA0"/>
    <w:rsid w:val="0011545D"/>
    <w:rsid w:val="00115FA6"/>
    <w:rsid w:val="00120149"/>
    <w:rsid w:val="00122BDE"/>
    <w:rsid w:val="001252EF"/>
    <w:rsid w:val="001265D6"/>
    <w:rsid w:val="001274CC"/>
    <w:rsid w:val="0012767F"/>
    <w:rsid w:val="001305B6"/>
    <w:rsid w:val="00130E80"/>
    <w:rsid w:val="0013337A"/>
    <w:rsid w:val="001368FB"/>
    <w:rsid w:val="00142C22"/>
    <w:rsid w:val="00143482"/>
    <w:rsid w:val="001504A6"/>
    <w:rsid w:val="001504DE"/>
    <w:rsid w:val="00150CD8"/>
    <w:rsid w:val="00152017"/>
    <w:rsid w:val="00152885"/>
    <w:rsid w:val="001558AA"/>
    <w:rsid w:val="001559AF"/>
    <w:rsid w:val="00155C8A"/>
    <w:rsid w:val="00156F22"/>
    <w:rsid w:val="00161660"/>
    <w:rsid w:val="00163633"/>
    <w:rsid w:val="0016500B"/>
    <w:rsid w:val="0017036F"/>
    <w:rsid w:val="00174648"/>
    <w:rsid w:val="001807EC"/>
    <w:rsid w:val="00181569"/>
    <w:rsid w:val="0018271C"/>
    <w:rsid w:val="00182797"/>
    <w:rsid w:val="00182F76"/>
    <w:rsid w:val="00186127"/>
    <w:rsid w:val="0019670A"/>
    <w:rsid w:val="001A3733"/>
    <w:rsid w:val="001A454B"/>
    <w:rsid w:val="001B426C"/>
    <w:rsid w:val="001B737F"/>
    <w:rsid w:val="001C37A8"/>
    <w:rsid w:val="001C38C1"/>
    <w:rsid w:val="001C6558"/>
    <w:rsid w:val="001D2CFC"/>
    <w:rsid w:val="001D79D6"/>
    <w:rsid w:val="001E3ADD"/>
    <w:rsid w:val="001E4542"/>
    <w:rsid w:val="001F1110"/>
    <w:rsid w:val="001F31D3"/>
    <w:rsid w:val="001F52F4"/>
    <w:rsid w:val="001F6BF6"/>
    <w:rsid w:val="00201B7D"/>
    <w:rsid w:val="00203A4D"/>
    <w:rsid w:val="00205764"/>
    <w:rsid w:val="002148A4"/>
    <w:rsid w:val="002169A9"/>
    <w:rsid w:val="00216F12"/>
    <w:rsid w:val="00217F2D"/>
    <w:rsid w:val="002204A0"/>
    <w:rsid w:val="002207A9"/>
    <w:rsid w:val="002212B6"/>
    <w:rsid w:val="00221C50"/>
    <w:rsid w:val="002230BC"/>
    <w:rsid w:val="0022391D"/>
    <w:rsid w:val="0023019B"/>
    <w:rsid w:val="0023389F"/>
    <w:rsid w:val="00235883"/>
    <w:rsid w:val="00235A00"/>
    <w:rsid w:val="00240763"/>
    <w:rsid w:val="00242146"/>
    <w:rsid w:val="0024673D"/>
    <w:rsid w:val="00246D60"/>
    <w:rsid w:val="00246F21"/>
    <w:rsid w:val="00250596"/>
    <w:rsid w:val="002511C9"/>
    <w:rsid w:val="00252596"/>
    <w:rsid w:val="002533A0"/>
    <w:rsid w:val="00261C55"/>
    <w:rsid w:val="002627A7"/>
    <w:rsid w:val="0026613E"/>
    <w:rsid w:val="00271BE8"/>
    <w:rsid w:val="002801C8"/>
    <w:rsid w:val="002805E4"/>
    <w:rsid w:val="00285115"/>
    <w:rsid w:val="00287259"/>
    <w:rsid w:val="00291FEA"/>
    <w:rsid w:val="002958B8"/>
    <w:rsid w:val="002963D0"/>
    <w:rsid w:val="002A1386"/>
    <w:rsid w:val="002A421B"/>
    <w:rsid w:val="002B0285"/>
    <w:rsid w:val="002B1404"/>
    <w:rsid w:val="002B413F"/>
    <w:rsid w:val="002B4376"/>
    <w:rsid w:val="002B6D9C"/>
    <w:rsid w:val="002B6F88"/>
    <w:rsid w:val="002B7CB6"/>
    <w:rsid w:val="002C0E7E"/>
    <w:rsid w:val="002C1FF5"/>
    <w:rsid w:val="002C22AF"/>
    <w:rsid w:val="002C339D"/>
    <w:rsid w:val="002C39A5"/>
    <w:rsid w:val="002D23B6"/>
    <w:rsid w:val="002D486D"/>
    <w:rsid w:val="002D61DB"/>
    <w:rsid w:val="002D7789"/>
    <w:rsid w:val="002E309E"/>
    <w:rsid w:val="002E6B27"/>
    <w:rsid w:val="002E7C17"/>
    <w:rsid w:val="002F0179"/>
    <w:rsid w:val="002F2440"/>
    <w:rsid w:val="002F5334"/>
    <w:rsid w:val="002F750F"/>
    <w:rsid w:val="00310A9C"/>
    <w:rsid w:val="00312764"/>
    <w:rsid w:val="003128A9"/>
    <w:rsid w:val="00320023"/>
    <w:rsid w:val="00322F17"/>
    <w:rsid w:val="003244E8"/>
    <w:rsid w:val="003253F8"/>
    <w:rsid w:val="00332641"/>
    <w:rsid w:val="00332A9C"/>
    <w:rsid w:val="003355A9"/>
    <w:rsid w:val="00336C57"/>
    <w:rsid w:val="00337215"/>
    <w:rsid w:val="00337303"/>
    <w:rsid w:val="00337AAC"/>
    <w:rsid w:val="00342FA8"/>
    <w:rsid w:val="0034398E"/>
    <w:rsid w:val="00344274"/>
    <w:rsid w:val="00354E97"/>
    <w:rsid w:val="00354F5F"/>
    <w:rsid w:val="00356CA0"/>
    <w:rsid w:val="003579A6"/>
    <w:rsid w:val="0036080D"/>
    <w:rsid w:val="00361329"/>
    <w:rsid w:val="00361458"/>
    <w:rsid w:val="00361BA8"/>
    <w:rsid w:val="003626BD"/>
    <w:rsid w:val="003656C0"/>
    <w:rsid w:val="00367AFA"/>
    <w:rsid w:val="00370291"/>
    <w:rsid w:val="0037116F"/>
    <w:rsid w:val="00372C14"/>
    <w:rsid w:val="003742C2"/>
    <w:rsid w:val="003805CC"/>
    <w:rsid w:val="00381C2F"/>
    <w:rsid w:val="00385034"/>
    <w:rsid w:val="003900E5"/>
    <w:rsid w:val="00390AB6"/>
    <w:rsid w:val="00391BE9"/>
    <w:rsid w:val="00393FDA"/>
    <w:rsid w:val="003947A0"/>
    <w:rsid w:val="003962BB"/>
    <w:rsid w:val="003A05E5"/>
    <w:rsid w:val="003A2C97"/>
    <w:rsid w:val="003A2F6C"/>
    <w:rsid w:val="003A35D0"/>
    <w:rsid w:val="003A5D35"/>
    <w:rsid w:val="003A7B40"/>
    <w:rsid w:val="003B2680"/>
    <w:rsid w:val="003B26C3"/>
    <w:rsid w:val="003B5CBE"/>
    <w:rsid w:val="003C0152"/>
    <w:rsid w:val="003C295E"/>
    <w:rsid w:val="003D21E3"/>
    <w:rsid w:val="003D4AC4"/>
    <w:rsid w:val="003D6489"/>
    <w:rsid w:val="003E10A0"/>
    <w:rsid w:val="003E2EB0"/>
    <w:rsid w:val="003E3D69"/>
    <w:rsid w:val="003F3CFB"/>
    <w:rsid w:val="003F64FF"/>
    <w:rsid w:val="00400E8F"/>
    <w:rsid w:val="0040124F"/>
    <w:rsid w:val="0041342E"/>
    <w:rsid w:val="004276E3"/>
    <w:rsid w:val="00430175"/>
    <w:rsid w:val="00435E2B"/>
    <w:rsid w:val="004366DB"/>
    <w:rsid w:val="0045235D"/>
    <w:rsid w:val="00453B81"/>
    <w:rsid w:val="00457031"/>
    <w:rsid w:val="00461DEF"/>
    <w:rsid w:val="00463C5F"/>
    <w:rsid w:val="004673B3"/>
    <w:rsid w:val="00467D0A"/>
    <w:rsid w:val="00471D83"/>
    <w:rsid w:val="00472903"/>
    <w:rsid w:val="00475286"/>
    <w:rsid w:val="00475E12"/>
    <w:rsid w:val="0047648C"/>
    <w:rsid w:val="0047702B"/>
    <w:rsid w:val="0048166A"/>
    <w:rsid w:val="00486162"/>
    <w:rsid w:val="00491523"/>
    <w:rsid w:val="00492175"/>
    <w:rsid w:val="00493CA6"/>
    <w:rsid w:val="00496928"/>
    <w:rsid w:val="00496CDC"/>
    <w:rsid w:val="004971F2"/>
    <w:rsid w:val="004A0C4D"/>
    <w:rsid w:val="004A1781"/>
    <w:rsid w:val="004A1B0B"/>
    <w:rsid w:val="004A3355"/>
    <w:rsid w:val="004B52C3"/>
    <w:rsid w:val="004C5062"/>
    <w:rsid w:val="004C573D"/>
    <w:rsid w:val="004D21E1"/>
    <w:rsid w:val="004D4C7E"/>
    <w:rsid w:val="004D589E"/>
    <w:rsid w:val="004E23CD"/>
    <w:rsid w:val="004E496F"/>
    <w:rsid w:val="004F5366"/>
    <w:rsid w:val="004F67C5"/>
    <w:rsid w:val="004F6E64"/>
    <w:rsid w:val="004F765E"/>
    <w:rsid w:val="00502481"/>
    <w:rsid w:val="005033F5"/>
    <w:rsid w:val="00520C40"/>
    <w:rsid w:val="005248F3"/>
    <w:rsid w:val="00526CAF"/>
    <w:rsid w:val="00532CE1"/>
    <w:rsid w:val="00534089"/>
    <w:rsid w:val="00534335"/>
    <w:rsid w:val="00535CC7"/>
    <w:rsid w:val="00536A5D"/>
    <w:rsid w:val="00541111"/>
    <w:rsid w:val="00541BDC"/>
    <w:rsid w:val="00545FC1"/>
    <w:rsid w:val="00553BE5"/>
    <w:rsid w:val="0056002B"/>
    <w:rsid w:val="00560E44"/>
    <w:rsid w:val="005613A1"/>
    <w:rsid w:val="00564474"/>
    <w:rsid w:val="00566E25"/>
    <w:rsid w:val="005671F4"/>
    <w:rsid w:val="00571378"/>
    <w:rsid w:val="00573077"/>
    <w:rsid w:val="0057440C"/>
    <w:rsid w:val="005803A8"/>
    <w:rsid w:val="005805F0"/>
    <w:rsid w:val="00584194"/>
    <w:rsid w:val="005860F9"/>
    <w:rsid w:val="00587ED9"/>
    <w:rsid w:val="0059094D"/>
    <w:rsid w:val="00590FD3"/>
    <w:rsid w:val="005941B0"/>
    <w:rsid w:val="00594DF6"/>
    <w:rsid w:val="00595DE0"/>
    <w:rsid w:val="00597D54"/>
    <w:rsid w:val="005A281E"/>
    <w:rsid w:val="005A4A33"/>
    <w:rsid w:val="005B1A45"/>
    <w:rsid w:val="005B1D8F"/>
    <w:rsid w:val="005B334B"/>
    <w:rsid w:val="005B742B"/>
    <w:rsid w:val="005B7F5F"/>
    <w:rsid w:val="005C252A"/>
    <w:rsid w:val="005C2D16"/>
    <w:rsid w:val="005C4084"/>
    <w:rsid w:val="005C5DCC"/>
    <w:rsid w:val="005D2438"/>
    <w:rsid w:val="005D2705"/>
    <w:rsid w:val="005D3B03"/>
    <w:rsid w:val="005D44E2"/>
    <w:rsid w:val="005E0D98"/>
    <w:rsid w:val="005E1A87"/>
    <w:rsid w:val="005E4C99"/>
    <w:rsid w:val="005F04D0"/>
    <w:rsid w:val="005F2A23"/>
    <w:rsid w:val="006020F0"/>
    <w:rsid w:val="00603355"/>
    <w:rsid w:val="00604495"/>
    <w:rsid w:val="006047ED"/>
    <w:rsid w:val="00611176"/>
    <w:rsid w:val="00612099"/>
    <w:rsid w:val="00613603"/>
    <w:rsid w:val="00614C63"/>
    <w:rsid w:val="006151F5"/>
    <w:rsid w:val="00615DDC"/>
    <w:rsid w:val="0061656A"/>
    <w:rsid w:val="00616B71"/>
    <w:rsid w:val="00621F5E"/>
    <w:rsid w:val="006222DE"/>
    <w:rsid w:val="006233F8"/>
    <w:rsid w:val="0062396E"/>
    <w:rsid w:val="00625C6E"/>
    <w:rsid w:val="0063213C"/>
    <w:rsid w:val="00633A41"/>
    <w:rsid w:val="00637E6C"/>
    <w:rsid w:val="006403A7"/>
    <w:rsid w:val="00642271"/>
    <w:rsid w:val="0064236D"/>
    <w:rsid w:val="00645C76"/>
    <w:rsid w:val="00647969"/>
    <w:rsid w:val="006510BF"/>
    <w:rsid w:val="00651FCE"/>
    <w:rsid w:val="00656449"/>
    <w:rsid w:val="00663684"/>
    <w:rsid w:val="00663FD5"/>
    <w:rsid w:val="00666243"/>
    <w:rsid w:val="00671CD6"/>
    <w:rsid w:val="0068254F"/>
    <w:rsid w:val="00696691"/>
    <w:rsid w:val="006A0484"/>
    <w:rsid w:val="006A50AB"/>
    <w:rsid w:val="006A713B"/>
    <w:rsid w:val="006B1A3A"/>
    <w:rsid w:val="006B588C"/>
    <w:rsid w:val="006B767E"/>
    <w:rsid w:val="006B791E"/>
    <w:rsid w:val="006B7E90"/>
    <w:rsid w:val="006C148F"/>
    <w:rsid w:val="006C27F1"/>
    <w:rsid w:val="006C43C4"/>
    <w:rsid w:val="006C4E01"/>
    <w:rsid w:val="006C5FD1"/>
    <w:rsid w:val="006C65D0"/>
    <w:rsid w:val="006C7C25"/>
    <w:rsid w:val="006D2200"/>
    <w:rsid w:val="006D2BE4"/>
    <w:rsid w:val="006F0731"/>
    <w:rsid w:val="006F1B75"/>
    <w:rsid w:val="006F28B4"/>
    <w:rsid w:val="006F2ECC"/>
    <w:rsid w:val="006F7D10"/>
    <w:rsid w:val="00700179"/>
    <w:rsid w:val="007015CF"/>
    <w:rsid w:val="0070204F"/>
    <w:rsid w:val="007051F2"/>
    <w:rsid w:val="00710B09"/>
    <w:rsid w:val="007177A5"/>
    <w:rsid w:val="00717D6A"/>
    <w:rsid w:val="00723233"/>
    <w:rsid w:val="0072529B"/>
    <w:rsid w:val="0072696C"/>
    <w:rsid w:val="007269DF"/>
    <w:rsid w:val="00731F0A"/>
    <w:rsid w:val="00737287"/>
    <w:rsid w:val="00740CBD"/>
    <w:rsid w:val="007427BA"/>
    <w:rsid w:val="00754373"/>
    <w:rsid w:val="007572D3"/>
    <w:rsid w:val="00764813"/>
    <w:rsid w:val="007652E7"/>
    <w:rsid w:val="007653FB"/>
    <w:rsid w:val="00766FE6"/>
    <w:rsid w:val="00772F1D"/>
    <w:rsid w:val="00776F63"/>
    <w:rsid w:val="007775AD"/>
    <w:rsid w:val="0078624E"/>
    <w:rsid w:val="0079021D"/>
    <w:rsid w:val="00792B6D"/>
    <w:rsid w:val="007A3396"/>
    <w:rsid w:val="007A6532"/>
    <w:rsid w:val="007A6707"/>
    <w:rsid w:val="007A6A9E"/>
    <w:rsid w:val="007A7369"/>
    <w:rsid w:val="007B51B5"/>
    <w:rsid w:val="007B6EDD"/>
    <w:rsid w:val="007C27BC"/>
    <w:rsid w:val="007C3292"/>
    <w:rsid w:val="007C624E"/>
    <w:rsid w:val="007D6E12"/>
    <w:rsid w:val="007E0DFB"/>
    <w:rsid w:val="007E1B87"/>
    <w:rsid w:val="007E2CDA"/>
    <w:rsid w:val="007E320A"/>
    <w:rsid w:val="007E32C0"/>
    <w:rsid w:val="007E39D6"/>
    <w:rsid w:val="007E4C17"/>
    <w:rsid w:val="007F23E1"/>
    <w:rsid w:val="007F78A0"/>
    <w:rsid w:val="008013B6"/>
    <w:rsid w:val="00804191"/>
    <w:rsid w:val="00804A73"/>
    <w:rsid w:val="00806EE8"/>
    <w:rsid w:val="00811B31"/>
    <w:rsid w:val="0081390B"/>
    <w:rsid w:val="00816908"/>
    <w:rsid w:val="00822858"/>
    <w:rsid w:val="00824F81"/>
    <w:rsid w:val="0082590B"/>
    <w:rsid w:val="0082651A"/>
    <w:rsid w:val="00826DB7"/>
    <w:rsid w:val="00830099"/>
    <w:rsid w:val="00836430"/>
    <w:rsid w:val="00840C24"/>
    <w:rsid w:val="00841B35"/>
    <w:rsid w:val="00850426"/>
    <w:rsid w:val="0085592B"/>
    <w:rsid w:val="00860537"/>
    <w:rsid w:val="008748D6"/>
    <w:rsid w:val="00875760"/>
    <w:rsid w:val="00880D70"/>
    <w:rsid w:val="008848D5"/>
    <w:rsid w:val="0089006F"/>
    <w:rsid w:val="00892EF7"/>
    <w:rsid w:val="00894B01"/>
    <w:rsid w:val="00895262"/>
    <w:rsid w:val="008A0F4F"/>
    <w:rsid w:val="008A2626"/>
    <w:rsid w:val="008A29B0"/>
    <w:rsid w:val="008B5AE5"/>
    <w:rsid w:val="008C359E"/>
    <w:rsid w:val="008C70A1"/>
    <w:rsid w:val="008D31AB"/>
    <w:rsid w:val="008D5AC5"/>
    <w:rsid w:val="008D6147"/>
    <w:rsid w:val="008E7717"/>
    <w:rsid w:val="009008CA"/>
    <w:rsid w:val="009137BE"/>
    <w:rsid w:val="009137DE"/>
    <w:rsid w:val="00923B93"/>
    <w:rsid w:val="00923FE4"/>
    <w:rsid w:val="00930049"/>
    <w:rsid w:val="0093176D"/>
    <w:rsid w:val="00931F70"/>
    <w:rsid w:val="009332E3"/>
    <w:rsid w:val="00936F87"/>
    <w:rsid w:val="00940AB6"/>
    <w:rsid w:val="00940D82"/>
    <w:rsid w:val="00941209"/>
    <w:rsid w:val="0094356F"/>
    <w:rsid w:val="00943CBF"/>
    <w:rsid w:val="00944A5B"/>
    <w:rsid w:val="009508E0"/>
    <w:rsid w:val="009567B1"/>
    <w:rsid w:val="00957493"/>
    <w:rsid w:val="009639C8"/>
    <w:rsid w:val="0096561D"/>
    <w:rsid w:val="0096665D"/>
    <w:rsid w:val="009675B0"/>
    <w:rsid w:val="00970530"/>
    <w:rsid w:val="00975F89"/>
    <w:rsid w:val="00980EEE"/>
    <w:rsid w:val="00984D2E"/>
    <w:rsid w:val="00985F23"/>
    <w:rsid w:val="00990FC7"/>
    <w:rsid w:val="009A0193"/>
    <w:rsid w:val="009A0334"/>
    <w:rsid w:val="009A0E76"/>
    <w:rsid w:val="009A2451"/>
    <w:rsid w:val="009A4B6C"/>
    <w:rsid w:val="009A5D73"/>
    <w:rsid w:val="009A7A48"/>
    <w:rsid w:val="009B10BF"/>
    <w:rsid w:val="009B29D7"/>
    <w:rsid w:val="009B460B"/>
    <w:rsid w:val="009B5F10"/>
    <w:rsid w:val="009C12C3"/>
    <w:rsid w:val="009C1328"/>
    <w:rsid w:val="009C48B3"/>
    <w:rsid w:val="009C6464"/>
    <w:rsid w:val="009D0CD7"/>
    <w:rsid w:val="009D18A2"/>
    <w:rsid w:val="009D3160"/>
    <w:rsid w:val="009D4050"/>
    <w:rsid w:val="009E02F0"/>
    <w:rsid w:val="009E195E"/>
    <w:rsid w:val="009E1E5D"/>
    <w:rsid w:val="009E26FE"/>
    <w:rsid w:val="009E6FBC"/>
    <w:rsid w:val="009E71D4"/>
    <w:rsid w:val="009F0B3A"/>
    <w:rsid w:val="009F24E2"/>
    <w:rsid w:val="009F7A21"/>
    <w:rsid w:val="00A031CE"/>
    <w:rsid w:val="00A045EE"/>
    <w:rsid w:val="00A06643"/>
    <w:rsid w:val="00A1032A"/>
    <w:rsid w:val="00A10DE8"/>
    <w:rsid w:val="00A169C4"/>
    <w:rsid w:val="00A1785F"/>
    <w:rsid w:val="00A1798C"/>
    <w:rsid w:val="00A17D82"/>
    <w:rsid w:val="00A200D7"/>
    <w:rsid w:val="00A20D98"/>
    <w:rsid w:val="00A214E5"/>
    <w:rsid w:val="00A248FE"/>
    <w:rsid w:val="00A326F8"/>
    <w:rsid w:val="00A32E3E"/>
    <w:rsid w:val="00A32EB8"/>
    <w:rsid w:val="00A375EC"/>
    <w:rsid w:val="00A42107"/>
    <w:rsid w:val="00A479CC"/>
    <w:rsid w:val="00A5494C"/>
    <w:rsid w:val="00A61978"/>
    <w:rsid w:val="00A67727"/>
    <w:rsid w:val="00A72F88"/>
    <w:rsid w:val="00A73227"/>
    <w:rsid w:val="00A82B47"/>
    <w:rsid w:val="00A91BDC"/>
    <w:rsid w:val="00A94379"/>
    <w:rsid w:val="00A956CA"/>
    <w:rsid w:val="00A96A8E"/>
    <w:rsid w:val="00AA08B5"/>
    <w:rsid w:val="00AA114D"/>
    <w:rsid w:val="00AA2980"/>
    <w:rsid w:val="00AA33C4"/>
    <w:rsid w:val="00AA69F9"/>
    <w:rsid w:val="00AA70CF"/>
    <w:rsid w:val="00AB1388"/>
    <w:rsid w:val="00AB3912"/>
    <w:rsid w:val="00AB799E"/>
    <w:rsid w:val="00AC074B"/>
    <w:rsid w:val="00AC0F50"/>
    <w:rsid w:val="00AC3CB8"/>
    <w:rsid w:val="00AC7AC2"/>
    <w:rsid w:val="00AD1244"/>
    <w:rsid w:val="00AD1823"/>
    <w:rsid w:val="00AD3593"/>
    <w:rsid w:val="00AD5F51"/>
    <w:rsid w:val="00AD6DFE"/>
    <w:rsid w:val="00AE29DC"/>
    <w:rsid w:val="00AE5E17"/>
    <w:rsid w:val="00AE77AB"/>
    <w:rsid w:val="00AF0327"/>
    <w:rsid w:val="00AF0931"/>
    <w:rsid w:val="00AF2BBB"/>
    <w:rsid w:val="00B010FB"/>
    <w:rsid w:val="00B07355"/>
    <w:rsid w:val="00B1564F"/>
    <w:rsid w:val="00B157B9"/>
    <w:rsid w:val="00B178D2"/>
    <w:rsid w:val="00B258FE"/>
    <w:rsid w:val="00B30462"/>
    <w:rsid w:val="00B31D42"/>
    <w:rsid w:val="00B34F70"/>
    <w:rsid w:val="00B355E5"/>
    <w:rsid w:val="00B36331"/>
    <w:rsid w:val="00B364C1"/>
    <w:rsid w:val="00B41412"/>
    <w:rsid w:val="00B45442"/>
    <w:rsid w:val="00B45D52"/>
    <w:rsid w:val="00B50570"/>
    <w:rsid w:val="00B52889"/>
    <w:rsid w:val="00B555F4"/>
    <w:rsid w:val="00B606F7"/>
    <w:rsid w:val="00B616A4"/>
    <w:rsid w:val="00B64F4C"/>
    <w:rsid w:val="00B66A6E"/>
    <w:rsid w:val="00B72E6D"/>
    <w:rsid w:val="00B72E80"/>
    <w:rsid w:val="00B7558E"/>
    <w:rsid w:val="00B7566D"/>
    <w:rsid w:val="00B75D83"/>
    <w:rsid w:val="00B77621"/>
    <w:rsid w:val="00B80FFB"/>
    <w:rsid w:val="00B81F9C"/>
    <w:rsid w:val="00B824EE"/>
    <w:rsid w:val="00B82F4D"/>
    <w:rsid w:val="00B8477F"/>
    <w:rsid w:val="00B91155"/>
    <w:rsid w:val="00B93784"/>
    <w:rsid w:val="00B93ACF"/>
    <w:rsid w:val="00B96296"/>
    <w:rsid w:val="00BA0F9D"/>
    <w:rsid w:val="00BA2E9F"/>
    <w:rsid w:val="00BA71B6"/>
    <w:rsid w:val="00BB0B8B"/>
    <w:rsid w:val="00BB3E1B"/>
    <w:rsid w:val="00BB4A4E"/>
    <w:rsid w:val="00BB798D"/>
    <w:rsid w:val="00BC0E0B"/>
    <w:rsid w:val="00BC5B47"/>
    <w:rsid w:val="00BD1E84"/>
    <w:rsid w:val="00BD48FE"/>
    <w:rsid w:val="00BD7D82"/>
    <w:rsid w:val="00BF3175"/>
    <w:rsid w:val="00BF441F"/>
    <w:rsid w:val="00BF70FA"/>
    <w:rsid w:val="00BF73BD"/>
    <w:rsid w:val="00C00C24"/>
    <w:rsid w:val="00C05A86"/>
    <w:rsid w:val="00C07E86"/>
    <w:rsid w:val="00C07F1F"/>
    <w:rsid w:val="00C13336"/>
    <w:rsid w:val="00C151B0"/>
    <w:rsid w:val="00C16FDE"/>
    <w:rsid w:val="00C176D5"/>
    <w:rsid w:val="00C22F08"/>
    <w:rsid w:val="00C23C78"/>
    <w:rsid w:val="00C322E9"/>
    <w:rsid w:val="00C3448C"/>
    <w:rsid w:val="00C34510"/>
    <w:rsid w:val="00C345EB"/>
    <w:rsid w:val="00C35459"/>
    <w:rsid w:val="00C357C0"/>
    <w:rsid w:val="00C35B69"/>
    <w:rsid w:val="00C35E59"/>
    <w:rsid w:val="00C36FEC"/>
    <w:rsid w:val="00C379A8"/>
    <w:rsid w:val="00C42648"/>
    <w:rsid w:val="00C4400D"/>
    <w:rsid w:val="00C4411F"/>
    <w:rsid w:val="00C44E1E"/>
    <w:rsid w:val="00C46819"/>
    <w:rsid w:val="00C5150A"/>
    <w:rsid w:val="00C5380D"/>
    <w:rsid w:val="00C5569F"/>
    <w:rsid w:val="00C6060F"/>
    <w:rsid w:val="00C649F1"/>
    <w:rsid w:val="00C70078"/>
    <w:rsid w:val="00C741CA"/>
    <w:rsid w:val="00C76667"/>
    <w:rsid w:val="00C77561"/>
    <w:rsid w:val="00C82283"/>
    <w:rsid w:val="00C901B0"/>
    <w:rsid w:val="00C944EE"/>
    <w:rsid w:val="00C96F2A"/>
    <w:rsid w:val="00CA268B"/>
    <w:rsid w:val="00CA4FA0"/>
    <w:rsid w:val="00CA5C54"/>
    <w:rsid w:val="00CB3F1B"/>
    <w:rsid w:val="00CB49EC"/>
    <w:rsid w:val="00CB5727"/>
    <w:rsid w:val="00CB777B"/>
    <w:rsid w:val="00CC3264"/>
    <w:rsid w:val="00CC65AC"/>
    <w:rsid w:val="00CC6F7E"/>
    <w:rsid w:val="00CC7165"/>
    <w:rsid w:val="00CD1F4D"/>
    <w:rsid w:val="00CD62F3"/>
    <w:rsid w:val="00CD7C51"/>
    <w:rsid w:val="00CE15EA"/>
    <w:rsid w:val="00CE1C59"/>
    <w:rsid w:val="00CE31AE"/>
    <w:rsid w:val="00CE31B3"/>
    <w:rsid w:val="00CE4415"/>
    <w:rsid w:val="00CE4F9F"/>
    <w:rsid w:val="00CE66EB"/>
    <w:rsid w:val="00CF0602"/>
    <w:rsid w:val="00CF090C"/>
    <w:rsid w:val="00CF2097"/>
    <w:rsid w:val="00CF27C4"/>
    <w:rsid w:val="00CF4BEE"/>
    <w:rsid w:val="00CF6EFF"/>
    <w:rsid w:val="00D00776"/>
    <w:rsid w:val="00D033D0"/>
    <w:rsid w:val="00D03513"/>
    <w:rsid w:val="00D04021"/>
    <w:rsid w:val="00D104D6"/>
    <w:rsid w:val="00D13BE2"/>
    <w:rsid w:val="00D16374"/>
    <w:rsid w:val="00D24538"/>
    <w:rsid w:val="00D30615"/>
    <w:rsid w:val="00D31902"/>
    <w:rsid w:val="00D31ACE"/>
    <w:rsid w:val="00D31EFC"/>
    <w:rsid w:val="00D32410"/>
    <w:rsid w:val="00D33626"/>
    <w:rsid w:val="00D40716"/>
    <w:rsid w:val="00D45511"/>
    <w:rsid w:val="00D45746"/>
    <w:rsid w:val="00D46543"/>
    <w:rsid w:val="00D46B10"/>
    <w:rsid w:val="00D641F9"/>
    <w:rsid w:val="00D71E73"/>
    <w:rsid w:val="00D7409D"/>
    <w:rsid w:val="00D750FB"/>
    <w:rsid w:val="00D75A9C"/>
    <w:rsid w:val="00D75E29"/>
    <w:rsid w:val="00D80301"/>
    <w:rsid w:val="00D8308D"/>
    <w:rsid w:val="00D8642C"/>
    <w:rsid w:val="00D864CD"/>
    <w:rsid w:val="00D87265"/>
    <w:rsid w:val="00D92D4E"/>
    <w:rsid w:val="00DA0ED2"/>
    <w:rsid w:val="00DA3164"/>
    <w:rsid w:val="00DA38BA"/>
    <w:rsid w:val="00DA5E15"/>
    <w:rsid w:val="00DB3474"/>
    <w:rsid w:val="00DB4121"/>
    <w:rsid w:val="00DB5FF2"/>
    <w:rsid w:val="00DC0894"/>
    <w:rsid w:val="00DC3A17"/>
    <w:rsid w:val="00DC51B6"/>
    <w:rsid w:val="00DC5B90"/>
    <w:rsid w:val="00DC6A63"/>
    <w:rsid w:val="00DD2477"/>
    <w:rsid w:val="00DD2E1F"/>
    <w:rsid w:val="00DD34BA"/>
    <w:rsid w:val="00DD7AF5"/>
    <w:rsid w:val="00DE03EA"/>
    <w:rsid w:val="00DE1899"/>
    <w:rsid w:val="00DE1DE0"/>
    <w:rsid w:val="00DE30D1"/>
    <w:rsid w:val="00DE35C6"/>
    <w:rsid w:val="00DE3934"/>
    <w:rsid w:val="00DE4C59"/>
    <w:rsid w:val="00DE4F98"/>
    <w:rsid w:val="00DE7E3C"/>
    <w:rsid w:val="00DF3800"/>
    <w:rsid w:val="00DF471D"/>
    <w:rsid w:val="00DF5DB2"/>
    <w:rsid w:val="00E007E1"/>
    <w:rsid w:val="00E069D3"/>
    <w:rsid w:val="00E10038"/>
    <w:rsid w:val="00E11E7E"/>
    <w:rsid w:val="00E13520"/>
    <w:rsid w:val="00E148F6"/>
    <w:rsid w:val="00E14C8B"/>
    <w:rsid w:val="00E16C5D"/>
    <w:rsid w:val="00E171DE"/>
    <w:rsid w:val="00E1741C"/>
    <w:rsid w:val="00E26A59"/>
    <w:rsid w:val="00E31CDA"/>
    <w:rsid w:val="00E33A94"/>
    <w:rsid w:val="00E37EB0"/>
    <w:rsid w:val="00E4446B"/>
    <w:rsid w:val="00E50CD4"/>
    <w:rsid w:val="00E51C9A"/>
    <w:rsid w:val="00E55FCD"/>
    <w:rsid w:val="00E573F9"/>
    <w:rsid w:val="00E611F2"/>
    <w:rsid w:val="00E61990"/>
    <w:rsid w:val="00E61EEC"/>
    <w:rsid w:val="00E62162"/>
    <w:rsid w:val="00E63A12"/>
    <w:rsid w:val="00E64A2F"/>
    <w:rsid w:val="00E66306"/>
    <w:rsid w:val="00E7160E"/>
    <w:rsid w:val="00E724D1"/>
    <w:rsid w:val="00E7398D"/>
    <w:rsid w:val="00E74213"/>
    <w:rsid w:val="00E7598D"/>
    <w:rsid w:val="00E75F10"/>
    <w:rsid w:val="00E8034E"/>
    <w:rsid w:val="00E818E1"/>
    <w:rsid w:val="00E823E3"/>
    <w:rsid w:val="00E851AE"/>
    <w:rsid w:val="00E85489"/>
    <w:rsid w:val="00E86112"/>
    <w:rsid w:val="00E9317D"/>
    <w:rsid w:val="00E9719E"/>
    <w:rsid w:val="00EA0E3C"/>
    <w:rsid w:val="00EA22AA"/>
    <w:rsid w:val="00EA5366"/>
    <w:rsid w:val="00EB0C65"/>
    <w:rsid w:val="00EB36F5"/>
    <w:rsid w:val="00EB3D26"/>
    <w:rsid w:val="00EB4487"/>
    <w:rsid w:val="00EB474C"/>
    <w:rsid w:val="00EB5A85"/>
    <w:rsid w:val="00EB704B"/>
    <w:rsid w:val="00EB75E8"/>
    <w:rsid w:val="00EC0CD8"/>
    <w:rsid w:val="00EC2E5D"/>
    <w:rsid w:val="00EC4DE8"/>
    <w:rsid w:val="00EC4E24"/>
    <w:rsid w:val="00EC5F4E"/>
    <w:rsid w:val="00ED02B1"/>
    <w:rsid w:val="00ED28FC"/>
    <w:rsid w:val="00ED695C"/>
    <w:rsid w:val="00EE0896"/>
    <w:rsid w:val="00EE1720"/>
    <w:rsid w:val="00EE196D"/>
    <w:rsid w:val="00EE3CE0"/>
    <w:rsid w:val="00EE4424"/>
    <w:rsid w:val="00EE6513"/>
    <w:rsid w:val="00EE6809"/>
    <w:rsid w:val="00EE6BF2"/>
    <w:rsid w:val="00EF0961"/>
    <w:rsid w:val="00EF1D8F"/>
    <w:rsid w:val="00EF2A4F"/>
    <w:rsid w:val="00EF5D58"/>
    <w:rsid w:val="00F01710"/>
    <w:rsid w:val="00F017EA"/>
    <w:rsid w:val="00F03042"/>
    <w:rsid w:val="00F04315"/>
    <w:rsid w:val="00F10D8A"/>
    <w:rsid w:val="00F12C0A"/>
    <w:rsid w:val="00F22526"/>
    <w:rsid w:val="00F22FEC"/>
    <w:rsid w:val="00F252EB"/>
    <w:rsid w:val="00F25954"/>
    <w:rsid w:val="00F26277"/>
    <w:rsid w:val="00F31D7E"/>
    <w:rsid w:val="00F43CC3"/>
    <w:rsid w:val="00F4444A"/>
    <w:rsid w:val="00F4495B"/>
    <w:rsid w:val="00F47DF2"/>
    <w:rsid w:val="00F51715"/>
    <w:rsid w:val="00F539C4"/>
    <w:rsid w:val="00F6115B"/>
    <w:rsid w:val="00F63A17"/>
    <w:rsid w:val="00F64BAD"/>
    <w:rsid w:val="00F64D2B"/>
    <w:rsid w:val="00F652A2"/>
    <w:rsid w:val="00F7274B"/>
    <w:rsid w:val="00F77AF1"/>
    <w:rsid w:val="00F77DB8"/>
    <w:rsid w:val="00F81134"/>
    <w:rsid w:val="00F83973"/>
    <w:rsid w:val="00F84EE0"/>
    <w:rsid w:val="00F86351"/>
    <w:rsid w:val="00F8739D"/>
    <w:rsid w:val="00F903B3"/>
    <w:rsid w:val="00F938F5"/>
    <w:rsid w:val="00F9771B"/>
    <w:rsid w:val="00FA06C3"/>
    <w:rsid w:val="00FA2F6A"/>
    <w:rsid w:val="00FA6360"/>
    <w:rsid w:val="00FB0248"/>
    <w:rsid w:val="00FB0887"/>
    <w:rsid w:val="00FB0CD1"/>
    <w:rsid w:val="00FB37F1"/>
    <w:rsid w:val="00FB6778"/>
    <w:rsid w:val="00FB70BB"/>
    <w:rsid w:val="00FB7ABE"/>
    <w:rsid w:val="00FC1CD3"/>
    <w:rsid w:val="00FC55D9"/>
    <w:rsid w:val="00FC7254"/>
    <w:rsid w:val="00FD40FA"/>
    <w:rsid w:val="00FE1315"/>
    <w:rsid w:val="149F7E90"/>
    <w:rsid w:val="1CAC6117"/>
    <w:rsid w:val="1F6F4763"/>
    <w:rsid w:val="401F3902"/>
    <w:rsid w:val="554F2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macro"/>
    <w:link w:val="29"/>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3">
    <w:name w:val="Normal Indent"/>
    <w:basedOn w:val="1"/>
    <w:link w:val="30"/>
    <w:qFormat/>
    <w:uiPriority w:val="0"/>
    <w:pPr>
      <w:ind w:firstLine="420" w:firstLineChars="200"/>
    </w:pPr>
    <w:rPr>
      <w:rFonts w:eastAsia="宋体"/>
    </w:rPr>
  </w:style>
  <w:style w:type="paragraph" w:styleId="4">
    <w:name w:val="Body Text"/>
    <w:basedOn w:val="1"/>
    <w:next w:val="1"/>
    <w:link w:val="24"/>
    <w:unhideWhenUsed/>
    <w:qFormat/>
    <w:uiPriority w:val="99"/>
    <w:pPr>
      <w:spacing w:after="120"/>
    </w:pPr>
  </w:style>
  <w:style w:type="paragraph" w:styleId="5">
    <w:name w:val="Body Text Indent"/>
    <w:basedOn w:val="1"/>
    <w:link w:val="22"/>
    <w:semiHidden/>
    <w:unhideWhenUsed/>
    <w:qFormat/>
    <w:uiPriority w:val="99"/>
    <w:pPr>
      <w:spacing w:after="120"/>
      <w:ind w:left="420" w:leftChars="200"/>
    </w:pPr>
  </w:style>
  <w:style w:type="paragraph" w:styleId="6">
    <w:name w:val="Plain Text"/>
    <w:basedOn w:val="1"/>
    <w:link w:val="40"/>
    <w:qFormat/>
    <w:uiPriority w:val="0"/>
    <w:rPr>
      <w:rFonts w:ascii="宋体" w:hAnsi="Courier New" w:eastAsia="宋体"/>
      <w:szCs w:val="21"/>
    </w:rPr>
  </w:style>
  <w:style w:type="paragraph" w:styleId="7">
    <w:name w:val="Body Text Indent 2"/>
    <w:basedOn w:val="1"/>
    <w:link w:val="43"/>
    <w:semiHidden/>
    <w:unhideWhenUsed/>
    <w:qFormat/>
    <w:uiPriority w:val="99"/>
    <w:pPr>
      <w:spacing w:after="120" w:line="480" w:lineRule="auto"/>
      <w:ind w:left="420" w:leftChars="200"/>
    </w:p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42"/>
    <w:semiHidden/>
    <w:unhideWhenUsed/>
    <w:qFormat/>
    <w:uiPriority w:val="99"/>
    <w:pPr>
      <w:spacing w:after="120"/>
      <w:ind w:left="420" w:leftChars="200"/>
    </w:pPr>
    <w:rPr>
      <w:sz w:val="16"/>
      <w:szCs w:val="16"/>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4"/>
    <w:next w:val="1"/>
    <w:link w:val="2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1"/>
    <w:link w:val="23"/>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18">
    <w:name w:val="HTML Definition"/>
    <w:basedOn w:val="16"/>
    <w:qFormat/>
    <w:uiPriority w:val="0"/>
    <w:rPr>
      <w:rFonts w:eastAsia="宋体"/>
      <w:i/>
      <w:iCs/>
      <w:kern w:val="2"/>
      <w:sz w:val="18"/>
      <w:szCs w:val="18"/>
      <w:lang w:val="en-US" w:eastAsia="zh-CN" w:bidi="ar-SA"/>
    </w:rPr>
  </w:style>
  <w:style w:type="character" w:styleId="19">
    <w:name w:val="Hyperlink"/>
    <w:basedOn w:val="16"/>
    <w:semiHidden/>
    <w:unhideWhenUsed/>
    <w:qFormat/>
    <w:uiPriority w:val="99"/>
    <w:rPr>
      <w:color w:val="0000FF"/>
      <w:u w:val="single"/>
    </w:rPr>
  </w:style>
  <w:style w:type="character" w:customStyle="1" w:styleId="20">
    <w:name w:val="页眉 字符"/>
    <w:basedOn w:val="16"/>
    <w:link w:val="9"/>
    <w:qFormat/>
    <w:uiPriority w:val="99"/>
    <w:rPr>
      <w:sz w:val="18"/>
      <w:szCs w:val="18"/>
    </w:rPr>
  </w:style>
  <w:style w:type="character" w:customStyle="1" w:styleId="21">
    <w:name w:val="页脚 字符"/>
    <w:basedOn w:val="16"/>
    <w:link w:val="8"/>
    <w:qFormat/>
    <w:uiPriority w:val="99"/>
    <w:rPr>
      <w:sz w:val="18"/>
      <w:szCs w:val="18"/>
    </w:rPr>
  </w:style>
  <w:style w:type="character" w:customStyle="1" w:styleId="22">
    <w:name w:val="正文文本缩进 字符"/>
    <w:basedOn w:val="16"/>
    <w:link w:val="5"/>
    <w:semiHidden/>
    <w:qFormat/>
    <w:uiPriority w:val="99"/>
  </w:style>
  <w:style w:type="character" w:customStyle="1" w:styleId="23">
    <w:name w:val="正文首行缩进 2 字符"/>
    <w:basedOn w:val="22"/>
    <w:link w:val="13"/>
    <w:qFormat/>
    <w:uiPriority w:val="99"/>
    <w:rPr>
      <w:rFonts w:ascii="宋体" w:hAnsi="宋体" w:eastAsia="宋体" w:cs="宋体"/>
      <w:kern w:val="0"/>
      <w:sz w:val="24"/>
      <w:szCs w:val="24"/>
    </w:rPr>
  </w:style>
  <w:style w:type="character" w:customStyle="1" w:styleId="24">
    <w:name w:val="正文文本 字符"/>
    <w:basedOn w:val="16"/>
    <w:link w:val="4"/>
    <w:qFormat/>
    <w:uiPriority w:val="99"/>
  </w:style>
  <w:style w:type="character" w:customStyle="1" w:styleId="25">
    <w:name w:val="正文首行缩进 字符"/>
    <w:basedOn w:val="24"/>
    <w:link w:val="12"/>
    <w:semiHidden/>
    <w:qFormat/>
    <w:uiPriority w:val="99"/>
    <w:rPr>
      <w:rFonts w:ascii="宋体" w:hAnsi="宋体" w:eastAsia="宋体" w:cs="宋体"/>
      <w:kern w:val="0"/>
      <w:sz w:val="24"/>
      <w:szCs w:val="24"/>
    </w:rPr>
  </w:style>
  <w:style w:type="paragraph" w:styleId="26">
    <w:name w:val="List Paragraph"/>
    <w:basedOn w:val="1"/>
    <w:qFormat/>
    <w:uiPriority w:val="34"/>
    <w:pPr>
      <w:ind w:firstLine="420" w:firstLineChars="200"/>
    </w:pPr>
  </w:style>
  <w:style w:type="character" w:customStyle="1" w:styleId="27">
    <w:name w:val="Char Char Char Char Char Char Char"/>
    <w:link w:val="28"/>
    <w:qFormat/>
    <w:uiPriority w:val="0"/>
    <w:rPr>
      <w:rFonts w:eastAsia="宋体"/>
      <w:sz w:val="28"/>
      <w:szCs w:val="28"/>
    </w:rPr>
  </w:style>
  <w:style w:type="paragraph" w:customStyle="1" w:styleId="28">
    <w:name w:val="Char Char Char Char Char Char"/>
    <w:basedOn w:val="1"/>
    <w:next w:val="2"/>
    <w:link w:val="27"/>
    <w:qFormat/>
    <w:uiPriority w:val="0"/>
    <w:rPr>
      <w:rFonts w:eastAsia="宋体"/>
      <w:sz w:val="28"/>
      <w:szCs w:val="28"/>
    </w:rPr>
  </w:style>
  <w:style w:type="character" w:customStyle="1" w:styleId="29">
    <w:name w:val="宏文本 字符"/>
    <w:basedOn w:val="16"/>
    <w:link w:val="2"/>
    <w:semiHidden/>
    <w:qFormat/>
    <w:uiPriority w:val="99"/>
    <w:rPr>
      <w:rFonts w:ascii="Courier New" w:hAnsi="Courier New" w:eastAsia="宋体" w:cs="Courier New"/>
      <w:sz w:val="24"/>
      <w:szCs w:val="24"/>
    </w:rPr>
  </w:style>
  <w:style w:type="character" w:customStyle="1" w:styleId="30">
    <w:name w:val="正文缩进 字符"/>
    <w:link w:val="3"/>
    <w:qFormat/>
    <w:uiPriority w:val="0"/>
    <w:rPr>
      <w:rFonts w:eastAsia="宋体"/>
    </w:rPr>
  </w:style>
  <w:style w:type="character" w:customStyle="1" w:styleId="31">
    <w:name w:val="1、正文文本 Char"/>
    <w:link w:val="32"/>
    <w:qFormat/>
    <w:uiPriority w:val="0"/>
    <w:rPr>
      <w:rFonts w:cs="宋体"/>
      <w:sz w:val="24"/>
    </w:rPr>
  </w:style>
  <w:style w:type="paragraph" w:customStyle="1" w:styleId="32">
    <w:name w:val="1、正文文本"/>
    <w:next w:val="1"/>
    <w:link w:val="31"/>
    <w:qFormat/>
    <w:uiPriority w:val="0"/>
    <w:pPr>
      <w:wordWrap w:val="0"/>
      <w:adjustRightInd w:val="0"/>
      <w:snapToGrid w:val="0"/>
      <w:spacing w:line="360" w:lineRule="auto"/>
      <w:ind w:firstLine="200" w:firstLineChars="200"/>
    </w:pPr>
    <w:rPr>
      <w:rFonts w:cs="宋体" w:asciiTheme="minorHAnsi" w:hAnsiTheme="minorHAnsi" w:eastAsiaTheme="minorEastAsia"/>
      <w:kern w:val="2"/>
      <w:sz w:val="24"/>
      <w:szCs w:val="22"/>
      <w:lang w:val="en-US" w:eastAsia="zh-CN" w:bidi="ar-SA"/>
    </w:rPr>
  </w:style>
  <w:style w:type="paragraph" w:customStyle="1" w:styleId="33">
    <w:name w:val="Char Char Char3 Char Char Char Char Char Char Char Char Char Char Char Char Char Char Char"/>
    <w:basedOn w:val="1"/>
    <w:qFormat/>
    <w:uiPriority w:val="0"/>
    <w:rPr>
      <w:rFonts w:ascii="Times New Roman" w:hAnsi="Times New Roman" w:eastAsia="宋体" w:cs="Times New Roman"/>
      <w:szCs w:val="24"/>
    </w:rPr>
  </w:style>
  <w:style w:type="paragraph" w:customStyle="1" w:styleId="34">
    <w:name w:val="表格文字"/>
    <w:basedOn w:val="1"/>
    <w:next w:val="1"/>
    <w:qFormat/>
    <w:uiPriority w:val="0"/>
    <w:pPr>
      <w:jc w:val="center"/>
    </w:pPr>
    <w:rPr>
      <w:rFonts w:ascii="Times New Roman" w:hAnsi="Times New Roman" w:eastAsia="宋体" w:cs="Times New Roman"/>
      <w:szCs w:val="20"/>
    </w:rPr>
  </w:style>
  <w:style w:type="table" w:customStyle="1" w:styleId="35">
    <w:name w:val="1"/>
    <w:basedOn w:val="14"/>
    <w:qFormat/>
    <w:uiPriority w:val="99"/>
    <w:pPr>
      <w:jc w:val="center"/>
    </w:pPr>
    <w:rPr>
      <w:rFonts w:ascii="Times New Roman" w:hAnsi="Times New Roman" w:eastAsia="Times New Roman" w:cs="Times New Roman"/>
      <w:szCs w:val="28"/>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Times New Roman" w:hAnsi="Times New Roman" w:cs="Times New Roman"/>
        <w:b/>
        <w:sz w:val="21"/>
        <w:szCs w:val="21"/>
      </w:rPr>
    </w:tblStylePr>
    <w:tblStylePr w:type="lastRow">
      <w:rPr>
        <w:rFonts w:eastAsia="Times New Roman"/>
        <w:sz w:val="21"/>
      </w:rPr>
    </w:tblStylePr>
  </w:style>
  <w:style w:type="paragraph" w:customStyle="1" w:styleId="36">
    <w:name w:val="正文001"/>
    <w:basedOn w:val="1"/>
    <w:qFormat/>
    <w:uiPriority w:val="0"/>
    <w:pPr>
      <w:spacing w:before="60" w:line="460" w:lineRule="exact"/>
      <w:ind w:firstLine="200" w:firstLineChars="200"/>
    </w:pPr>
    <w:rPr>
      <w:rFonts w:ascii="Arial" w:hAnsi="Arial" w:eastAsia="宋体" w:cs="Times New Roman"/>
      <w:sz w:val="24"/>
      <w:szCs w:val="20"/>
    </w:rPr>
  </w:style>
  <w:style w:type="character" w:customStyle="1" w:styleId="37">
    <w:name w:val="ypy正文 Char"/>
    <w:basedOn w:val="16"/>
    <w:link w:val="38"/>
    <w:qFormat/>
    <w:uiPriority w:val="0"/>
    <w:rPr>
      <w:rFonts w:eastAsia="宋体"/>
      <w:sz w:val="24"/>
      <w:szCs w:val="24"/>
    </w:rPr>
  </w:style>
  <w:style w:type="paragraph" w:customStyle="1" w:styleId="38">
    <w:name w:val="ypy正文"/>
    <w:basedOn w:val="1"/>
    <w:link w:val="37"/>
    <w:qFormat/>
    <w:uiPriority w:val="0"/>
    <w:pPr>
      <w:spacing w:line="360" w:lineRule="auto"/>
      <w:ind w:firstLine="200" w:firstLineChars="200"/>
    </w:pPr>
    <w:rPr>
      <w:rFonts w:eastAsia="宋体"/>
      <w:sz w:val="24"/>
      <w:szCs w:val="24"/>
    </w:rPr>
  </w:style>
  <w:style w:type="paragraph" w:customStyle="1" w:styleId="39">
    <w:name w:val="表格1"/>
    <w:basedOn w:val="1"/>
    <w:next w:val="1"/>
    <w:qFormat/>
    <w:uiPriority w:val="0"/>
    <w:pPr>
      <w:snapToGrid w:val="0"/>
      <w:spacing w:line="440" w:lineRule="atLeast"/>
      <w:jc w:val="center"/>
    </w:pPr>
    <w:rPr>
      <w:rFonts w:ascii="Times New Roman" w:hAnsi="Times New Roman" w:eastAsia="宋体" w:cs="Times New Roman"/>
      <w:snapToGrid w:val="0"/>
      <w:color w:val="000000"/>
      <w:kern w:val="0"/>
      <w:sz w:val="24"/>
      <w:szCs w:val="24"/>
    </w:rPr>
  </w:style>
  <w:style w:type="character" w:customStyle="1" w:styleId="40">
    <w:name w:val="纯文本 字符"/>
    <w:link w:val="6"/>
    <w:qFormat/>
    <w:uiPriority w:val="0"/>
    <w:rPr>
      <w:rFonts w:ascii="宋体" w:hAnsi="Courier New" w:eastAsia="宋体"/>
      <w:szCs w:val="21"/>
    </w:rPr>
  </w:style>
  <w:style w:type="character" w:customStyle="1" w:styleId="41">
    <w:name w:val="纯文本 Char1"/>
    <w:basedOn w:val="16"/>
    <w:semiHidden/>
    <w:qFormat/>
    <w:uiPriority w:val="99"/>
    <w:rPr>
      <w:rFonts w:ascii="宋体" w:hAnsi="Courier New" w:eastAsia="宋体" w:cs="Courier New"/>
      <w:szCs w:val="21"/>
    </w:rPr>
  </w:style>
  <w:style w:type="character" w:customStyle="1" w:styleId="42">
    <w:name w:val="正文文本缩进 3 字符"/>
    <w:basedOn w:val="16"/>
    <w:link w:val="10"/>
    <w:semiHidden/>
    <w:qFormat/>
    <w:uiPriority w:val="99"/>
    <w:rPr>
      <w:sz w:val="16"/>
      <w:szCs w:val="16"/>
    </w:rPr>
  </w:style>
  <w:style w:type="character" w:customStyle="1" w:styleId="43">
    <w:name w:val="正文文本缩进 2 字符"/>
    <w:basedOn w:val="16"/>
    <w:link w:val="7"/>
    <w:semiHidden/>
    <w:qFormat/>
    <w:uiPriority w:val="99"/>
  </w:style>
  <w:style w:type="paragraph" w:customStyle="1" w:styleId="44">
    <w:name w:val="翔一正文"/>
    <w:basedOn w:val="1"/>
    <w:next w:val="1"/>
    <w:semiHidden/>
    <w:qFormat/>
    <w:uiPriority w:val="0"/>
    <w:pPr>
      <w:spacing w:line="360" w:lineRule="auto"/>
      <w:ind w:firstLine="1446" w:firstLineChars="200"/>
    </w:pPr>
    <w:rPr>
      <w:rFonts w:ascii="Times New Roman" w:hAnsi="Times New Roman" w:eastAsia="宋体" w:cs="Times New Roman"/>
      <w:sz w:val="24"/>
    </w:rPr>
  </w:style>
  <w:style w:type="paragraph" w:customStyle="1" w:styleId="45">
    <w:name w:val="S报告正文"/>
    <w:basedOn w:val="1"/>
    <w:qFormat/>
    <w:uiPriority w:val="0"/>
    <w:pPr>
      <w:adjustRightInd w:val="0"/>
      <w:snapToGrid w:val="0"/>
      <w:spacing w:line="480" w:lineRule="exact"/>
      <w:ind w:firstLine="510"/>
      <w:jc w:val="left"/>
    </w:pPr>
    <w:rPr>
      <w:sz w:val="24"/>
    </w:rPr>
  </w:style>
  <w:style w:type="paragraph" w:customStyle="1" w:styleId="46">
    <w:name w:val="文本正文"/>
    <w:qFormat/>
    <w:uiPriority w:val="0"/>
    <w:pPr>
      <w:adjustRightInd w:val="0"/>
      <w:snapToGrid w:val="0"/>
      <w:spacing w:line="360" w:lineRule="auto"/>
      <w:ind w:firstLine="200" w:firstLineChars="200"/>
    </w:pPr>
    <w:rPr>
      <w:rFonts w:ascii="Times New Roman" w:hAnsi="Times New Roman" w:eastAsia="宋体" w:cs="Times New Roman"/>
      <w:sz w:val="28"/>
      <w:szCs w:val="22"/>
      <w:lang w:val="en-US" w:eastAsia="zh-CN" w:bidi="ar-SA"/>
    </w:rPr>
  </w:style>
  <w:style w:type="paragraph" w:customStyle="1" w:styleId="47">
    <w:name w:val="报告表正文"/>
    <w:basedOn w:val="1"/>
    <w:qFormat/>
    <w:uiPriority w:val="0"/>
    <w:pPr>
      <w:adjustRightInd w:val="0"/>
      <w:spacing w:line="312" w:lineRule="auto"/>
      <w:ind w:left="113" w:right="113" w:firstLine="482"/>
      <w:jc w:val="left"/>
      <w:textAlignment w:val="baseline"/>
    </w:pPr>
    <w:rPr>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8</Pages>
  <Words>6370</Words>
  <Characters>6546</Characters>
  <Lines>47</Lines>
  <Paragraphs>13</Paragraphs>
  <TotalTime>2</TotalTime>
  <ScaleCrop>false</ScaleCrop>
  <LinksUpToDate>false</LinksUpToDate>
  <CharactersWithSpaces>6618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2024-12-10T10:03:00Z</dcterms:created>
  <dc:creator>微软用户</dc:creator>
  <cp:lastModifiedBy>NTKO</cp:lastModifiedBy>
  <dcterms:modified xsi:type="dcterms:W3CDTF">2024-12-12T08:17:16Z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B9E60889875C46559256D038577C9D19_13</vt:lpwstr>
  </property>
</Properties>
</file>