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9" w:line="224" w:lineRule="auto"/>
        <w:ind w:left="268"/>
        <w:rPr>
          <w:rFonts w:ascii="黑体" w:hAnsi="黑体" w:eastAsia="黑体" w:cs="黑体"/>
          <w:sz w:val="24"/>
          <w:szCs w:val="24"/>
          <w:highlight w:val="none"/>
        </w:rPr>
      </w:pPr>
      <w:r>
        <w:rPr>
          <w:rFonts w:ascii="黑体" w:hAnsi="黑体" w:eastAsia="黑体" w:cs="黑体"/>
          <w:b/>
          <w:bCs/>
          <w:spacing w:val="13"/>
          <w:sz w:val="24"/>
          <w:szCs w:val="24"/>
          <w:highlight w:val="none"/>
        </w:rPr>
        <w:t>附件2</w:t>
      </w:r>
    </w:p>
    <w:p>
      <w:pPr>
        <w:spacing w:line="275" w:lineRule="auto"/>
        <w:rPr>
          <w:rFonts w:ascii="Arial"/>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235" w:line="240" w:lineRule="exact"/>
        <w:jc w:val="center"/>
        <w:textAlignment w:val="baseline"/>
        <w:rPr>
          <w:rFonts w:hint="eastAsia" w:ascii="黑体" w:hAnsi="黑体" w:eastAsia="黑体" w:cs="黑体"/>
          <w:spacing w:val="24"/>
          <w:position w:val="15"/>
          <w:sz w:val="30"/>
          <w:szCs w:val="30"/>
          <w:highlight w:val="none"/>
        </w:rPr>
      </w:pPr>
      <w:r>
        <w:rPr>
          <w:rFonts w:hint="eastAsia" w:ascii="黑体" w:hAnsi="黑体" w:eastAsia="黑体" w:cs="黑体"/>
          <w:spacing w:val="24"/>
          <w:position w:val="15"/>
          <w:sz w:val="30"/>
          <w:szCs w:val="30"/>
          <w:highlight w:val="none"/>
        </w:rPr>
        <w:t>宣威市土投矿业有限公司宣威市羊场镇普瓦玉合采石场</w:t>
      </w:r>
    </w:p>
    <w:p>
      <w:pPr>
        <w:keepNext w:val="0"/>
        <w:keepLines w:val="0"/>
        <w:pageBreakBefore w:val="0"/>
        <w:widowControl/>
        <w:kinsoku w:val="0"/>
        <w:wordWrap/>
        <w:overflowPunct/>
        <w:topLinePunct w:val="0"/>
        <w:autoSpaceDE w:val="0"/>
        <w:autoSpaceDN w:val="0"/>
        <w:bidi w:val="0"/>
        <w:adjustRightInd w:val="0"/>
        <w:snapToGrid w:val="0"/>
        <w:spacing w:before="235" w:line="240" w:lineRule="exact"/>
        <w:ind w:left="2324"/>
        <w:textAlignment w:val="baseline"/>
        <w:rPr>
          <w:rFonts w:ascii="黑体" w:hAnsi="黑体" w:eastAsia="黑体" w:cs="黑体"/>
          <w:sz w:val="30"/>
          <w:szCs w:val="30"/>
          <w:highlight w:val="none"/>
        </w:rPr>
      </w:pPr>
      <w:r>
        <w:rPr>
          <w:rFonts w:ascii="黑体" w:hAnsi="黑体" w:eastAsia="黑体" w:cs="黑体"/>
          <w:spacing w:val="24"/>
          <w:position w:val="15"/>
          <w:sz w:val="30"/>
          <w:szCs w:val="30"/>
          <w:highlight w:val="none"/>
        </w:rPr>
        <w:t>矿山地质环境保护与土地复垦方案</w:t>
      </w:r>
    </w:p>
    <w:p>
      <w:pPr>
        <w:keepNext w:val="0"/>
        <w:keepLines w:val="0"/>
        <w:pageBreakBefore w:val="0"/>
        <w:widowControl/>
        <w:kinsoku w:val="0"/>
        <w:wordWrap/>
        <w:overflowPunct/>
        <w:topLinePunct w:val="0"/>
        <w:autoSpaceDE w:val="0"/>
        <w:autoSpaceDN w:val="0"/>
        <w:bidi w:val="0"/>
        <w:adjustRightInd w:val="0"/>
        <w:snapToGrid w:val="0"/>
        <w:spacing w:before="1" w:line="240" w:lineRule="auto"/>
        <w:ind w:left="3624"/>
        <w:textAlignment w:val="baseline"/>
        <w:rPr>
          <w:rFonts w:ascii="黑体" w:hAnsi="黑体" w:eastAsia="黑体" w:cs="黑体"/>
          <w:sz w:val="30"/>
          <w:szCs w:val="30"/>
          <w:highlight w:val="none"/>
        </w:rPr>
      </w:pPr>
      <w:r>
        <w:rPr>
          <w:rFonts w:ascii="黑体" w:hAnsi="黑体" w:eastAsia="黑体" w:cs="黑体"/>
          <w:spacing w:val="18"/>
          <w:sz w:val="30"/>
          <w:szCs w:val="30"/>
          <w:highlight w:val="none"/>
        </w:rPr>
        <w:t>专家组评审意见</w:t>
      </w:r>
    </w:p>
    <w:p>
      <w:pPr>
        <w:spacing w:line="136" w:lineRule="exact"/>
        <w:rPr>
          <w:highlight w:val="yellow"/>
        </w:rPr>
      </w:pPr>
    </w:p>
    <w:tbl>
      <w:tblPr>
        <w:tblStyle w:val="8"/>
        <w:tblW w:w="94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4"/>
        <w:gridCol w:w="1967"/>
        <w:gridCol w:w="2078"/>
        <w:gridCol w:w="4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2851" w:type="dxa"/>
            <w:gridSpan w:val="2"/>
            <w:vAlign w:val="top"/>
          </w:tcPr>
          <w:p>
            <w:pPr>
              <w:pStyle w:val="9"/>
              <w:spacing w:before="115" w:line="219" w:lineRule="auto"/>
              <w:ind w:left="33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生产(建设)项目名称</w:t>
            </w:r>
          </w:p>
        </w:tc>
        <w:tc>
          <w:tcPr>
            <w:tcW w:w="6588" w:type="dxa"/>
            <w:gridSpan w:val="2"/>
            <w:vAlign w:val="top"/>
          </w:tcPr>
          <w:p>
            <w:pPr>
              <w:spacing w:line="300" w:lineRule="exact"/>
              <w:jc w:val="center"/>
              <w:rPr>
                <w:rFonts w:hint="eastAsia" w:ascii="宋体" w:hAnsi="宋体" w:cs="宋体"/>
                <w:sz w:val="24"/>
                <w:highlight w:val="none"/>
              </w:rPr>
            </w:pPr>
            <w:r>
              <w:rPr>
                <w:rFonts w:hint="eastAsia" w:ascii="宋体" w:hAnsi="宋体" w:cs="宋体"/>
                <w:sz w:val="24"/>
                <w:highlight w:val="none"/>
              </w:rPr>
              <w:t>宣威市土投矿业有限公司宣威市羊场镇普瓦玉合采石场</w:t>
            </w:r>
          </w:p>
          <w:p>
            <w:pPr>
              <w:pStyle w:val="9"/>
              <w:spacing w:before="115" w:line="219" w:lineRule="auto"/>
              <w:ind w:left="1363"/>
              <w:rPr>
                <w:rFonts w:hint="eastAsia" w:ascii="宋体" w:hAnsi="宋体" w:eastAsia="宋体" w:cs="宋体"/>
                <w:sz w:val="24"/>
                <w:szCs w:val="24"/>
                <w:highlight w:val="none"/>
              </w:rPr>
            </w:pPr>
            <w:r>
              <w:rPr>
                <w:rFonts w:hint="eastAsia" w:ascii="宋体" w:hAnsi="宋体" w:cs="宋体"/>
                <w:sz w:val="24"/>
                <w:highlight w:val="none"/>
              </w:rPr>
              <w:t>矿山地质环境保护与土地复垦方案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51" w:type="dxa"/>
            <w:gridSpan w:val="2"/>
            <w:vAlign w:val="top"/>
          </w:tcPr>
          <w:p>
            <w:pPr>
              <w:pStyle w:val="9"/>
              <w:spacing w:before="110" w:line="219" w:lineRule="auto"/>
              <w:ind w:left="33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生产(建设)单位名称</w:t>
            </w:r>
          </w:p>
        </w:tc>
        <w:tc>
          <w:tcPr>
            <w:tcW w:w="6588" w:type="dxa"/>
            <w:gridSpan w:val="2"/>
            <w:vAlign w:val="top"/>
          </w:tcPr>
          <w:p>
            <w:pPr>
              <w:pStyle w:val="9"/>
              <w:spacing w:before="110" w:line="220" w:lineRule="auto"/>
              <w:ind w:firstLine="1680" w:firstLineChars="700"/>
              <w:rPr>
                <w:rFonts w:hint="eastAsia" w:ascii="宋体" w:hAnsi="宋体" w:eastAsia="宋体" w:cs="宋体"/>
                <w:sz w:val="24"/>
                <w:szCs w:val="24"/>
                <w:highlight w:val="none"/>
              </w:rPr>
            </w:pPr>
            <w:r>
              <w:rPr>
                <w:rFonts w:hint="eastAsia" w:ascii="宋体" w:hAnsi="宋体" w:cs="宋体"/>
                <w:sz w:val="24"/>
                <w:highlight w:val="none"/>
              </w:rPr>
              <w:t>宣威市土投矿业有限公司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51" w:type="dxa"/>
            <w:gridSpan w:val="2"/>
            <w:vAlign w:val="top"/>
          </w:tcPr>
          <w:p>
            <w:pPr>
              <w:pStyle w:val="9"/>
              <w:spacing w:before="110" w:line="219" w:lineRule="auto"/>
              <w:ind w:left="45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方案编制单位名称</w:t>
            </w:r>
          </w:p>
        </w:tc>
        <w:tc>
          <w:tcPr>
            <w:tcW w:w="6588" w:type="dxa"/>
            <w:gridSpan w:val="2"/>
            <w:vAlign w:val="top"/>
          </w:tcPr>
          <w:p>
            <w:pPr>
              <w:pStyle w:val="9"/>
              <w:spacing w:before="110" w:line="219" w:lineRule="auto"/>
              <w:ind w:firstLine="1200" w:firstLineChars="500"/>
              <w:rPr>
                <w:rFonts w:hint="eastAsia" w:ascii="宋体" w:hAnsi="宋体" w:eastAsia="宋体" w:cs="宋体"/>
                <w:sz w:val="24"/>
                <w:szCs w:val="24"/>
                <w:highlight w:val="none"/>
              </w:rPr>
            </w:pPr>
            <w:r>
              <w:rPr>
                <w:rFonts w:hint="eastAsia" w:ascii="宋体" w:hAnsi="宋体" w:eastAsia="宋体" w:cs="宋体"/>
                <w:sz w:val="24"/>
                <w:szCs w:val="24"/>
                <w:highlight w:val="none"/>
              </w:rPr>
              <w:t>曲靖岩土工程勘测有限责任公司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2851" w:type="dxa"/>
            <w:gridSpan w:val="2"/>
            <w:vMerge w:val="restart"/>
            <w:tcBorders>
              <w:bottom w:val="nil"/>
            </w:tcBorders>
            <w:vAlign w:val="top"/>
          </w:tcPr>
          <w:p>
            <w:pPr>
              <w:spacing w:line="262" w:lineRule="auto"/>
              <w:rPr>
                <w:rFonts w:hint="eastAsia" w:ascii="宋体" w:hAnsi="宋体" w:eastAsia="宋体" w:cs="宋体"/>
                <w:sz w:val="24"/>
                <w:szCs w:val="24"/>
                <w:highlight w:val="none"/>
              </w:rPr>
            </w:pPr>
          </w:p>
          <w:p>
            <w:pPr>
              <w:pStyle w:val="9"/>
              <w:spacing w:before="78" w:line="220" w:lineRule="auto"/>
              <w:ind w:left="335"/>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项目用地面积(公顷)</w:t>
            </w:r>
          </w:p>
        </w:tc>
        <w:tc>
          <w:tcPr>
            <w:tcW w:w="2078" w:type="dxa"/>
            <w:vAlign w:val="top"/>
          </w:tcPr>
          <w:p>
            <w:pPr>
              <w:pStyle w:val="9"/>
              <w:spacing w:before="112" w:line="221" w:lineRule="auto"/>
              <w:ind w:left="19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永久性建设用地</w:t>
            </w:r>
          </w:p>
        </w:tc>
        <w:tc>
          <w:tcPr>
            <w:tcW w:w="4510" w:type="dxa"/>
            <w:vAlign w:val="top"/>
          </w:tcPr>
          <w:p>
            <w:pPr>
              <w:pStyle w:val="9"/>
              <w:spacing w:before="111" w:line="220" w:lineRule="auto"/>
              <w:ind w:left="1945"/>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0公顷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2851" w:type="dxa"/>
            <w:gridSpan w:val="2"/>
            <w:vMerge w:val="continue"/>
            <w:tcBorders>
              <w:top w:val="nil"/>
            </w:tcBorders>
            <w:vAlign w:val="top"/>
          </w:tcPr>
          <w:p>
            <w:pPr>
              <w:rPr>
                <w:rFonts w:hint="eastAsia" w:ascii="宋体" w:hAnsi="宋体" w:eastAsia="宋体" w:cs="宋体"/>
                <w:sz w:val="24"/>
                <w:szCs w:val="24"/>
                <w:highlight w:val="none"/>
              </w:rPr>
            </w:pPr>
          </w:p>
        </w:tc>
        <w:tc>
          <w:tcPr>
            <w:tcW w:w="2078" w:type="dxa"/>
            <w:vAlign w:val="top"/>
          </w:tcPr>
          <w:p>
            <w:pPr>
              <w:pStyle w:val="9"/>
              <w:spacing w:before="111" w:line="220" w:lineRule="auto"/>
              <w:ind w:left="31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损毁土地面积</w:t>
            </w:r>
          </w:p>
        </w:tc>
        <w:tc>
          <w:tcPr>
            <w:tcW w:w="4510" w:type="dxa"/>
            <w:vAlign w:val="top"/>
          </w:tcPr>
          <w:p>
            <w:pPr>
              <w:pStyle w:val="9"/>
              <w:spacing w:before="111" w:line="220" w:lineRule="auto"/>
              <w:ind w:left="1586"/>
              <w:rPr>
                <w:rFonts w:hint="eastAsia" w:ascii="宋体" w:hAnsi="宋体" w:eastAsia="宋体" w:cs="宋体"/>
                <w:sz w:val="24"/>
                <w:szCs w:val="24"/>
                <w:highlight w:val="none"/>
              </w:rPr>
            </w:pPr>
            <w:r>
              <w:rPr>
                <w:rFonts w:hint="eastAsia" w:ascii="宋体" w:hAnsi="宋体" w:cs="宋体"/>
                <w:bCs/>
                <w:sz w:val="24"/>
                <w:highlight w:val="none"/>
                <w:lang w:val="en-US" w:eastAsia="zh-CN"/>
              </w:rPr>
              <w:t>13.5807</w:t>
            </w:r>
            <w:r>
              <w:rPr>
                <w:rFonts w:hint="eastAsia" w:ascii="宋体" w:hAnsi="宋体" w:eastAsia="宋体" w:cs="宋体"/>
                <w:spacing w:val="1"/>
                <w:sz w:val="24"/>
                <w:szCs w:val="24"/>
                <w:highlight w:val="none"/>
              </w:rPr>
              <w:t>公顷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851" w:type="dxa"/>
            <w:gridSpan w:val="2"/>
            <w:vAlign w:val="top"/>
          </w:tcPr>
          <w:p>
            <w:pPr>
              <w:pStyle w:val="9"/>
              <w:spacing w:before="112" w:line="219" w:lineRule="auto"/>
              <w:ind w:left="21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生产规模(或投资规模)</w:t>
            </w:r>
          </w:p>
        </w:tc>
        <w:tc>
          <w:tcPr>
            <w:tcW w:w="6588" w:type="dxa"/>
            <w:gridSpan w:val="2"/>
            <w:vAlign w:val="top"/>
          </w:tcPr>
          <w:p>
            <w:pPr>
              <w:pStyle w:val="9"/>
              <w:spacing w:before="112" w:line="219" w:lineRule="auto"/>
              <w:ind w:left="2743"/>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lang w:val="en-US" w:eastAsia="zh-CN"/>
              </w:rPr>
              <w:t>70</w:t>
            </w:r>
            <w:r>
              <w:rPr>
                <w:rFonts w:hint="eastAsia" w:ascii="宋体" w:hAnsi="宋体" w:eastAsia="宋体" w:cs="宋体"/>
                <w:spacing w:val="1"/>
                <w:sz w:val="24"/>
                <w:szCs w:val="24"/>
                <w:highlight w:val="none"/>
              </w:rPr>
              <w:t>万</w:t>
            </w:r>
            <w:r>
              <w:rPr>
                <w:rFonts w:hint="eastAsia" w:ascii="宋体" w:hAnsi="宋体" w:eastAsia="宋体" w:cs="宋体"/>
                <w:spacing w:val="1"/>
                <w:sz w:val="24"/>
                <w:szCs w:val="24"/>
                <w:highlight w:val="none"/>
                <w:lang w:val="en-US" w:eastAsia="zh-CN"/>
              </w:rPr>
              <w:t>t</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lang w:val="en-US" w:eastAsia="zh-CN"/>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2851" w:type="dxa"/>
            <w:gridSpan w:val="2"/>
            <w:vAlign w:val="top"/>
          </w:tcPr>
          <w:p>
            <w:pPr>
              <w:pStyle w:val="9"/>
              <w:spacing w:before="102" w:line="219" w:lineRule="auto"/>
              <w:ind w:left="21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服务年限(或建设期限)</w:t>
            </w:r>
          </w:p>
        </w:tc>
        <w:tc>
          <w:tcPr>
            <w:tcW w:w="6588" w:type="dxa"/>
            <w:gridSpan w:val="2"/>
            <w:vAlign w:val="top"/>
          </w:tcPr>
          <w:p>
            <w:pPr>
              <w:pStyle w:val="9"/>
              <w:spacing w:before="102" w:line="219" w:lineRule="auto"/>
              <w:ind w:left="1514"/>
              <w:rPr>
                <w:rFonts w:hint="eastAsia" w:ascii="宋体" w:hAnsi="宋体" w:eastAsia="宋体" w:cs="宋体"/>
                <w:sz w:val="24"/>
                <w:szCs w:val="24"/>
                <w:highlight w:val="none"/>
              </w:rPr>
            </w:pPr>
            <w:r>
              <w:rPr>
                <w:rFonts w:hint="eastAsia" w:cs="宋体"/>
                <w:color w:val="auto"/>
                <w:sz w:val="24"/>
                <w:szCs w:val="24"/>
                <w:highlight w:val="none"/>
                <w:lang w:val="en-US" w:eastAsia="zh-CN"/>
              </w:rPr>
              <w:t>28.6</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0</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月至</w:t>
            </w:r>
            <w:r>
              <w:rPr>
                <w:rFonts w:hint="eastAsia" w:ascii="宋体" w:hAnsi="宋体" w:eastAsia="宋体" w:cs="宋体"/>
                <w:color w:val="auto"/>
                <w:sz w:val="24"/>
                <w:szCs w:val="24"/>
                <w:highlight w:val="none"/>
                <w:lang w:val="en-US" w:eastAsia="zh-CN"/>
              </w:rPr>
              <w:t>20</w:t>
            </w:r>
            <w:r>
              <w:rPr>
                <w:rFonts w:hint="eastAsia" w:cs="宋体"/>
                <w:color w:val="auto"/>
                <w:sz w:val="24"/>
                <w:szCs w:val="24"/>
                <w:highlight w:val="none"/>
                <w:lang w:val="en-US" w:eastAsia="zh-CN"/>
              </w:rPr>
              <w:t>52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11</w:t>
            </w:r>
            <w:r>
              <w:rPr>
                <w:rFonts w:hint="eastAsia" w:ascii="宋体" w:hAnsi="宋体" w:eastAsia="宋体" w:cs="宋体"/>
                <w:color w:val="auto"/>
                <w:sz w:val="24"/>
                <w:szCs w:val="24"/>
                <w:highlight w:val="none"/>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8" w:hRule="atLeast"/>
        </w:trPr>
        <w:tc>
          <w:tcPr>
            <w:tcW w:w="884" w:type="dxa"/>
            <w:textDirection w:val="tbRlV"/>
            <w:vAlign w:val="top"/>
          </w:tcPr>
          <w:p>
            <w:pPr>
              <w:pStyle w:val="9"/>
              <w:spacing w:before="298" w:line="217" w:lineRule="auto"/>
              <w:ind w:left="2581"/>
              <w:rPr>
                <w:rFonts w:hint="eastAsia" w:ascii="宋体" w:hAnsi="宋体" w:eastAsia="宋体" w:cs="宋体"/>
                <w:sz w:val="24"/>
                <w:szCs w:val="24"/>
                <w:highlight w:val="none"/>
              </w:rPr>
            </w:pPr>
            <w:r>
              <w:rPr>
                <w:rFonts w:hint="eastAsia" w:ascii="宋体" w:hAnsi="宋体" w:eastAsia="宋体" w:cs="宋体"/>
                <w:sz w:val="24"/>
                <w:szCs w:val="24"/>
                <w:highlight w:val="none"/>
              </w:rPr>
              <w:t>专</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家</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评</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审</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结</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rPr>
              <w:t>论</w:t>
            </w:r>
          </w:p>
        </w:tc>
        <w:tc>
          <w:tcPr>
            <w:tcW w:w="8555" w:type="dxa"/>
            <w:gridSpan w:val="3"/>
            <w:vAlign w:val="top"/>
          </w:tcPr>
          <w:p>
            <w:pPr>
              <w:spacing w:line="360" w:lineRule="auto"/>
              <w:jc w:val="left"/>
              <w:rPr>
                <w:rFonts w:ascii="宋体" w:hAnsi="宋体" w:cs="宋体"/>
                <w:sz w:val="24"/>
                <w:highlight w:val="none"/>
              </w:rPr>
            </w:pPr>
            <w:r>
              <w:rPr>
                <w:rFonts w:hint="eastAsia" w:ascii="宋体" w:hAnsi="宋体" w:cs="宋体"/>
                <w:sz w:val="24"/>
                <w:highlight w:val="none"/>
                <w:lang w:val="en-US" w:eastAsia="zh-CN"/>
              </w:rPr>
              <w:t xml:space="preserve"> </w:t>
            </w:r>
            <w:r>
              <w:rPr>
                <w:rFonts w:hint="eastAsia" w:ascii="宋体" w:hAnsi="宋体" w:cs="宋体"/>
                <w:sz w:val="24"/>
                <w:highlight w:val="none"/>
              </w:rPr>
              <w:t>2024年</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sz w:val="24"/>
                <w:highlight w:val="none"/>
                <w:lang w:val="en-US" w:eastAsia="zh-CN"/>
              </w:rPr>
              <w:t>23</w:t>
            </w:r>
            <w:r>
              <w:rPr>
                <w:rFonts w:hint="eastAsia" w:ascii="宋体" w:hAnsi="宋体" w:cs="宋体"/>
                <w:sz w:val="24"/>
                <w:highlight w:val="none"/>
              </w:rPr>
              <w:t>日，受宣威市自然资源局委托，云南省有色地质局三一七队组织专家对曲靖岩土工程勘测有限责任公司编制的《宣威市土投矿业有限公司宣威市羊场镇普瓦玉合采石场矿山地质环境保护与土地复垦方案》（以下简称《方案》）进行了评审。专家在会前认真审阅了“方案”及相关资料。与会专家听取编制单位的介绍，经会上提问、答疑、讨论的基础上，专家组对《方案》中存在的问题提出修改建议和意见，编制单位根据专家提出修改建议和意见进行了认真的修改，经专家复核，认为基本达到技术规范要求，专家组合议后，形成如下专家组评审意见：</w:t>
            </w:r>
          </w:p>
          <w:p>
            <w:pPr>
              <w:spacing w:line="360" w:lineRule="auto"/>
              <w:ind w:left="420" w:leftChars="200" w:firstLine="240" w:firstLineChars="100"/>
              <w:rPr>
                <w:rFonts w:ascii="宋体" w:hAnsi="宋体" w:cs="宋体"/>
                <w:b/>
                <w:bCs/>
                <w:color w:val="000000"/>
                <w:sz w:val="24"/>
                <w:highlight w:val="none"/>
              </w:rPr>
            </w:pPr>
            <w:r>
              <w:rPr>
                <w:rFonts w:hint="eastAsia" w:ascii="宋体" w:hAnsi="宋体" w:cs="宋体"/>
                <w:b/>
                <w:bCs/>
                <w:color w:val="000000"/>
                <w:sz w:val="24"/>
                <w:highlight w:val="none"/>
              </w:rPr>
              <w:t>一、项目基本情况</w:t>
            </w:r>
          </w:p>
          <w:p>
            <w:pPr>
              <w:spacing w:line="360" w:lineRule="auto"/>
              <w:ind w:firstLine="482"/>
              <w:rPr>
                <w:rFonts w:ascii="宋体" w:hAnsi="宋体" w:cs="宋体"/>
                <w:sz w:val="24"/>
                <w:highlight w:val="none"/>
              </w:rPr>
            </w:pPr>
            <w:r>
              <w:rPr>
                <w:rFonts w:hint="eastAsia" w:ascii="宋体" w:hAnsi="宋体" w:eastAsia="宋体" w:cs="宋体"/>
                <w:color w:val="auto"/>
                <w:sz w:val="24"/>
                <w:szCs w:val="24"/>
                <w:highlight w:val="none"/>
                <w:lang w:eastAsia="zh-CN"/>
              </w:rPr>
              <w:t>宣威市羊场镇普瓦玉合采石场</w:t>
            </w:r>
            <w:r>
              <w:rPr>
                <w:rFonts w:hint="eastAsia" w:ascii="宋体" w:hAnsi="宋体" w:eastAsia="宋体" w:cs="宋体"/>
                <w:color w:val="auto"/>
                <w:sz w:val="24"/>
                <w:szCs w:val="24"/>
                <w:highlight w:val="none"/>
              </w:rPr>
              <w:t>位于宣威市城区</w:t>
            </w:r>
            <w:r>
              <w:rPr>
                <w:rFonts w:hint="eastAsia" w:ascii="宋体" w:hAnsi="宋体" w:eastAsia="宋体" w:cs="宋体"/>
                <w:color w:val="auto"/>
                <w:sz w:val="24"/>
                <w:szCs w:val="24"/>
                <w:highlight w:val="none"/>
                <w:lang w:val="en-US" w:eastAsia="zh-CN"/>
              </w:rPr>
              <w:t>166</w:t>
            </w:r>
            <w:r>
              <w:rPr>
                <w:rFonts w:hint="eastAsia" w:ascii="宋体" w:hAnsi="宋体" w:eastAsia="宋体" w:cs="宋体"/>
                <w:color w:val="auto"/>
                <w:sz w:val="24"/>
                <w:szCs w:val="24"/>
                <w:highlight w:val="none"/>
              </w:rPr>
              <w:t>°方向，平距约</w:t>
            </w:r>
            <w:r>
              <w:rPr>
                <w:rFonts w:hint="eastAsia" w:ascii="宋体" w:hAnsi="宋体" w:eastAsia="宋体" w:cs="宋体"/>
                <w:color w:val="auto"/>
                <w:sz w:val="24"/>
                <w:szCs w:val="24"/>
                <w:highlight w:val="none"/>
                <w:lang w:val="en-US" w:eastAsia="zh-CN"/>
              </w:rPr>
              <w:t>27</w:t>
            </w:r>
            <w:r>
              <w:rPr>
                <w:rFonts w:hint="eastAsia" w:ascii="宋体" w:hAnsi="宋体" w:eastAsia="宋体" w:cs="宋体"/>
                <w:color w:val="auto"/>
                <w:sz w:val="24"/>
                <w:szCs w:val="24"/>
                <w:highlight w:val="none"/>
              </w:rPr>
              <w:t>km，行政区划属宣威市</w:t>
            </w:r>
            <w:r>
              <w:rPr>
                <w:rFonts w:hint="eastAsia" w:ascii="宋体" w:hAnsi="宋体" w:eastAsia="宋体" w:cs="宋体"/>
                <w:color w:val="auto"/>
                <w:sz w:val="24"/>
                <w:szCs w:val="24"/>
                <w:highlight w:val="none"/>
                <w:lang w:val="en-US" w:eastAsia="zh-CN"/>
              </w:rPr>
              <w:t>羊场镇</w:t>
            </w:r>
            <w:r>
              <w:rPr>
                <w:rFonts w:hint="eastAsia" w:ascii="宋体" w:hAnsi="宋体" w:eastAsia="宋体" w:cs="宋体"/>
                <w:color w:val="auto"/>
                <w:sz w:val="24"/>
                <w:szCs w:val="24"/>
                <w:highlight w:val="none"/>
              </w:rPr>
              <w:t>管辖。</w:t>
            </w:r>
            <w:r>
              <w:rPr>
                <w:rFonts w:hint="eastAsia" w:ascii="宋体" w:hAnsi="宋体" w:cs="宋体"/>
                <w:bCs/>
                <w:color w:val="000000"/>
                <w:sz w:val="24"/>
                <w:highlight w:val="none"/>
              </w:rPr>
              <w:t>矿区地理坐标：</w:t>
            </w:r>
            <w:r>
              <w:rPr>
                <w:rFonts w:hint="eastAsia" w:ascii="宋体" w:hAnsi="宋体" w:eastAsia="宋体" w:cs="宋体"/>
                <w:sz w:val="24"/>
                <w:highlight w:val="none"/>
              </w:rPr>
              <w:t>东经104°13′13.</w:t>
            </w:r>
            <w:r>
              <w:rPr>
                <w:rFonts w:hint="eastAsia" w:ascii="宋体" w:hAnsi="宋体" w:eastAsia="宋体" w:cs="宋体"/>
                <w:sz w:val="24"/>
                <w:highlight w:val="none"/>
                <w:lang w:val="en-US" w:eastAsia="zh-CN"/>
              </w:rPr>
              <w:t>162</w:t>
            </w:r>
            <w:r>
              <w:rPr>
                <w:rFonts w:hint="eastAsia" w:ascii="宋体" w:hAnsi="宋体" w:eastAsia="宋体" w:cs="宋体"/>
                <w:sz w:val="24"/>
                <w:highlight w:val="none"/>
              </w:rPr>
              <w:t>″～104°13′32.</w:t>
            </w:r>
            <w:r>
              <w:rPr>
                <w:rFonts w:hint="eastAsia" w:ascii="宋体" w:hAnsi="宋体" w:eastAsia="宋体" w:cs="宋体"/>
                <w:sz w:val="24"/>
                <w:highlight w:val="none"/>
                <w:lang w:val="en-US" w:eastAsia="zh-CN"/>
              </w:rPr>
              <w:t>412</w:t>
            </w:r>
            <w:r>
              <w:rPr>
                <w:rFonts w:hint="eastAsia" w:ascii="宋体" w:hAnsi="宋体" w:eastAsia="宋体" w:cs="宋体"/>
                <w:sz w:val="24"/>
                <w:highlight w:val="none"/>
              </w:rPr>
              <w:t>″,北纬25°57′58.</w:t>
            </w:r>
            <w:r>
              <w:rPr>
                <w:rFonts w:hint="eastAsia" w:ascii="宋体" w:hAnsi="宋体" w:eastAsia="宋体" w:cs="宋体"/>
                <w:sz w:val="24"/>
                <w:highlight w:val="none"/>
                <w:lang w:val="en-US" w:eastAsia="zh-CN"/>
              </w:rPr>
              <w:t>107</w:t>
            </w:r>
            <w:r>
              <w:rPr>
                <w:rFonts w:hint="eastAsia" w:ascii="宋体" w:hAnsi="宋体" w:eastAsia="宋体" w:cs="宋体"/>
                <w:sz w:val="24"/>
                <w:highlight w:val="none"/>
              </w:rPr>
              <w:t>″～25°58′15.</w:t>
            </w:r>
            <w:r>
              <w:rPr>
                <w:rFonts w:hint="eastAsia" w:ascii="宋体" w:hAnsi="宋体" w:eastAsia="宋体" w:cs="宋体"/>
                <w:sz w:val="24"/>
                <w:highlight w:val="none"/>
                <w:lang w:val="en-US" w:eastAsia="zh-CN"/>
              </w:rPr>
              <w:t>247</w:t>
            </w:r>
            <w:r>
              <w:rPr>
                <w:rFonts w:hint="eastAsia" w:ascii="宋体" w:hAnsi="宋体" w:eastAsia="宋体" w:cs="宋体"/>
                <w:sz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宣威市羊场镇普瓦玉合采石场</w:t>
            </w:r>
            <w:r>
              <w:rPr>
                <w:rFonts w:hint="eastAsia" w:ascii="宋体" w:hAnsi="宋体" w:cs="宋体"/>
                <w:sz w:val="24"/>
                <w:highlight w:val="none"/>
              </w:rPr>
              <w:t>为</w:t>
            </w:r>
            <w:r>
              <w:rPr>
                <w:rFonts w:hint="eastAsia" w:ascii="宋体" w:hAnsi="宋体" w:cs="宋体"/>
                <w:sz w:val="24"/>
                <w:highlight w:val="none"/>
                <w:lang w:eastAsia="zh-CN"/>
              </w:rPr>
              <w:t>变更</w:t>
            </w:r>
            <w:r>
              <w:rPr>
                <w:rFonts w:hint="eastAsia" w:ascii="宋体" w:hAnsi="宋体" w:cs="宋体"/>
                <w:sz w:val="24"/>
                <w:highlight w:val="none"/>
              </w:rPr>
              <w:t>采矿权，矿区面积</w:t>
            </w:r>
            <w:r>
              <w:rPr>
                <w:rFonts w:hint="eastAsia" w:ascii="宋体" w:hAnsi="宋体" w:cs="宋体"/>
                <w:sz w:val="24"/>
                <w:highlight w:val="none"/>
                <w:lang w:val="en-US" w:eastAsia="zh-CN"/>
              </w:rPr>
              <w:t>0.1306</w:t>
            </w:r>
            <w:r>
              <w:rPr>
                <w:rFonts w:hint="eastAsia" w:ascii="宋体" w:hAnsi="宋体" w:cs="宋体"/>
                <w:sz w:val="24"/>
                <w:highlight w:val="none"/>
              </w:rPr>
              <w:t>km</w:t>
            </w:r>
            <w:r>
              <w:rPr>
                <w:rFonts w:hint="eastAsia" w:ascii="宋体" w:hAnsi="宋体" w:cs="宋体"/>
                <w:sz w:val="24"/>
                <w:highlight w:val="none"/>
                <w:vertAlign w:val="superscript"/>
              </w:rPr>
              <w:t>2</w:t>
            </w:r>
            <w:r>
              <w:rPr>
                <w:rFonts w:hint="eastAsia" w:ascii="宋体" w:hAnsi="宋体" w:cs="宋体"/>
                <w:sz w:val="24"/>
                <w:highlight w:val="none"/>
              </w:rPr>
              <w:t>，由</w:t>
            </w:r>
            <w:r>
              <w:rPr>
                <w:rFonts w:hint="eastAsia" w:ascii="宋体" w:hAnsi="宋体" w:cs="宋体"/>
                <w:sz w:val="24"/>
                <w:highlight w:val="none"/>
                <w:lang w:val="en-US" w:eastAsia="zh-CN"/>
              </w:rPr>
              <w:t>9</w:t>
            </w:r>
            <w:r>
              <w:rPr>
                <w:rFonts w:hint="eastAsia" w:ascii="宋体" w:hAnsi="宋体" w:cs="宋体"/>
                <w:sz w:val="24"/>
                <w:highlight w:val="none"/>
              </w:rPr>
              <w:t>个拐点圈定，开采标高</w:t>
            </w:r>
            <w:r>
              <w:rPr>
                <w:rFonts w:hint="eastAsia" w:ascii="宋体" w:hAnsi="宋体" w:cs="宋体"/>
                <w:sz w:val="24"/>
                <w:highlight w:val="none"/>
                <w:lang w:val="en-US" w:eastAsia="zh-CN"/>
              </w:rPr>
              <w:t>2100</w:t>
            </w:r>
            <w:r>
              <w:rPr>
                <w:rFonts w:hint="eastAsia" w:ascii="宋体" w:hAnsi="宋体" w:cs="宋体"/>
                <w:sz w:val="24"/>
                <w:highlight w:val="none"/>
              </w:rPr>
              <w:t>m至</w:t>
            </w:r>
            <w:r>
              <w:rPr>
                <w:rFonts w:hint="eastAsia" w:ascii="宋体" w:hAnsi="宋体" w:cs="宋体"/>
                <w:sz w:val="24"/>
                <w:highlight w:val="none"/>
                <w:lang w:val="en-US" w:eastAsia="zh-CN"/>
              </w:rPr>
              <w:t>1975</w:t>
            </w:r>
            <w:r>
              <w:rPr>
                <w:rFonts w:hint="eastAsia" w:ascii="宋体" w:hAnsi="宋体" w:cs="宋体"/>
                <w:sz w:val="24"/>
                <w:highlight w:val="none"/>
              </w:rPr>
              <w:t>m，规划开采规模70万t/a，开采矿种为建筑石料用灰岩，矿山规模为中型，开采方式为露天开采。本次编制方案的目的为办理采矿权的登记手续。</w:t>
            </w:r>
          </w:p>
          <w:p>
            <w:pPr>
              <w:spacing w:line="360" w:lineRule="auto"/>
              <w:ind w:firstLine="720" w:firstLineChars="300"/>
              <w:rPr>
                <w:rFonts w:ascii="宋体" w:hAnsi="宋体" w:cs="宋体"/>
                <w:b/>
                <w:bCs/>
                <w:color w:val="000000"/>
                <w:sz w:val="24"/>
                <w:highlight w:val="none"/>
              </w:rPr>
            </w:pPr>
            <w:r>
              <w:rPr>
                <w:rFonts w:hint="eastAsia" w:ascii="宋体" w:hAnsi="宋体" w:cs="宋体"/>
                <w:b/>
                <w:bCs/>
                <w:color w:val="000000"/>
                <w:sz w:val="24"/>
                <w:highlight w:val="none"/>
              </w:rPr>
              <w:t>二、矿山地质环境保护与恢复治理部分</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（一）《方案》由</w:t>
            </w:r>
            <w:r>
              <w:rPr>
                <w:rFonts w:hint="eastAsia" w:ascii="宋体" w:hAnsi="宋体" w:cs="宋体"/>
                <w:sz w:val="24"/>
                <w:highlight w:val="none"/>
              </w:rPr>
              <w:t>曲靖岩土工程勘测有限责任公司</w:t>
            </w:r>
            <w:r>
              <w:rPr>
                <w:rFonts w:hint="eastAsia" w:ascii="宋体" w:hAnsi="宋体" w:cs="宋体"/>
                <w:color w:val="000000"/>
                <w:sz w:val="24"/>
                <w:highlight w:val="none"/>
              </w:rPr>
              <w:t>编制，符合云自然资修复</w:t>
            </w:r>
            <w:r>
              <w:rPr>
                <w:rFonts w:ascii="Arial" w:hAnsi="Arial" w:eastAsia="宋体" w:cs="Arial"/>
                <w:i w:val="0"/>
                <w:iCs w:val="0"/>
                <w:caps w:val="0"/>
                <w:color w:val="000000"/>
                <w:spacing w:val="0"/>
                <w:sz w:val="24"/>
                <w:szCs w:val="24"/>
                <w:shd w:val="clear" w:fill="FFFFFF"/>
              </w:rPr>
              <w:t>〔2023〕</w:t>
            </w:r>
            <w:bookmarkStart w:id="0" w:name="_GoBack"/>
            <w:bookmarkEnd w:id="0"/>
            <w:r>
              <w:rPr>
                <w:rFonts w:hint="eastAsia" w:ascii="宋体" w:hAnsi="宋体" w:cs="宋体"/>
                <w:color w:val="000000"/>
                <w:sz w:val="24"/>
                <w:highlight w:val="none"/>
              </w:rPr>
              <w:t>321号文相关规定。</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二）方案对区内自然地理、地质环境条件进行了调查，对矿山开发利用方案、矿山生产现状、矿山地质环境保护与治理恢复现状和评估区地质环境条件进行了介绍，介绍较全面，可作为方案编制的基础。野外地质调查工作较翔实，能基本满足方案编制工作所需。方案编制工作程序合规，方案要件齐全。附图比例尺1:2000，精度满足要求。</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（三）评估区地质环境条件复杂程度为</w:t>
            </w:r>
            <w:r>
              <w:rPr>
                <w:rFonts w:hint="eastAsia" w:ascii="宋体" w:hAnsi="宋体" w:cs="宋体"/>
                <w:color w:val="000000"/>
                <w:sz w:val="24"/>
                <w:highlight w:val="none"/>
                <w:lang w:eastAsia="zh-CN"/>
              </w:rPr>
              <w:t>复杂</w:t>
            </w:r>
            <w:r>
              <w:rPr>
                <w:rFonts w:hint="eastAsia" w:ascii="宋体" w:hAnsi="宋体" w:cs="宋体"/>
                <w:color w:val="000000"/>
                <w:sz w:val="24"/>
                <w:highlight w:val="none"/>
              </w:rPr>
              <w:t>；矿山地质环境影响程度为重要，</w:t>
            </w:r>
            <w:r>
              <w:rPr>
                <w:rFonts w:hint="eastAsia" w:ascii="宋体" w:hAnsi="宋体" w:cs="宋体"/>
                <w:bCs/>
                <w:sz w:val="24"/>
                <w:highlight w:val="none"/>
              </w:rPr>
              <w:t>按一级精度进行评价，符合规范要求，评估面积</w:t>
            </w:r>
            <w:r>
              <w:rPr>
                <w:rFonts w:hint="eastAsia" w:ascii="宋体" w:hAnsi="宋体" w:cs="宋体"/>
                <w:sz w:val="24"/>
                <w:highlight w:val="none"/>
                <w:lang w:val="en-US" w:eastAsia="zh-CN"/>
              </w:rPr>
              <w:t>0.4452</w:t>
            </w:r>
            <w:r>
              <w:rPr>
                <w:rFonts w:hint="eastAsia" w:ascii="宋体" w:hAnsi="宋体" w:cs="宋体"/>
                <w:bCs/>
                <w:sz w:val="24"/>
                <w:highlight w:val="none"/>
              </w:rPr>
              <w:t>km</w:t>
            </w:r>
            <w:r>
              <w:rPr>
                <w:rFonts w:hint="eastAsia" w:ascii="宋体" w:hAnsi="宋体" w:cs="宋体"/>
                <w:bCs/>
                <w:sz w:val="24"/>
                <w:highlight w:val="none"/>
                <w:vertAlign w:val="superscript"/>
              </w:rPr>
              <w:t>2</w:t>
            </w:r>
            <w:r>
              <w:rPr>
                <w:rFonts w:hint="eastAsia" w:ascii="宋体" w:hAnsi="宋体" w:cs="宋体"/>
                <w:bCs/>
                <w:sz w:val="24"/>
                <w:highlight w:val="none"/>
              </w:rPr>
              <w:t>，基本满足评价工作的需要。</w:t>
            </w:r>
          </w:p>
          <w:p>
            <w:pPr>
              <w:spacing w:line="360" w:lineRule="auto"/>
              <w:ind w:firstLine="465"/>
              <w:rPr>
                <w:rFonts w:ascii="宋体" w:hAnsi="宋体" w:cs="宋体"/>
                <w:color w:val="000000"/>
                <w:sz w:val="24"/>
                <w:highlight w:val="none"/>
              </w:rPr>
            </w:pPr>
            <w:r>
              <w:rPr>
                <w:rFonts w:hint="eastAsia" w:ascii="宋体" w:hAnsi="宋体" w:cs="宋体"/>
                <w:color w:val="000000"/>
                <w:sz w:val="24"/>
                <w:highlight w:val="none"/>
              </w:rPr>
              <w:t>（四）</w:t>
            </w:r>
            <w:r>
              <w:rPr>
                <w:rFonts w:hint="eastAsia" w:ascii="宋体" w:hAnsi="宋体" w:cs="宋体"/>
                <w:sz w:val="24"/>
                <w:highlight w:val="none"/>
              </w:rPr>
              <w:t>经过实地调查，</w:t>
            </w:r>
            <w:r>
              <w:rPr>
                <w:rFonts w:hint="eastAsia" w:ascii="宋体" w:hAnsi="宋体" w:cs="宋体"/>
                <w:sz w:val="24"/>
                <w:highlight w:val="none"/>
                <w:lang w:eastAsia="zh-CN"/>
              </w:rPr>
              <w:t>评估区现状发育有一处不稳定斜坡，地质灾害弱发育，现状地质灾害危害性中等，危险性中等；既有采矿活动对土地资源、地下水资源、景观资源的影响或危害较轻。</w:t>
            </w:r>
            <w:r>
              <w:rPr>
                <w:rFonts w:hint="eastAsia" w:ascii="宋体" w:hAnsi="宋体" w:cs="宋体"/>
                <w:sz w:val="24"/>
                <w:highlight w:val="none"/>
              </w:rPr>
              <w:t>矿山生产建设和生产过程应引起高度重视，矿山建设适宜性为基本适宜。现状评估较客观，基本符合矿山实际。</w:t>
            </w:r>
          </w:p>
          <w:p>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（五）预测评估认为，矿山闭坑后将消除或减轻地质灾害隐患，最突出的地质环境问题一是严重破坏矿区地形地貌景观，二是大量压占土地资源。预测评估基本符合矿山实际。</w:t>
            </w:r>
          </w:p>
          <w:p>
            <w:pPr>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（六）本方案在现状评估和预测评估的基础上，将评估区划分为矿山地质环境</w:t>
            </w:r>
            <w:r>
              <w:rPr>
                <w:rFonts w:hint="eastAsia" w:ascii="宋体" w:hAnsi="宋体" w:cs="宋体"/>
                <w:sz w:val="24"/>
                <w:highlight w:val="none"/>
              </w:rPr>
              <w:t>影响</w:t>
            </w:r>
            <w:r>
              <w:rPr>
                <w:rFonts w:hint="eastAsia" w:ascii="宋体" w:hAnsi="宋体" w:eastAsia="宋体" w:cs="宋体"/>
                <w:color w:val="auto"/>
                <w:sz w:val="24"/>
                <w:szCs w:val="24"/>
                <w:highlight w:val="none"/>
                <w:lang w:val="en-US" w:eastAsia="zh-CN"/>
              </w:rPr>
              <w:t>较严重区</w:t>
            </w:r>
            <w:r>
              <w:rPr>
                <w:rFonts w:hint="eastAsia" w:ascii="宋体" w:hAnsi="宋体" w:eastAsia="宋体" w:cs="宋体"/>
                <w:color w:val="auto"/>
                <w:sz w:val="24"/>
                <w:szCs w:val="24"/>
                <w:highlight w:val="none"/>
                <w:lang w:val="pl-PL"/>
              </w:rPr>
              <w:t>（ii）</w:t>
            </w:r>
            <w:r>
              <w:rPr>
                <w:rFonts w:hint="eastAsia" w:ascii="宋体" w:hAnsi="宋体" w:eastAsia="宋体" w:cs="宋体"/>
                <w:color w:val="auto"/>
                <w:sz w:val="24"/>
                <w:szCs w:val="24"/>
                <w:highlight w:val="none"/>
                <w:lang w:val="en-US" w:eastAsia="zh-CN"/>
              </w:rPr>
              <w:t>和影响一般区（</w:t>
            </w:r>
            <w:r>
              <w:rPr>
                <w:rFonts w:hint="eastAsia" w:ascii="宋体" w:hAnsi="宋体" w:eastAsia="宋体" w:cs="宋体"/>
                <w:color w:val="auto"/>
                <w:sz w:val="24"/>
                <w:szCs w:val="24"/>
                <w:highlight w:val="none"/>
                <w:lang w:val="pl-PL"/>
              </w:rPr>
              <w:t>iii</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级</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区</w:t>
            </w:r>
            <w:r>
              <w:rPr>
                <w:rFonts w:hint="eastAsia" w:ascii="宋体" w:hAnsi="宋体" w:cs="宋体"/>
                <w:color w:val="000000"/>
                <w:sz w:val="24"/>
                <w:highlight w:val="none"/>
              </w:rPr>
              <w:t>，分级分区基本合理；将评估区划分为重点防治区（A）和一般防治区（C），分级分区基本合理；矿山地质环境保护方案服务年限为</w:t>
            </w:r>
            <w:r>
              <w:rPr>
                <w:rFonts w:hint="eastAsia" w:ascii="宋体" w:hAnsi="宋体" w:cs="宋体"/>
                <w:sz w:val="24"/>
                <w:highlight w:val="none"/>
                <w:lang w:val="en-US" w:eastAsia="zh-CN"/>
              </w:rPr>
              <w:t>28.6</w:t>
            </w:r>
            <w:r>
              <w:rPr>
                <w:rFonts w:hint="eastAsia" w:ascii="宋体" w:hAnsi="宋体" w:cs="宋体"/>
                <w:sz w:val="24"/>
                <w:highlight w:val="none"/>
              </w:rPr>
              <w:t>年（2024年0</w:t>
            </w:r>
            <w:r>
              <w:rPr>
                <w:rFonts w:hint="eastAsia" w:ascii="宋体" w:hAnsi="宋体" w:cs="宋体"/>
                <w:sz w:val="24"/>
                <w:highlight w:val="none"/>
                <w:lang w:val="en-US" w:eastAsia="zh-CN"/>
              </w:rPr>
              <w:t>4</w:t>
            </w:r>
            <w:r>
              <w:rPr>
                <w:rFonts w:hint="eastAsia" w:ascii="宋体" w:hAnsi="宋体" w:cs="宋体"/>
                <w:sz w:val="24"/>
                <w:highlight w:val="none"/>
              </w:rPr>
              <w:t>月～20</w:t>
            </w:r>
            <w:r>
              <w:rPr>
                <w:rFonts w:hint="eastAsia" w:ascii="宋体" w:hAnsi="宋体" w:cs="宋体"/>
                <w:sz w:val="24"/>
                <w:highlight w:val="none"/>
                <w:lang w:val="en-US" w:eastAsia="zh-CN"/>
              </w:rPr>
              <w:t>52</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月），方案的适用年限为5年（2024年0</w:t>
            </w:r>
            <w:r>
              <w:rPr>
                <w:rFonts w:hint="eastAsia" w:ascii="宋体" w:hAnsi="宋体" w:cs="宋体"/>
                <w:sz w:val="24"/>
                <w:highlight w:val="none"/>
                <w:lang w:val="en-US" w:eastAsia="zh-CN"/>
              </w:rPr>
              <w:t>4</w:t>
            </w:r>
            <w:r>
              <w:rPr>
                <w:rFonts w:hint="eastAsia" w:ascii="宋体" w:hAnsi="宋体" w:cs="宋体"/>
                <w:sz w:val="24"/>
                <w:highlight w:val="none"/>
              </w:rPr>
              <w:t>月至2029年0</w:t>
            </w:r>
            <w:r>
              <w:rPr>
                <w:rFonts w:hint="eastAsia" w:ascii="宋体" w:hAnsi="宋体" w:cs="宋体"/>
                <w:sz w:val="24"/>
                <w:highlight w:val="none"/>
                <w:lang w:val="en-US" w:eastAsia="zh-CN"/>
              </w:rPr>
              <w:t>4</w:t>
            </w:r>
            <w:r>
              <w:rPr>
                <w:rFonts w:hint="eastAsia" w:ascii="宋体" w:hAnsi="宋体" w:cs="宋体"/>
                <w:sz w:val="24"/>
                <w:highlight w:val="none"/>
              </w:rPr>
              <w:t>月）</w:t>
            </w:r>
            <w:r>
              <w:rPr>
                <w:rFonts w:hint="eastAsia" w:ascii="宋体" w:hAnsi="宋体" w:cs="宋体"/>
                <w:color w:val="000000"/>
                <w:sz w:val="24"/>
                <w:highlight w:val="none"/>
              </w:rPr>
              <w:t>是恰当的。综合评估结论客观。</w:t>
            </w:r>
          </w:p>
          <w:p>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（七）本方案制定的矿山地质环境保护方案包括工程措施、监测措施和管理措施，措施设计有一定针对性和可实施性。</w:t>
            </w:r>
          </w:p>
          <w:p>
            <w:pPr>
              <w:spacing w:line="360" w:lineRule="auto"/>
              <w:ind w:firstLine="482"/>
              <w:rPr>
                <w:rFonts w:ascii="宋体" w:hAnsi="宋体" w:cs="宋体"/>
                <w:color w:val="000000"/>
                <w:sz w:val="24"/>
                <w:highlight w:val="none"/>
              </w:rPr>
            </w:pPr>
            <w:r>
              <w:rPr>
                <w:rFonts w:hint="eastAsia" w:ascii="宋体" w:hAnsi="宋体" w:cs="宋体"/>
                <w:color w:val="000000"/>
                <w:sz w:val="24"/>
                <w:highlight w:val="none"/>
              </w:rPr>
              <w:t>（八）《方案》中矿山地质环境保护与治理恢复方案投资估算编制有据，计价计费基本合规，编制年限内估算</w:t>
            </w:r>
            <w:r>
              <w:rPr>
                <w:rFonts w:hint="eastAsia" w:ascii="宋体" w:hAnsi="宋体" w:cs="宋体"/>
                <w:sz w:val="24"/>
                <w:highlight w:val="none"/>
              </w:rPr>
              <w:t>静态总投资</w:t>
            </w:r>
            <w:r>
              <w:rPr>
                <w:rFonts w:hint="eastAsia" w:ascii="宋体" w:hAnsi="宋体" w:cs="宋体"/>
                <w:sz w:val="24"/>
                <w:highlight w:val="none"/>
                <w:lang w:val="en-US" w:eastAsia="zh-CN"/>
              </w:rPr>
              <w:t>110.27</w:t>
            </w:r>
            <w:r>
              <w:rPr>
                <w:rFonts w:hint="eastAsia" w:ascii="宋体" w:hAnsi="宋体" w:cs="宋体"/>
                <w:sz w:val="24"/>
                <w:highlight w:val="none"/>
              </w:rPr>
              <w:t>万元，其中方案适用年限（5年）静态总投资</w:t>
            </w:r>
            <w:r>
              <w:rPr>
                <w:rFonts w:hint="eastAsia" w:ascii="宋体" w:hAnsi="宋体" w:cs="宋体"/>
                <w:sz w:val="24"/>
                <w:highlight w:val="none"/>
                <w:lang w:val="en-US" w:eastAsia="zh-CN"/>
              </w:rPr>
              <w:t>63.48</w:t>
            </w:r>
            <w:r>
              <w:rPr>
                <w:rFonts w:hint="eastAsia" w:ascii="宋体" w:hAnsi="宋体" w:cs="宋体"/>
                <w:sz w:val="24"/>
                <w:highlight w:val="none"/>
              </w:rPr>
              <w:t>万元。动态总投资为</w:t>
            </w:r>
            <w:r>
              <w:rPr>
                <w:rFonts w:hint="eastAsia" w:ascii="宋体" w:hAnsi="宋体" w:cs="宋体"/>
                <w:bCs/>
                <w:sz w:val="24"/>
                <w:highlight w:val="none"/>
                <w:lang w:val="en-US" w:eastAsia="zh-CN"/>
              </w:rPr>
              <w:t>132.59</w:t>
            </w:r>
            <w:r>
              <w:rPr>
                <w:rFonts w:hint="eastAsia" w:ascii="宋体" w:hAnsi="宋体" w:cs="宋体"/>
                <w:sz w:val="24"/>
                <w:highlight w:val="none"/>
              </w:rPr>
              <w:t>万元。其中方案适用期（5年）内动态投资为</w:t>
            </w:r>
            <w:r>
              <w:rPr>
                <w:rFonts w:hint="eastAsia" w:ascii="宋体" w:hAnsi="宋体" w:cs="宋体"/>
                <w:bCs/>
                <w:sz w:val="24"/>
                <w:highlight w:val="none"/>
                <w:lang w:val="en-US" w:eastAsia="zh-CN"/>
              </w:rPr>
              <w:t>71.24</w:t>
            </w:r>
            <w:r>
              <w:rPr>
                <w:rFonts w:hint="eastAsia" w:ascii="宋体" w:hAnsi="宋体" w:cs="宋体"/>
                <w:sz w:val="24"/>
                <w:highlight w:val="none"/>
              </w:rPr>
              <w:t>万元。</w:t>
            </w:r>
            <w:r>
              <w:rPr>
                <w:rFonts w:hint="eastAsia" w:ascii="宋体" w:hAnsi="宋体" w:cs="宋体"/>
                <w:color w:val="000000"/>
                <w:sz w:val="24"/>
                <w:highlight w:val="none"/>
              </w:rPr>
              <w:t>估算结果较合理。</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综上所述：该《方案》编制基本符合有关文件及技术规范、标准的要求，相关分析依据充分，结论基本准确，采用方法、手段及完成实物工作量基本满足评估要求。采取的预防措施、工程措施基本可行，投资估（概）算结果基本准确，拟定的工作计划实施基本合理，基本达到了规范要求，专家组同意《方案》通过评审。编制单位已按专家组意见认真作了修改完善，可以按规定程序上报备案和提供使用。</w:t>
            </w:r>
          </w:p>
          <w:p>
            <w:pPr>
              <w:spacing w:line="360" w:lineRule="auto"/>
              <w:ind w:firstLine="598" w:firstLineChars="249"/>
              <w:rPr>
                <w:rFonts w:ascii="宋体" w:hAnsi="宋体" w:cs="宋体"/>
                <w:b/>
                <w:bCs/>
                <w:color w:val="000000"/>
                <w:sz w:val="24"/>
                <w:highlight w:val="none"/>
              </w:rPr>
            </w:pPr>
            <w:r>
              <w:rPr>
                <w:rFonts w:hint="eastAsia" w:ascii="宋体" w:hAnsi="宋体" w:cs="宋体"/>
                <w:b/>
                <w:bCs/>
                <w:color w:val="000000"/>
                <w:sz w:val="24"/>
                <w:highlight w:val="none"/>
              </w:rPr>
              <w:t>三、土地复垦部分</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一）本《方案》编制格式符合要求，内容较为齐全；调查研究与数据处理方法正确，数据基本可信；提出的土地复垦工程措施和生物措施基本可行；复垦费用估（概）算依据较充分，测算基本合理，可作为指导企业开展土地复垦工作的依据。</w:t>
            </w:r>
          </w:p>
          <w:p>
            <w:pPr>
              <w:spacing w:line="360" w:lineRule="auto"/>
              <w:jc w:val="left"/>
              <w:rPr>
                <w:rFonts w:ascii="宋体" w:hAnsi="宋体" w:cs="宋体"/>
                <w:sz w:val="24"/>
                <w:highlight w:val="none"/>
              </w:rPr>
            </w:pPr>
            <w:r>
              <w:rPr>
                <w:rFonts w:hint="eastAsia" w:ascii="宋体" w:hAnsi="宋体" w:cs="宋体"/>
                <w:sz w:val="24"/>
                <w:highlight w:val="none"/>
              </w:rPr>
              <w:t>（二）原则同意《方案》中关于宣威市土投矿业有限公司宣威市羊场镇普瓦玉合采石场矿山地质环境保护与土地复垦方案损毁土地的预测和分析。本项目损毁土地总面积为</w:t>
            </w:r>
            <w:r>
              <w:rPr>
                <w:rFonts w:hint="eastAsia" w:ascii="宋体" w:hAnsi="宋体" w:cs="宋体"/>
                <w:sz w:val="24"/>
                <w:highlight w:val="none"/>
                <w:lang w:val="en-US" w:eastAsia="zh-CN"/>
              </w:rPr>
              <w:t>13.5807</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，其中旱地（0103）</w:t>
            </w:r>
            <w:r>
              <w:rPr>
                <w:rFonts w:hint="eastAsia" w:ascii="宋体" w:hAnsi="宋体" w:cs="宋体"/>
                <w:sz w:val="24"/>
                <w:highlight w:val="none"/>
                <w:lang w:val="en-US" w:eastAsia="zh-CN"/>
              </w:rPr>
              <w:t>0.4838</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w:t>
            </w:r>
            <w:r>
              <w:rPr>
                <w:rFonts w:hint="eastAsia" w:ascii="宋体" w:hAnsi="宋体" w:cs="宋体"/>
                <w:sz w:val="24"/>
                <w:highlight w:val="none"/>
                <w:lang w:eastAsia="zh-CN"/>
              </w:rPr>
              <w:t>灌</w:t>
            </w:r>
            <w:r>
              <w:rPr>
                <w:rFonts w:hint="eastAsia" w:ascii="宋体" w:hAnsi="宋体" w:cs="宋体"/>
                <w:sz w:val="24"/>
                <w:highlight w:val="none"/>
              </w:rPr>
              <w:t>木林地（030</w:t>
            </w:r>
            <w:r>
              <w:rPr>
                <w:rFonts w:hint="eastAsia" w:ascii="宋体" w:hAnsi="宋体" w:cs="宋体"/>
                <w:sz w:val="24"/>
                <w:highlight w:val="none"/>
                <w:lang w:val="en-US" w:eastAsia="zh-CN"/>
              </w:rPr>
              <w:t>5</w:t>
            </w:r>
            <w:r>
              <w:rPr>
                <w:rFonts w:hint="eastAsia" w:ascii="宋体" w:hAnsi="宋体" w:cs="宋体"/>
                <w:sz w:val="24"/>
                <w:highlight w:val="none"/>
              </w:rPr>
              <w:t>）</w:t>
            </w:r>
            <w:r>
              <w:rPr>
                <w:rFonts w:hint="eastAsia" w:ascii="宋体" w:hAnsi="宋体" w:cs="宋体"/>
                <w:sz w:val="24"/>
                <w:highlight w:val="none"/>
                <w:lang w:val="en-US" w:eastAsia="zh-CN"/>
              </w:rPr>
              <w:t>10.6104</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裸岩石砾地</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1207</w:t>
            </w:r>
            <w:r>
              <w:rPr>
                <w:rFonts w:hint="eastAsia" w:ascii="宋体" w:hAnsi="宋体" w:eastAsia="宋体" w:cs="宋体"/>
                <w:sz w:val="24"/>
                <w:highlight w:val="none"/>
              </w:rPr>
              <w:t>）</w:t>
            </w:r>
            <w:r>
              <w:rPr>
                <w:rFonts w:hint="eastAsia" w:ascii="宋体" w:hAnsi="宋体" w:eastAsia="宋体" w:cs="宋体"/>
                <w:sz w:val="24"/>
                <w:highlight w:val="none"/>
                <w:lang w:val="en-US" w:eastAsia="zh-CN"/>
              </w:rPr>
              <w:t>0.3885</w:t>
            </w:r>
            <w:r>
              <w:rPr>
                <w:rFonts w:hint="eastAsia" w:ascii="宋体" w:hAnsi="宋体" w:eastAsia="宋体" w:cs="宋体"/>
                <w:sz w:val="24"/>
                <w:highlight w:val="none"/>
              </w:rPr>
              <w:t>hm</w:t>
            </w:r>
            <w:r>
              <w:rPr>
                <w:rFonts w:hint="eastAsia" w:ascii="宋体" w:hAnsi="宋体" w:eastAsia="宋体" w:cs="宋体"/>
                <w:sz w:val="24"/>
                <w:highlight w:val="none"/>
                <w:vertAlign w:val="superscript"/>
              </w:rPr>
              <w:t>2</w:t>
            </w:r>
            <w:r>
              <w:rPr>
                <w:rFonts w:hint="eastAsia" w:ascii="宋体" w:hAnsi="宋体" w:eastAsia="宋体" w:cs="宋体"/>
                <w:sz w:val="24"/>
                <w:highlight w:val="none"/>
              </w:rPr>
              <w:t>、采矿用地（062）</w:t>
            </w:r>
            <w:r>
              <w:rPr>
                <w:rFonts w:hint="eastAsia" w:ascii="宋体" w:hAnsi="宋体" w:eastAsia="宋体" w:cs="宋体"/>
                <w:sz w:val="24"/>
                <w:highlight w:val="none"/>
                <w:lang w:val="en-US" w:eastAsia="zh-CN"/>
              </w:rPr>
              <w:t>1.9467</w:t>
            </w:r>
            <w:r>
              <w:rPr>
                <w:rFonts w:hint="eastAsia" w:ascii="宋体" w:hAnsi="宋体" w:eastAsia="宋体" w:cs="宋体"/>
                <w:sz w:val="24"/>
                <w:highlight w:val="none"/>
              </w:rPr>
              <w:t>hm</w:t>
            </w:r>
            <w:r>
              <w:rPr>
                <w:rFonts w:hint="eastAsia" w:ascii="宋体" w:hAnsi="宋体" w:eastAsia="宋体" w:cs="宋体"/>
                <w:sz w:val="24"/>
                <w:highlight w:val="none"/>
                <w:vertAlign w:val="superscript"/>
              </w:rPr>
              <w:t>2</w:t>
            </w:r>
            <w:r>
              <w:rPr>
                <w:rFonts w:hint="eastAsia" w:ascii="宋体" w:hAnsi="宋体" w:eastAsia="宋体" w:cs="宋体"/>
                <w:sz w:val="24"/>
                <w:highlight w:val="none"/>
              </w:rPr>
              <w:t>、农村道路（1006）</w:t>
            </w:r>
            <w:r>
              <w:rPr>
                <w:rFonts w:hint="eastAsia" w:ascii="宋体" w:hAnsi="宋体" w:eastAsia="宋体" w:cs="宋体"/>
                <w:sz w:val="24"/>
                <w:highlight w:val="none"/>
                <w:lang w:val="en-US" w:eastAsia="zh-CN"/>
              </w:rPr>
              <w:t>0.1513</w:t>
            </w:r>
            <w:r>
              <w:rPr>
                <w:rFonts w:hint="eastAsia" w:ascii="宋体" w:hAnsi="宋体" w:eastAsia="宋体" w:cs="宋体"/>
                <w:sz w:val="24"/>
                <w:highlight w:val="none"/>
              </w:rPr>
              <w:t>hm</w:t>
            </w:r>
            <w:r>
              <w:rPr>
                <w:rFonts w:hint="eastAsia" w:ascii="宋体" w:hAnsi="宋体" w:eastAsia="宋体" w:cs="宋体"/>
                <w:sz w:val="24"/>
                <w:highlight w:val="none"/>
                <w:vertAlign w:val="superscript"/>
              </w:rPr>
              <w:t>2</w:t>
            </w:r>
            <w:r>
              <w:rPr>
                <w:rFonts w:hint="eastAsia" w:ascii="宋体" w:hAnsi="宋体" w:eastAsia="宋体" w:cs="宋体"/>
                <w:sz w:val="24"/>
                <w:highlight w:val="none"/>
              </w:rPr>
              <w:t>；损</w:t>
            </w:r>
            <w:r>
              <w:rPr>
                <w:rFonts w:hint="eastAsia" w:ascii="宋体" w:hAnsi="宋体" w:cs="宋体"/>
                <w:sz w:val="24"/>
                <w:highlight w:val="none"/>
              </w:rPr>
              <w:t>毁土地方式为压占和挖损，按损毁土地方式统计，压占损毁土地面积</w:t>
            </w:r>
            <w:r>
              <w:rPr>
                <w:rFonts w:hint="eastAsia" w:ascii="宋体" w:hAnsi="宋体" w:cs="宋体"/>
                <w:sz w:val="24"/>
                <w:highlight w:val="none"/>
                <w:lang w:val="en-US" w:eastAsia="zh-CN"/>
              </w:rPr>
              <w:t>0.6444</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、挖损损毁土地面积</w:t>
            </w:r>
            <w:r>
              <w:rPr>
                <w:rFonts w:hint="eastAsia" w:ascii="宋体" w:hAnsi="宋体" w:cs="宋体"/>
                <w:sz w:val="24"/>
                <w:highlight w:val="none"/>
                <w:lang w:val="en-US" w:eastAsia="zh-CN"/>
              </w:rPr>
              <w:t>12.9363</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；按损毁土地程度统计，轻度损毁土地面积</w:t>
            </w:r>
            <w:r>
              <w:rPr>
                <w:rFonts w:hint="eastAsia" w:ascii="宋体" w:hAnsi="宋体" w:cs="宋体"/>
                <w:sz w:val="24"/>
                <w:highlight w:val="none"/>
                <w:lang w:val="en-US" w:eastAsia="zh-CN"/>
              </w:rPr>
              <w:t>0.4822</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、中度损毁土地面积</w:t>
            </w:r>
            <w:r>
              <w:rPr>
                <w:rFonts w:hint="eastAsia" w:ascii="宋体" w:hAnsi="宋体" w:cs="宋体"/>
                <w:sz w:val="24"/>
                <w:highlight w:val="none"/>
                <w:lang w:val="en-US" w:eastAsia="zh-CN"/>
              </w:rPr>
              <w:t>0.1622</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、重度损毁土地面积</w:t>
            </w:r>
            <w:r>
              <w:rPr>
                <w:rFonts w:hint="eastAsia" w:ascii="宋体" w:hAnsi="宋体" w:cs="宋体"/>
                <w:sz w:val="24"/>
                <w:highlight w:val="none"/>
                <w:lang w:val="en-US" w:eastAsia="zh-CN"/>
              </w:rPr>
              <w:t>12.9363</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。涉及土地权属为</w:t>
            </w:r>
            <w:r>
              <w:rPr>
                <w:rFonts w:hint="eastAsia" w:ascii="宋体" w:hAnsi="宋体" w:cs="宋体"/>
                <w:sz w:val="24"/>
                <w:highlight w:val="none"/>
                <w:lang w:eastAsia="zh-CN"/>
              </w:rPr>
              <w:t>羊</w:t>
            </w:r>
            <w:r>
              <w:rPr>
                <w:rFonts w:hint="eastAsia" w:ascii="宋体" w:hAnsi="宋体" w:cs="宋体"/>
                <w:sz w:val="24"/>
                <w:highlight w:val="none"/>
              </w:rPr>
              <w:t>场镇</w:t>
            </w:r>
            <w:r>
              <w:rPr>
                <w:rFonts w:hint="eastAsia" w:ascii="宋体" w:hAnsi="宋体" w:cs="宋体"/>
                <w:sz w:val="24"/>
                <w:highlight w:val="none"/>
                <w:lang w:eastAsia="zh-CN"/>
              </w:rPr>
              <w:t>普瓦</w:t>
            </w:r>
            <w:r>
              <w:rPr>
                <w:rFonts w:hint="eastAsia" w:ascii="宋体" w:hAnsi="宋体" w:cs="宋体"/>
                <w:sz w:val="24"/>
                <w:highlight w:val="none"/>
              </w:rPr>
              <w:t>村民委员会。</w:t>
            </w:r>
          </w:p>
          <w:p>
            <w:pPr>
              <w:adjustRightInd w:val="0"/>
              <w:spacing w:line="360" w:lineRule="auto"/>
              <w:ind w:firstLine="480" w:firstLineChars="200"/>
              <w:rPr>
                <w:rFonts w:ascii="宋体" w:hAnsi="宋体" w:cs="宋体"/>
                <w:sz w:val="24"/>
                <w:highlight w:val="none"/>
              </w:rPr>
            </w:pPr>
            <w:r>
              <w:rPr>
                <w:rFonts w:hint="eastAsia" w:ascii="宋体" w:hAnsi="宋体" w:cs="宋体"/>
                <w:sz w:val="24"/>
                <w:highlight w:val="none"/>
              </w:rPr>
              <w:t>复垦责任范围面积</w:t>
            </w:r>
            <w:r>
              <w:rPr>
                <w:rFonts w:hint="eastAsia" w:ascii="宋体" w:hAnsi="宋体" w:cs="宋体"/>
                <w:bCs/>
                <w:sz w:val="24"/>
                <w:highlight w:val="none"/>
                <w:lang w:val="en-US" w:eastAsia="zh-CN"/>
              </w:rPr>
              <w:t>13.5807</w:t>
            </w:r>
            <w:r>
              <w:rPr>
                <w:rFonts w:hint="eastAsia" w:ascii="宋体" w:hAnsi="宋体" w:cs="宋体"/>
                <w:kern w:val="0"/>
                <w:sz w:val="24"/>
                <w:highlight w:val="none"/>
                <w:lang w:bidi="ar"/>
              </w:rPr>
              <w:t>hm</w:t>
            </w:r>
            <w:r>
              <w:rPr>
                <w:rFonts w:hint="eastAsia" w:ascii="宋体" w:hAnsi="宋体" w:cs="宋体"/>
                <w:kern w:val="0"/>
                <w:sz w:val="24"/>
                <w:highlight w:val="none"/>
                <w:vertAlign w:val="superscript"/>
                <w:lang w:bidi="ar"/>
              </w:rPr>
              <w:t>2</w:t>
            </w:r>
            <w:r>
              <w:rPr>
                <w:rFonts w:hint="eastAsia" w:ascii="宋体" w:hAnsi="宋体" w:cs="宋体"/>
                <w:sz w:val="24"/>
                <w:highlight w:val="none"/>
              </w:rPr>
              <w:t>，作为复垦配套设施保留面积</w:t>
            </w:r>
            <w:r>
              <w:rPr>
                <w:rFonts w:hint="eastAsia" w:ascii="宋体" w:hAnsi="宋体" w:cs="宋体"/>
                <w:sz w:val="24"/>
                <w:highlight w:val="none"/>
                <w:lang w:val="en-US" w:eastAsia="zh-CN"/>
              </w:rPr>
              <w:t>0.1634</w:t>
            </w:r>
            <w:r>
              <w:rPr>
                <w:rFonts w:hint="eastAsia" w:ascii="宋体" w:hAnsi="宋体" w:cs="宋体"/>
                <w:kern w:val="0"/>
                <w:sz w:val="24"/>
                <w:highlight w:val="none"/>
                <w:lang w:bidi="ar"/>
              </w:rPr>
              <w:t>hm</w:t>
            </w:r>
            <w:r>
              <w:rPr>
                <w:rFonts w:hint="eastAsia" w:ascii="宋体" w:hAnsi="宋体" w:cs="宋体"/>
                <w:kern w:val="0"/>
                <w:sz w:val="24"/>
                <w:highlight w:val="none"/>
                <w:vertAlign w:val="superscript"/>
                <w:lang w:bidi="ar"/>
              </w:rPr>
              <w:t>2</w:t>
            </w:r>
            <w:r>
              <w:rPr>
                <w:rFonts w:hint="eastAsia" w:ascii="宋体" w:hAnsi="宋体" w:cs="宋体"/>
                <w:sz w:val="24"/>
                <w:highlight w:val="none"/>
              </w:rPr>
              <w:t>，最终确定复垦土地面积</w:t>
            </w:r>
            <w:r>
              <w:rPr>
                <w:rFonts w:hint="eastAsia" w:ascii="宋体" w:hAnsi="宋体" w:cs="宋体"/>
                <w:bCs/>
                <w:sz w:val="24"/>
                <w:highlight w:val="none"/>
                <w:lang w:val="en-US" w:eastAsia="zh-CN"/>
              </w:rPr>
              <w:t>13.4173</w:t>
            </w:r>
            <w:r>
              <w:rPr>
                <w:rFonts w:hint="eastAsia" w:ascii="宋体" w:hAnsi="宋体" w:cs="宋体"/>
                <w:kern w:val="0"/>
                <w:sz w:val="24"/>
                <w:highlight w:val="none"/>
                <w:lang w:bidi="ar"/>
              </w:rPr>
              <w:t>hm</w:t>
            </w:r>
            <w:r>
              <w:rPr>
                <w:rFonts w:hint="eastAsia" w:ascii="宋体" w:hAnsi="宋体" w:cs="宋体"/>
                <w:kern w:val="0"/>
                <w:sz w:val="24"/>
                <w:highlight w:val="none"/>
                <w:vertAlign w:val="superscript"/>
                <w:lang w:bidi="ar"/>
              </w:rPr>
              <w:t>2</w:t>
            </w:r>
            <w:r>
              <w:rPr>
                <w:rFonts w:hint="eastAsia" w:ascii="宋体" w:hAnsi="宋体" w:cs="宋体"/>
                <w:sz w:val="24"/>
                <w:highlight w:val="none"/>
              </w:rPr>
              <w:t>。</w:t>
            </w:r>
          </w:p>
          <w:p>
            <w:pPr>
              <w:spacing w:line="360" w:lineRule="auto"/>
              <w:ind w:firstLine="482"/>
              <w:rPr>
                <w:rFonts w:ascii="宋体" w:hAnsi="宋体" w:cs="宋体"/>
                <w:sz w:val="24"/>
                <w:highlight w:val="none"/>
              </w:rPr>
            </w:pPr>
            <w:r>
              <w:rPr>
                <w:rFonts w:hint="eastAsia" w:ascii="宋体" w:hAnsi="宋体" w:cs="宋体"/>
                <w:sz w:val="24"/>
                <w:highlight w:val="none"/>
              </w:rPr>
              <w:t>（三）原则同意本项目制定的复垦目标和任务，土地复垦适宜性评价过程和结果基本可信。矿山土地复垦方案服务年限为</w:t>
            </w:r>
            <w:r>
              <w:rPr>
                <w:rFonts w:hint="eastAsia" w:ascii="宋体" w:hAnsi="宋体" w:cs="宋体"/>
                <w:sz w:val="24"/>
                <w:highlight w:val="none"/>
                <w:lang w:val="en-US" w:eastAsia="zh-CN"/>
              </w:rPr>
              <w:t>28.6</w:t>
            </w:r>
            <w:r>
              <w:rPr>
                <w:rFonts w:hint="eastAsia" w:ascii="宋体" w:hAnsi="宋体" w:cs="宋体"/>
                <w:sz w:val="24"/>
                <w:highlight w:val="none"/>
              </w:rPr>
              <w:t>年（2024年0</w:t>
            </w:r>
            <w:r>
              <w:rPr>
                <w:rFonts w:hint="eastAsia" w:ascii="宋体" w:hAnsi="宋体" w:cs="宋体"/>
                <w:sz w:val="24"/>
                <w:highlight w:val="none"/>
                <w:lang w:val="en-US" w:eastAsia="zh-CN"/>
              </w:rPr>
              <w:t>4</w:t>
            </w:r>
            <w:r>
              <w:rPr>
                <w:rFonts w:hint="eastAsia" w:ascii="宋体" w:hAnsi="宋体" w:cs="宋体"/>
                <w:sz w:val="24"/>
                <w:highlight w:val="none"/>
              </w:rPr>
              <w:t>月－20</w:t>
            </w:r>
            <w:r>
              <w:rPr>
                <w:rFonts w:hint="eastAsia" w:ascii="宋体" w:hAnsi="宋体" w:cs="宋体"/>
                <w:sz w:val="24"/>
                <w:highlight w:val="none"/>
                <w:lang w:val="en-US" w:eastAsia="zh-CN"/>
              </w:rPr>
              <w:t>52</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月），方案的适用年限为5年（2024年0</w:t>
            </w:r>
            <w:r>
              <w:rPr>
                <w:rFonts w:hint="eastAsia" w:ascii="宋体" w:hAnsi="宋体" w:cs="宋体"/>
                <w:sz w:val="24"/>
                <w:highlight w:val="none"/>
                <w:lang w:val="en-US" w:eastAsia="zh-CN"/>
              </w:rPr>
              <w:t>4</w:t>
            </w:r>
            <w:r>
              <w:rPr>
                <w:rFonts w:hint="eastAsia" w:ascii="宋体" w:hAnsi="宋体" w:cs="宋体"/>
                <w:sz w:val="24"/>
                <w:highlight w:val="none"/>
              </w:rPr>
              <w:t>月至2029年0</w:t>
            </w:r>
            <w:r>
              <w:rPr>
                <w:rFonts w:hint="eastAsia" w:ascii="宋体" w:hAnsi="宋体" w:cs="宋体"/>
                <w:sz w:val="24"/>
                <w:highlight w:val="none"/>
                <w:lang w:val="en-US" w:eastAsia="zh-CN"/>
              </w:rPr>
              <w:t>4</w:t>
            </w:r>
            <w:r>
              <w:rPr>
                <w:rFonts w:hint="eastAsia" w:ascii="宋体" w:hAnsi="宋体" w:cs="宋体"/>
                <w:sz w:val="24"/>
                <w:highlight w:val="none"/>
              </w:rPr>
              <w:t>月）。规划复垦总面积</w:t>
            </w:r>
            <w:r>
              <w:rPr>
                <w:rFonts w:hint="eastAsia" w:ascii="宋体" w:hAnsi="宋体" w:cs="宋体"/>
                <w:bCs/>
                <w:sz w:val="24"/>
                <w:highlight w:val="none"/>
                <w:lang w:val="en-US" w:eastAsia="zh-CN"/>
              </w:rPr>
              <w:t>13.4173</w:t>
            </w:r>
            <w:r>
              <w:rPr>
                <w:rFonts w:hint="eastAsia" w:ascii="宋体" w:hAnsi="宋体" w:cs="宋体"/>
                <w:sz w:val="24"/>
                <w:highlight w:val="none"/>
              </w:rPr>
              <w:t>公顷（已复垦0公顷），复垦为旱地</w:t>
            </w:r>
            <w:r>
              <w:rPr>
                <w:rFonts w:hint="eastAsia" w:ascii="宋体" w:hAnsi="宋体" w:cs="宋体"/>
                <w:bCs/>
                <w:sz w:val="24"/>
                <w:highlight w:val="none"/>
                <w:lang w:val="en-US" w:eastAsia="zh-CN"/>
              </w:rPr>
              <w:t>0.5562</w:t>
            </w:r>
            <w:r>
              <w:rPr>
                <w:rFonts w:hint="eastAsia" w:ascii="宋体" w:hAnsi="宋体" w:cs="宋体"/>
                <w:sz w:val="24"/>
                <w:highlight w:val="none"/>
              </w:rPr>
              <w:t>hm</w:t>
            </w:r>
            <w:r>
              <w:rPr>
                <w:rFonts w:hint="eastAsia" w:ascii="宋体" w:hAnsi="宋体" w:cs="宋体"/>
                <w:sz w:val="24"/>
                <w:highlight w:val="none"/>
                <w:vertAlign w:val="superscript"/>
              </w:rPr>
              <w:t>2</w:t>
            </w:r>
            <w:r>
              <w:rPr>
                <w:rFonts w:hint="eastAsia" w:ascii="宋体" w:hAnsi="宋体" w:cs="宋体"/>
                <w:sz w:val="24"/>
                <w:highlight w:val="none"/>
              </w:rPr>
              <w:t>、复垦为</w:t>
            </w:r>
            <w:r>
              <w:rPr>
                <w:rFonts w:hint="eastAsia" w:ascii="宋体" w:hAnsi="宋体" w:cs="宋体"/>
                <w:bCs/>
                <w:sz w:val="24"/>
                <w:highlight w:val="none"/>
              </w:rPr>
              <w:t>乔木林地</w:t>
            </w:r>
            <w:r>
              <w:rPr>
                <w:rFonts w:hint="eastAsia" w:ascii="宋体" w:hAnsi="宋体" w:cs="宋体"/>
                <w:bCs/>
                <w:sz w:val="24"/>
                <w:highlight w:val="none"/>
                <w:lang w:val="en-US" w:eastAsia="zh-CN"/>
              </w:rPr>
              <w:t>12.8611</w:t>
            </w:r>
            <w:r>
              <w:rPr>
                <w:rFonts w:hint="eastAsia" w:ascii="宋体" w:hAnsi="宋体" w:cs="宋体"/>
                <w:bCs/>
                <w:sz w:val="24"/>
                <w:highlight w:val="none"/>
              </w:rPr>
              <w:t>hm</w:t>
            </w:r>
            <w:r>
              <w:rPr>
                <w:rFonts w:hint="eastAsia" w:ascii="宋体" w:hAnsi="宋体" w:cs="宋体"/>
                <w:bCs/>
                <w:sz w:val="24"/>
                <w:highlight w:val="none"/>
                <w:vertAlign w:val="superscript"/>
              </w:rPr>
              <w:t>2</w:t>
            </w:r>
            <w:r>
              <w:rPr>
                <w:rFonts w:hint="eastAsia" w:ascii="宋体" w:hAnsi="宋体" w:cs="宋体"/>
                <w:bCs/>
                <w:sz w:val="24"/>
                <w:highlight w:val="none"/>
              </w:rPr>
              <w:t>，</w:t>
            </w:r>
            <w:r>
              <w:rPr>
                <w:rFonts w:hint="eastAsia" w:ascii="宋体" w:hAnsi="宋体" w:cs="宋体"/>
                <w:bCs/>
                <w:sz w:val="24"/>
                <w:highlight w:val="none"/>
                <w:lang w:val="zh-CN"/>
              </w:rPr>
              <w:t>土地复垦率为</w:t>
            </w:r>
            <w:r>
              <w:rPr>
                <w:rFonts w:hint="eastAsia" w:ascii="宋体" w:hAnsi="宋体" w:cs="宋体"/>
                <w:bCs/>
                <w:sz w:val="24"/>
                <w:highlight w:val="none"/>
              </w:rPr>
              <w:t>9</w:t>
            </w:r>
            <w:r>
              <w:rPr>
                <w:rFonts w:hint="eastAsia" w:ascii="宋体" w:hAnsi="宋体" w:cs="宋体"/>
                <w:bCs/>
                <w:sz w:val="24"/>
                <w:highlight w:val="none"/>
                <w:lang w:val="en-US" w:eastAsia="zh-CN"/>
              </w:rPr>
              <w:t>8.80</w:t>
            </w:r>
            <w:r>
              <w:rPr>
                <w:rFonts w:hint="eastAsia" w:ascii="宋体" w:hAnsi="宋体" w:cs="宋体"/>
                <w:bCs/>
                <w:sz w:val="24"/>
                <w:highlight w:val="none"/>
                <w:lang w:val="zh-CN"/>
              </w:rPr>
              <w:t>%。</w:t>
            </w:r>
          </w:p>
          <w:p>
            <w:pPr>
              <w:spacing w:line="360" w:lineRule="auto"/>
              <w:rPr>
                <w:rFonts w:ascii="宋体" w:hAnsi="宋体" w:cs="宋体"/>
                <w:color w:val="000000"/>
                <w:sz w:val="24"/>
                <w:highlight w:val="none"/>
              </w:rPr>
            </w:pPr>
            <w:r>
              <w:rPr>
                <w:rFonts w:hint="eastAsia" w:ascii="宋体" w:hAnsi="宋体" w:cs="宋体"/>
                <w:color w:val="FF0000"/>
                <w:sz w:val="24"/>
                <w:highlight w:val="none"/>
              </w:rPr>
              <w:t xml:space="preserve">    </w:t>
            </w:r>
            <w:r>
              <w:rPr>
                <w:rFonts w:hint="eastAsia" w:ascii="宋体" w:hAnsi="宋体" w:cs="宋体"/>
                <w:color w:val="000000"/>
                <w:sz w:val="24"/>
                <w:highlight w:val="none"/>
              </w:rPr>
              <w:t>（四）原则同意《方案》中提出的预防控制措施和复垦措施。</w:t>
            </w:r>
          </w:p>
          <w:p>
            <w:pPr>
              <w:spacing w:line="36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预防控制措施：（1）各种生产建设活动应严格控制在矿权范围（征地范围线）内，做好土壤和植被的保护措施，施工过程中产生的固废要及时处理。（2）合理地布置工作面及开采顺序，最大程度降低因露天开采挖损对地表土地的损毁。（3）在露天采场设置排水措施、水土保持措施等，防止</w:t>
            </w:r>
            <w:r>
              <w:rPr>
                <w:rFonts w:hint="eastAsia" w:ascii="宋体" w:hAnsi="宋体" w:cs="宋体"/>
                <w:sz w:val="24"/>
                <w:highlight w:val="none"/>
              </w:rPr>
              <w:t>坡体失稳</w:t>
            </w:r>
            <w:r>
              <w:rPr>
                <w:rFonts w:hint="eastAsia" w:ascii="宋体" w:hAnsi="宋体" w:cs="宋体"/>
                <w:color w:val="000000"/>
                <w:sz w:val="24"/>
                <w:highlight w:val="none"/>
              </w:rPr>
              <w:t>、水土流失，预防处理措施得当。（4）对露天采区布设监测措施，监控点布设基本合理，方法得当。（5）在露天采场周边设置警示</w:t>
            </w:r>
            <w:r>
              <w:rPr>
                <w:rFonts w:hint="eastAsia" w:ascii="宋体" w:hAnsi="宋体" w:cs="宋体"/>
                <w:sz w:val="24"/>
                <w:highlight w:val="none"/>
              </w:rPr>
              <w:t>标志，防止附近村民、牲畜不慎跌落，造成人员及经济损失</w:t>
            </w:r>
            <w:r>
              <w:rPr>
                <w:rFonts w:hint="eastAsia" w:ascii="宋体" w:hAnsi="宋体" w:cs="宋体"/>
                <w:color w:val="000000"/>
                <w:sz w:val="24"/>
                <w:highlight w:val="none"/>
              </w:rPr>
              <w:t>，预防处理措施得当。</w:t>
            </w:r>
          </w:p>
          <w:p>
            <w:pPr>
              <w:spacing w:line="360" w:lineRule="auto"/>
              <w:ind w:firstLine="559" w:firstLineChars="233"/>
              <w:rPr>
                <w:rFonts w:ascii="宋体" w:hAnsi="宋体" w:cs="宋体"/>
                <w:color w:val="000000"/>
                <w:sz w:val="24"/>
                <w:highlight w:val="none"/>
              </w:rPr>
            </w:pPr>
            <w:r>
              <w:rPr>
                <w:rFonts w:hint="eastAsia" w:ascii="宋体" w:hAnsi="宋体" w:cs="宋体"/>
                <w:color w:val="000000"/>
                <w:sz w:val="24"/>
                <w:highlight w:val="none"/>
              </w:rPr>
              <w:t>工程技术措施：（1）部分工业场地及露天采场底部复垦工程措施：场地停止使用后，首先对不保留的建筑及生产设施进行拆除及场地清理，并进行覆土，促进耕作条件，对复垦为旱地区域采取生物化学措施进行土壤改良。（2）矿山办公生活区、工业广场、矿山复垦工程措施：采取乔灌草结合方式复垦为乔木林地，边坡区域在坡脚种植藤本植物</w:t>
            </w:r>
            <w:r>
              <w:rPr>
                <w:rFonts w:hint="eastAsia" w:ascii="宋体" w:hAnsi="宋体" w:cs="宋体"/>
                <w:snapToGrid w:val="0"/>
                <w:kern w:val="0"/>
                <w:sz w:val="24"/>
                <w:highlight w:val="none"/>
              </w:rPr>
              <w:t>以保持水土，增加绿化</w:t>
            </w:r>
            <w:r>
              <w:rPr>
                <w:rFonts w:hint="eastAsia" w:ascii="宋体" w:hAnsi="宋体" w:cs="宋体"/>
                <w:color w:val="000000"/>
                <w:sz w:val="24"/>
                <w:highlight w:val="none"/>
              </w:rPr>
              <w:t>。（3）</w:t>
            </w:r>
            <w:r>
              <w:rPr>
                <w:rFonts w:hint="eastAsia" w:ascii="宋体" w:hAnsi="宋体" w:cs="宋体"/>
                <w:bCs/>
                <w:snapToGrid w:val="0"/>
                <w:kern w:val="0"/>
                <w:sz w:val="24"/>
                <w:highlight w:val="none"/>
              </w:rPr>
              <w:t>安全平台开采边坡</w:t>
            </w:r>
            <w:r>
              <w:rPr>
                <w:rFonts w:hint="eastAsia" w:ascii="宋体" w:hAnsi="宋体" w:cs="宋体"/>
                <w:color w:val="000000"/>
                <w:sz w:val="24"/>
                <w:highlight w:val="none"/>
              </w:rPr>
              <w:t>复垦工程措施：对开采区域采取乔灌草结合方式复垦为乔木林地，边坡区域在坡脚种植藤本植物</w:t>
            </w:r>
            <w:r>
              <w:rPr>
                <w:rFonts w:hint="eastAsia" w:ascii="宋体" w:hAnsi="宋体" w:cs="宋体"/>
                <w:snapToGrid w:val="0"/>
                <w:kern w:val="0"/>
                <w:sz w:val="24"/>
                <w:highlight w:val="none"/>
              </w:rPr>
              <w:t>以保持水土，增加绿化</w:t>
            </w:r>
            <w:r>
              <w:rPr>
                <w:rFonts w:hint="eastAsia" w:ascii="宋体" w:hAnsi="宋体" w:cs="宋体"/>
                <w:color w:val="000000"/>
                <w:sz w:val="24"/>
                <w:highlight w:val="none"/>
              </w:rPr>
              <w:t>。（4）复垦监测措施：对整个复垦过程的复垦措施、复垦效果等动态监测。</w:t>
            </w:r>
          </w:p>
          <w:p>
            <w:pPr>
              <w:spacing w:line="360" w:lineRule="auto"/>
              <w:ind w:firstLine="559" w:firstLineChars="233"/>
              <w:rPr>
                <w:rFonts w:ascii="宋体" w:hAnsi="宋体" w:cs="宋体"/>
                <w:color w:val="000000"/>
                <w:sz w:val="24"/>
                <w:highlight w:val="none"/>
              </w:rPr>
            </w:pPr>
            <w:r>
              <w:rPr>
                <w:rFonts w:hint="eastAsia" w:ascii="宋体" w:hAnsi="宋体" w:cs="宋体"/>
                <w:color w:val="000000"/>
                <w:sz w:val="24"/>
                <w:highlight w:val="none"/>
              </w:rPr>
              <w:t>生物化学措施：（1）对于绿化新增的林、草地，优选当地优势树种，进行科学种植和精心管理。（2）对林地进行适时管理，包括浇水、施肥、除草、除虫等，同时淘汰劣质树种。（3）土壤改良，采用客土法、绿肥法等方法，对复垦后的土层进行改良，提高土体有机质含量。</w:t>
            </w:r>
          </w:p>
          <w:p>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（五）原则同意《方案》中提出的土地复垦标准、工程设计及工程量测算。在具体实施过程中，要进一步加强并细化复垦工程设计，明确施工过程中的具体参数，增加方案的可操作性。</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（六）原则同意土地复垦投资估（概）算结果。确定复垦工程静态总投资为</w:t>
            </w:r>
            <w:r>
              <w:rPr>
                <w:rFonts w:hint="eastAsia" w:ascii="宋体" w:hAnsi="宋体" w:cs="宋体"/>
                <w:sz w:val="24"/>
                <w:highlight w:val="none"/>
                <w:lang w:val="en-US" w:eastAsia="zh-CN"/>
              </w:rPr>
              <w:t>118.53</w:t>
            </w:r>
            <w:r>
              <w:rPr>
                <w:rFonts w:hint="eastAsia" w:ascii="宋体" w:hAnsi="宋体" w:cs="宋体"/>
                <w:color w:val="000000"/>
                <w:sz w:val="24"/>
                <w:highlight w:val="none"/>
              </w:rPr>
              <w:t>万元，亩均静态投资</w:t>
            </w:r>
            <w:r>
              <w:rPr>
                <w:rFonts w:hint="eastAsia" w:ascii="宋体" w:hAnsi="宋体" w:cs="宋体"/>
                <w:sz w:val="24"/>
                <w:highlight w:val="none"/>
                <w:lang w:val="en-US" w:eastAsia="zh-CN"/>
              </w:rPr>
              <w:t>5889.45</w:t>
            </w:r>
            <w:r>
              <w:rPr>
                <w:rFonts w:hint="eastAsia" w:ascii="宋体" w:hAnsi="宋体" w:cs="宋体"/>
                <w:color w:val="000000"/>
                <w:sz w:val="24"/>
                <w:highlight w:val="none"/>
              </w:rPr>
              <w:t>元。其中方案适用期（5年）内静态投资</w:t>
            </w:r>
            <w:r>
              <w:rPr>
                <w:rFonts w:hint="eastAsia" w:ascii="宋体" w:hAnsi="宋体" w:cs="宋体"/>
                <w:color w:val="000000"/>
                <w:sz w:val="24"/>
                <w:highlight w:val="none"/>
                <w:lang w:val="en-US" w:eastAsia="zh-CN"/>
              </w:rPr>
              <w:t>27.55</w:t>
            </w:r>
            <w:r>
              <w:rPr>
                <w:rFonts w:hint="eastAsia" w:ascii="宋体" w:hAnsi="宋体" w:cs="宋体"/>
                <w:color w:val="000000"/>
                <w:sz w:val="24"/>
                <w:highlight w:val="none"/>
              </w:rPr>
              <w:t>万元，开采中后期静态投资</w:t>
            </w:r>
            <w:r>
              <w:rPr>
                <w:rFonts w:hint="eastAsia" w:ascii="宋体" w:hAnsi="宋体" w:cs="宋体"/>
                <w:color w:val="000000"/>
                <w:sz w:val="24"/>
                <w:highlight w:val="none"/>
                <w:lang w:val="en-US" w:eastAsia="zh-CN"/>
              </w:rPr>
              <w:t>90.98</w:t>
            </w:r>
            <w:r>
              <w:rPr>
                <w:rFonts w:hint="eastAsia" w:ascii="宋体" w:hAnsi="宋体" w:cs="宋体"/>
                <w:color w:val="000000"/>
                <w:sz w:val="24"/>
                <w:highlight w:val="none"/>
              </w:rPr>
              <w:t>万元。复垦工程动态总投资为</w:t>
            </w:r>
            <w:r>
              <w:rPr>
                <w:rFonts w:hint="eastAsia" w:ascii="宋体" w:hAnsi="宋体" w:cs="宋体"/>
                <w:sz w:val="24"/>
                <w:highlight w:val="none"/>
                <w:lang w:val="en-US" w:eastAsia="zh-CN"/>
              </w:rPr>
              <w:t>147.57</w:t>
            </w:r>
            <w:r>
              <w:rPr>
                <w:rFonts w:hint="eastAsia" w:ascii="宋体" w:hAnsi="宋体" w:cs="宋体"/>
                <w:color w:val="000000"/>
                <w:sz w:val="24"/>
                <w:highlight w:val="none"/>
              </w:rPr>
              <w:t>万元，亩均投资</w:t>
            </w:r>
            <w:r>
              <w:rPr>
                <w:rFonts w:hint="eastAsia" w:ascii="宋体" w:hAnsi="宋体" w:cs="宋体"/>
                <w:sz w:val="24"/>
                <w:highlight w:val="none"/>
                <w:lang w:val="en-US" w:eastAsia="zh-CN"/>
              </w:rPr>
              <w:t>7332.31</w:t>
            </w:r>
            <w:r>
              <w:rPr>
                <w:rFonts w:hint="eastAsia" w:ascii="宋体" w:hAnsi="宋体" w:cs="宋体"/>
                <w:color w:val="000000"/>
                <w:sz w:val="24"/>
                <w:highlight w:val="none"/>
              </w:rPr>
              <w:t>元。其中方案适用期（5年）动态投资为</w:t>
            </w:r>
            <w:r>
              <w:rPr>
                <w:rFonts w:hint="eastAsia" w:ascii="宋体" w:hAnsi="宋体" w:cs="宋体"/>
                <w:color w:val="000000"/>
                <w:sz w:val="24"/>
                <w:highlight w:val="none"/>
                <w:lang w:val="en-US" w:eastAsia="zh-CN"/>
              </w:rPr>
              <w:t>28.27</w:t>
            </w:r>
            <w:r>
              <w:rPr>
                <w:rFonts w:hint="eastAsia" w:ascii="宋体" w:hAnsi="宋体" w:cs="宋体"/>
                <w:color w:val="000000"/>
                <w:sz w:val="24"/>
                <w:highlight w:val="none"/>
              </w:rPr>
              <w:t>万元；开采中后期动态投资为</w:t>
            </w:r>
            <w:r>
              <w:rPr>
                <w:rFonts w:hint="eastAsia" w:ascii="宋体" w:hAnsi="宋体" w:cs="宋体"/>
                <w:color w:val="000000"/>
                <w:sz w:val="24"/>
                <w:highlight w:val="none"/>
                <w:lang w:val="en-US" w:eastAsia="zh-CN"/>
              </w:rPr>
              <w:t>105.57</w:t>
            </w:r>
            <w:r>
              <w:rPr>
                <w:rFonts w:hint="eastAsia" w:ascii="宋体" w:hAnsi="宋体" w:cs="宋体"/>
                <w:color w:val="000000"/>
                <w:sz w:val="24"/>
                <w:highlight w:val="none"/>
              </w:rPr>
              <w:t>万元。</w:t>
            </w:r>
            <w:r>
              <w:rPr>
                <w:rFonts w:hint="eastAsia" w:ascii="宋体" w:hAnsi="宋体" w:cs="宋体"/>
                <w:color w:val="000000"/>
                <w:sz w:val="24"/>
                <w:highlight w:val="none"/>
                <w:lang w:val="zh-CN"/>
              </w:rPr>
              <w:t>项目复垦资金预存按复垦</w:t>
            </w:r>
            <w:r>
              <w:rPr>
                <w:rFonts w:hint="eastAsia" w:ascii="宋体" w:hAnsi="宋体" w:cs="宋体"/>
                <w:color w:val="000000"/>
                <w:sz w:val="24"/>
                <w:highlight w:val="none"/>
              </w:rPr>
              <w:t>方案服务年限进行预存，首期预存资金不低于静态总投资的20%，首期预存资金</w:t>
            </w:r>
            <w:r>
              <w:rPr>
                <w:rFonts w:hint="eastAsia" w:ascii="宋体" w:hAnsi="宋体" w:cs="宋体"/>
                <w:color w:val="000000"/>
                <w:sz w:val="24"/>
                <w:highlight w:val="none"/>
                <w:lang w:val="en-US" w:eastAsia="zh-CN"/>
              </w:rPr>
              <w:t>23.91</w:t>
            </w:r>
            <w:r>
              <w:rPr>
                <w:rFonts w:hint="eastAsia" w:ascii="宋体" w:hAnsi="宋体" w:cs="宋体"/>
                <w:color w:val="000000"/>
                <w:sz w:val="24"/>
                <w:highlight w:val="none"/>
              </w:rPr>
              <w:t>万元</w:t>
            </w:r>
            <w:r>
              <w:rPr>
                <w:rFonts w:hint="eastAsia" w:ascii="宋体" w:hAnsi="宋体" w:cs="宋体"/>
                <w:color w:val="000000"/>
                <w:sz w:val="24"/>
                <w:highlight w:val="none"/>
                <w:lang w:val="zh-CN"/>
              </w:rPr>
              <w:t>。</w:t>
            </w:r>
            <w:r>
              <w:rPr>
                <w:rFonts w:hint="eastAsia" w:ascii="宋体" w:hAnsi="宋体" w:cs="宋体"/>
                <w:color w:val="000000"/>
                <w:sz w:val="24"/>
                <w:highlight w:val="none"/>
              </w:rPr>
              <w:t>业主单位要进一步明确土地复垦费用从建设或生产成本中提取，加大土地复垦前期提取额度，并根据复垦工作安排制定土地复垦计划，采取有效措施保障复垦费专款专用。费用不足的，要及时足额追加投资，确保土地复垦工作的顺利进行。</w:t>
            </w:r>
          </w:p>
          <w:p>
            <w:pPr>
              <w:spacing w:line="360" w:lineRule="auto"/>
              <w:ind w:firstLine="720" w:firstLineChars="300"/>
              <w:rPr>
                <w:rFonts w:ascii="宋体" w:hAnsi="宋体" w:cs="宋体"/>
                <w:b/>
                <w:color w:val="000000"/>
                <w:sz w:val="24"/>
                <w:highlight w:val="none"/>
              </w:rPr>
            </w:pPr>
            <w:r>
              <w:rPr>
                <w:rFonts w:hint="eastAsia" w:ascii="宋体" w:hAnsi="宋体" w:cs="宋体"/>
                <w:b/>
                <w:color w:val="000000"/>
                <w:sz w:val="24"/>
                <w:highlight w:val="none"/>
              </w:rPr>
              <w:t>四、专家组强调事项</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（一）评估区无崩塌、滑坡、泥石流、地面塌陷、地面沉降、地裂缝等现状地质灾害分布，但开采边坡问题突出，随着矿山开采可能出现崩塌或滑坡，危及矿山开采机械和人员安全，应加强监测、做好防范。</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（二）工程治理措施要有针对性，特别是对废石场的治理及弃渣的管控。</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三）请项目业主单位与项目所在地国土资源管理部门签订土地复垦资金监管协议，落实双方责任关系，明确土地复垦资金提取计划、开展土地复垦工作计划，并按要求定期向上级国土资源主管部门报告土地复垦资金提取使用和土地复垦实施情况，接受各级国土资源管理部门的监督和检查。</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四）如项目地点、矿区范围、生产规模、生产工艺、开采方式、开采矿种或工业及建筑场地、废石场等发生重大变化以及申请延续、转让采矿权时方案时效性已过期的，需按相关规定和要求重新组织编报或修编矿山地质环境保护与土地复垦方案，并及时报原审查单位审查并备案。</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（五）矿山损毁土地中未涉及基本农田。</w:t>
            </w:r>
          </w:p>
          <w:p>
            <w:pPr>
              <w:spacing w:line="36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综上所述，该方案的编制基本符合有关文件及技术规范、标准的要求，相关分析依据充分，结论基本准确，采取的防治措施基本可行，投资估（概）算测算结果基本准确，拟定的工作计划实施基本合理。专家组同意该《方案》通过技术评审，请编制单位根据专家意见认真修改和补充完善后，上报备案和提供使用。</w:t>
            </w:r>
          </w:p>
          <w:p>
            <w:pPr>
              <w:spacing w:line="360" w:lineRule="auto"/>
              <w:ind w:firstLine="480" w:firstLineChars="200"/>
              <w:rPr>
                <w:rFonts w:ascii="宋体" w:hAnsi="宋体" w:cs="宋体"/>
                <w:color w:val="000000"/>
                <w:sz w:val="24"/>
                <w:highlight w:val="none"/>
              </w:rPr>
            </w:pPr>
          </w:p>
          <w:p>
            <w:pPr>
              <w:spacing w:before="312" w:beforeLines="100" w:line="360" w:lineRule="auto"/>
              <w:ind w:firstLine="4108" w:firstLineChars="1712"/>
              <w:rPr>
                <w:rFonts w:ascii="宋体" w:hAnsi="宋体" w:cs="宋体"/>
                <w:color w:val="000000"/>
                <w:sz w:val="24"/>
                <w:highlight w:val="none"/>
              </w:rPr>
            </w:pPr>
            <w:r>
              <w:rPr>
                <w:rFonts w:hint="eastAsia" w:ascii="宋体" w:hAnsi="宋体" w:cs="宋体"/>
                <w:color w:val="000000"/>
                <w:sz w:val="24"/>
                <w:highlight w:val="none"/>
              </w:rPr>
              <w:t>专家组组长（签名）：</w:t>
            </w:r>
          </w:p>
          <w:p>
            <w:pPr>
              <w:spacing w:line="360" w:lineRule="auto"/>
              <w:rPr>
                <w:rFonts w:ascii="宋体" w:hAnsi="宋体" w:cs="宋体"/>
                <w:color w:val="000000"/>
                <w:sz w:val="24"/>
                <w:highlight w:val="none"/>
              </w:rPr>
            </w:pPr>
            <w:r>
              <w:rPr>
                <w:rFonts w:hint="eastAsia" w:ascii="宋体" w:hAnsi="宋体" w:cs="宋体"/>
                <w:color w:val="000000"/>
                <w:sz w:val="24"/>
                <w:highlight w:val="none"/>
              </w:rPr>
              <w:t xml:space="preserve">                     </w:t>
            </w:r>
          </w:p>
          <w:p>
            <w:pPr>
              <w:spacing w:line="360" w:lineRule="auto"/>
              <w:ind w:right="480" w:firstLine="5760" w:firstLineChars="2400"/>
              <w:rPr>
                <w:rFonts w:ascii="宋体" w:hAnsi="宋体" w:cs="宋体"/>
                <w:sz w:val="24"/>
                <w:highlight w:val="none"/>
              </w:rPr>
            </w:pPr>
            <w:r>
              <w:rPr>
                <w:rFonts w:hint="eastAsia" w:ascii="宋体" w:hAnsi="宋体" w:cs="宋体"/>
                <w:color w:val="000000"/>
                <w:sz w:val="24"/>
                <w:highlight w:val="none"/>
              </w:rPr>
              <w:t>年</w:t>
            </w:r>
            <w:r>
              <w:rPr>
                <w:rFonts w:hint="eastAsia" w:ascii="宋体" w:hAnsi="宋体" w:cs="宋体"/>
                <w:color w:val="000000"/>
                <w:sz w:val="24"/>
                <w:highlight w:val="none"/>
                <w:lang w:val="en-US" w:eastAsia="zh-CN"/>
              </w:rPr>
              <w:t xml:space="preserve">   </w:t>
            </w:r>
            <w:r>
              <w:rPr>
                <w:rFonts w:hint="eastAsia" w:ascii="宋体" w:hAnsi="宋体" w:cs="宋体"/>
                <w:color w:val="000000"/>
                <w:sz w:val="24"/>
                <w:highlight w:val="none"/>
              </w:rPr>
              <w:t>月</w:t>
            </w:r>
            <w:r>
              <w:rPr>
                <w:rFonts w:hint="eastAsia" w:ascii="宋体" w:hAnsi="宋体" w:eastAsia="宋体" w:cs="宋体"/>
                <w:color w:val="000000"/>
                <w:sz w:val="24"/>
                <w:highlight w:val="none"/>
                <w:lang w:val="en-US" w:eastAsia="zh-CN"/>
              </w:rPr>
              <w:t xml:space="preserve">   </w:t>
            </w:r>
            <w:r>
              <w:rPr>
                <w:rFonts w:hint="eastAsia" w:ascii="宋体" w:hAnsi="宋体" w:cs="宋体"/>
                <w:color w:val="000000"/>
                <w:sz w:val="24"/>
                <w:highlight w:val="none"/>
              </w:rPr>
              <w:t>日</w:t>
            </w:r>
            <w:r>
              <w:rPr>
                <w:rFonts w:hint="eastAsia" w:ascii="宋体" w:hAnsi="宋体" w:cs="宋体"/>
                <w:sz w:val="24"/>
                <w:highlight w:val="none"/>
              </w:rPr>
              <w:t xml:space="preserve">                    </w:t>
            </w:r>
          </w:p>
          <w:p>
            <w:pPr>
              <w:pStyle w:val="9"/>
              <w:spacing w:before="229" w:line="360"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229" w:line="213" w:lineRule="auto"/>
              <w:rPr>
                <w:rFonts w:hint="eastAsia" w:ascii="宋体" w:hAnsi="宋体" w:eastAsia="宋体" w:cs="宋体"/>
                <w:spacing w:val="-4"/>
                <w:sz w:val="24"/>
                <w:szCs w:val="24"/>
                <w:highlight w:val="none"/>
              </w:rPr>
            </w:pPr>
          </w:p>
          <w:p>
            <w:pPr>
              <w:pStyle w:val="9"/>
              <w:spacing w:before="229" w:line="213" w:lineRule="auto"/>
              <w:ind w:left="720"/>
              <w:rPr>
                <w:rFonts w:hint="eastAsia" w:ascii="宋体" w:hAnsi="宋体" w:eastAsia="宋体" w:cs="宋体"/>
                <w:spacing w:val="-4"/>
                <w:sz w:val="24"/>
                <w:szCs w:val="24"/>
                <w:highlight w:val="none"/>
              </w:rPr>
            </w:pPr>
          </w:p>
          <w:p>
            <w:pPr>
              <w:pStyle w:val="9"/>
              <w:spacing w:before="229" w:line="213" w:lineRule="auto"/>
              <w:rPr>
                <w:rFonts w:hint="eastAsia" w:ascii="宋体" w:hAnsi="宋体" w:eastAsia="宋体" w:cs="宋体"/>
                <w:spacing w:val="-4"/>
                <w:sz w:val="24"/>
                <w:szCs w:val="24"/>
                <w:highlight w:val="none"/>
              </w:rPr>
            </w:pPr>
          </w:p>
        </w:tc>
      </w:tr>
    </w:tbl>
    <w:p>
      <w:pPr>
        <w:rPr>
          <w:rFonts w:ascii="Arial"/>
          <w:sz w:val="21"/>
          <w:highlight w:val="yellow"/>
        </w:rPr>
      </w:pPr>
    </w:p>
    <w:p>
      <w:pPr>
        <w:rPr>
          <w:rFonts w:ascii="Arial" w:hAnsi="Arial" w:eastAsia="Arial" w:cs="Arial"/>
          <w:sz w:val="21"/>
          <w:szCs w:val="21"/>
          <w:highlight w:val="yellow"/>
        </w:rPr>
        <w:sectPr>
          <w:footerReference r:id="rId5" w:type="default"/>
          <w:pgSz w:w="11910" w:h="16850"/>
          <w:pgMar w:top="1410" w:right="1054" w:bottom="1248" w:left="1405" w:header="0" w:footer="1109" w:gutter="0"/>
          <w:pgNumType w:fmt="decimal"/>
          <w:cols w:space="720" w:num="1"/>
        </w:sectPr>
      </w:pPr>
    </w:p>
    <w:p>
      <w:pPr>
        <w:rPr>
          <w:rFonts w:ascii="Arial"/>
          <w:sz w:val="21"/>
          <w:highlight w:val="yellow"/>
        </w:rPr>
      </w:pPr>
    </w:p>
    <w:p>
      <w:pPr>
        <w:spacing w:line="246" w:lineRule="auto"/>
        <w:rPr>
          <w:rFonts w:ascii="Arial"/>
          <w:sz w:val="21"/>
          <w:highlight w:val="yellow"/>
        </w:rPr>
      </w:pPr>
    </w:p>
    <w:p>
      <w:pPr>
        <w:spacing w:line="247" w:lineRule="auto"/>
        <w:rPr>
          <w:rFonts w:ascii="Arial"/>
          <w:sz w:val="21"/>
          <w:highlight w:val="yellow"/>
        </w:rPr>
      </w:pPr>
    </w:p>
    <w:p>
      <w:pPr>
        <w:spacing w:line="247" w:lineRule="auto"/>
        <w:rPr>
          <w:rFonts w:ascii="Arial"/>
          <w:sz w:val="21"/>
          <w:highlight w:val="yellow"/>
        </w:rPr>
      </w:pPr>
    </w:p>
    <w:p>
      <w:pPr>
        <w:spacing w:before="204" w:line="219" w:lineRule="auto"/>
        <w:ind w:left="2229" w:firstLine="401" w:firstLineChars="100"/>
        <w:jc w:val="both"/>
        <w:rPr>
          <w:rFonts w:hint="eastAsia" w:ascii="宋体" w:hAnsi="宋体" w:eastAsia="宋体" w:cs="宋体"/>
          <w:b/>
          <w:bCs/>
          <w:spacing w:val="20"/>
          <w:sz w:val="36"/>
          <w:szCs w:val="36"/>
          <w:highlight w:val="none"/>
        </w:rPr>
      </w:pPr>
      <w:r>
        <w:rPr>
          <w:rFonts w:hint="eastAsia" w:ascii="宋体" w:hAnsi="宋体" w:eastAsia="宋体" w:cs="宋体"/>
          <w:b/>
          <w:bCs/>
          <w:spacing w:val="20"/>
          <w:sz w:val="36"/>
          <w:szCs w:val="36"/>
          <w:highlight w:val="none"/>
        </w:rPr>
        <w:t>宣威市土投矿业有限公司宣威市羊场镇普瓦玉合采石场</w:t>
      </w:r>
    </w:p>
    <w:p>
      <w:pPr>
        <w:spacing w:before="204" w:line="219" w:lineRule="auto"/>
        <w:ind w:left="2229" w:firstLine="803" w:firstLineChars="200"/>
        <w:jc w:val="both"/>
        <w:rPr>
          <w:rFonts w:hint="eastAsia" w:ascii="宋体" w:hAnsi="宋体" w:eastAsia="宋体" w:cs="宋体"/>
          <w:sz w:val="36"/>
          <w:szCs w:val="36"/>
          <w:highlight w:val="none"/>
        </w:rPr>
      </w:pPr>
      <w:r>
        <w:rPr>
          <w:rFonts w:hint="eastAsia" w:ascii="宋体" w:hAnsi="宋体" w:eastAsia="宋体" w:cs="宋体"/>
          <w:b/>
          <w:bCs/>
          <w:spacing w:val="20"/>
          <w:sz w:val="36"/>
          <w:szCs w:val="36"/>
          <w:highlight w:val="none"/>
        </w:rPr>
        <w:t>矿山地质环境保护与土地复垦方案评审专家组名单</w:t>
      </w:r>
    </w:p>
    <w:p>
      <w:pPr>
        <w:spacing w:before="39"/>
        <w:rPr>
          <w:rFonts w:hint="eastAsia" w:ascii="宋体" w:hAnsi="宋体" w:eastAsia="宋体" w:cs="宋体"/>
          <w:sz w:val="36"/>
          <w:szCs w:val="36"/>
          <w:highlight w:val="none"/>
        </w:rPr>
      </w:pPr>
    </w:p>
    <w:p>
      <w:pPr>
        <w:spacing w:before="38"/>
        <w:rPr>
          <w:rFonts w:hint="eastAsia" w:ascii="宋体" w:hAnsi="宋体" w:eastAsia="宋体" w:cs="宋体"/>
          <w:sz w:val="36"/>
          <w:szCs w:val="36"/>
          <w:highlight w:val="none"/>
        </w:rPr>
      </w:pPr>
    </w:p>
    <w:tbl>
      <w:tblPr>
        <w:tblStyle w:val="8"/>
        <w:tblW w:w="127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4"/>
        <w:gridCol w:w="1409"/>
        <w:gridCol w:w="7864"/>
        <w:gridCol w:w="23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vAlign w:val="top"/>
          </w:tcPr>
          <w:p>
            <w:pPr>
              <w:pStyle w:val="9"/>
              <w:spacing w:before="165" w:line="221" w:lineRule="auto"/>
              <w:ind w:left="239"/>
              <w:rPr>
                <w:rFonts w:hint="eastAsia" w:ascii="宋体" w:hAnsi="宋体" w:eastAsia="宋体" w:cs="宋体"/>
                <w:sz w:val="36"/>
                <w:szCs w:val="36"/>
                <w:highlight w:val="none"/>
              </w:rPr>
            </w:pPr>
            <w:r>
              <w:rPr>
                <w:rFonts w:hint="eastAsia" w:ascii="宋体" w:hAnsi="宋体" w:eastAsia="宋体" w:cs="宋体"/>
                <w:b/>
                <w:bCs/>
                <w:spacing w:val="1"/>
                <w:sz w:val="36"/>
                <w:szCs w:val="36"/>
                <w:highlight w:val="none"/>
              </w:rPr>
              <w:t>序号</w:t>
            </w:r>
          </w:p>
        </w:tc>
        <w:tc>
          <w:tcPr>
            <w:tcW w:w="1409" w:type="dxa"/>
            <w:vAlign w:val="top"/>
          </w:tcPr>
          <w:p>
            <w:pPr>
              <w:pStyle w:val="9"/>
              <w:spacing w:before="163" w:line="219" w:lineRule="auto"/>
              <w:ind w:left="385"/>
              <w:rPr>
                <w:rFonts w:hint="eastAsia" w:ascii="宋体" w:hAnsi="宋体" w:eastAsia="宋体" w:cs="宋体"/>
                <w:sz w:val="36"/>
                <w:szCs w:val="36"/>
                <w:highlight w:val="none"/>
              </w:rPr>
            </w:pPr>
            <w:r>
              <w:rPr>
                <w:rFonts w:hint="eastAsia" w:ascii="宋体" w:hAnsi="宋体" w:eastAsia="宋体" w:cs="宋体"/>
                <w:b/>
                <w:bCs/>
                <w:spacing w:val="12"/>
                <w:sz w:val="36"/>
                <w:szCs w:val="36"/>
                <w:highlight w:val="none"/>
              </w:rPr>
              <w:t>姓名</w:t>
            </w:r>
          </w:p>
        </w:tc>
        <w:tc>
          <w:tcPr>
            <w:tcW w:w="7864" w:type="dxa"/>
            <w:vAlign w:val="top"/>
          </w:tcPr>
          <w:p>
            <w:pPr>
              <w:pStyle w:val="9"/>
              <w:spacing w:before="164" w:line="220" w:lineRule="auto"/>
              <w:ind w:left="3306"/>
              <w:rPr>
                <w:rFonts w:hint="eastAsia" w:ascii="宋体" w:hAnsi="宋体" w:eastAsia="宋体" w:cs="宋体"/>
                <w:sz w:val="36"/>
                <w:szCs w:val="36"/>
                <w:highlight w:val="none"/>
              </w:rPr>
            </w:pPr>
            <w:r>
              <w:rPr>
                <w:rFonts w:hint="eastAsia" w:ascii="宋体" w:hAnsi="宋体" w:eastAsia="宋体" w:cs="宋体"/>
                <w:b/>
                <w:bCs/>
                <w:spacing w:val="-7"/>
                <w:sz w:val="36"/>
                <w:szCs w:val="36"/>
                <w:highlight w:val="none"/>
              </w:rPr>
              <w:t>工作单位</w:t>
            </w:r>
          </w:p>
        </w:tc>
        <w:tc>
          <w:tcPr>
            <w:tcW w:w="2343" w:type="dxa"/>
            <w:vAlign w:val="top"/>
          </w:tcPr>
          <w:p>
            <w:pPr>
              <w:pStyle w:val="9"/>
              <w:spacing w:before="167" w:line="221" w:lineRule="auto"/>
              <w:ind w:left="862"/>
              <w:rPr>
                <w:rFonts w:hint="eastAsia" w:ascii="宋体" w:hAnsi="宋体" w:eastAsia="宋体" w:cs="宋体"/>
                <w:sz w:val="36"/>
                <w:szCs w:val="36"/>
                <w:highlight w:val="none"/>
              </w:rPr>
            </w:pPr>
            <w:r>
              <w:rPr>
                <w:rFonts w:hint="eastAsia" w:ascii="宋体" w:hAnsi="宋体" w:eastAsia="宋体" w:cs="宋体"/>
                <w:b/>
                <w:bCs/>
                <w:sz w:val="36"/>
                <w:szCs w:val="36"/>
                <w:highlight w:val="none"/>
              </w:rPr>
              <w:t>职称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114" w:type="dxa"/>
            <w:vAlign w:val="top"/>
          </w:tcPr>
          <w:p>
            <w:pPr>
              <w:pStyle w:val="9"/>
              <w:spacing w:before="243" w:line="184"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1</w:t>
            </w:r>
          </w:p>
        </w:tc>
        <w:tc>
          <w:tcPr>
            <w:tcW w:w="1409"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刘忠发</w:t>
            </w:r>
          </w:p>
        </w:tc>
        <w:tc>
          <w:tcPr>
            <w:tcW w:w="7864"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云南省地质工程勘察有限公司</w:t>
            </w:r>
          </w:p>
        </w:tc>
        <w:tc>
          <w:tcPr>
            <w:tcW w:w="2343" w:type="dxa"/>
            <w:vAlign w:val="center"/>
          </w:tcPr>
          <w:p>
            <w:pPr>
              <w:jc w:val="center"/>
              <w:rPr>
                <w:rFonts w:hint="eastAsia" w:ascii="宋体" w:hAnsi="宋体" w:eastAsia="宋体" w:cs="宋体"/>
                <w:sz w:val="36"/>
                <w:szCs w:val="36"/>
                <w:highlight w:val="none"/>
              </w:rPr>
            </w:pPr>
            <w:r>
              <w:rPr>
                <w:rFonts w:hint="eastAsia" w:ascii="宋体" w:hAnsi="宋体" w:eastAsia="宋体" w:cs="宋体"/>
                <w:sz w:val="36"/>
                <w:szCs w:val="36"/>
                <w:highlight w:val="none"/>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5"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2</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冯江</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云南省生态环境厅驻曲靖市生态环境监测站</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正高级工程师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7"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3</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段  平</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曲靖市水务局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1114" w:type="dxa"/>
            <w:vAlign w:val="top"/>
          </w:tcPr>
          <w:p>
            <w:pPr>
              <w:pStyle w:val="9"/>
              <w:spacing w:before="249" w:line="183"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4</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朱家诺</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宣威市林业和草原局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114" w:type="dxa"/>
            <w:vAlign w:val="top"/>
          </w:tcPr>
          <w:p>
            <w:pPr>
              <w:pStyle w:val="9"/>
              <w:spacing w:before="253" w:line="182" w:lineRule="auto"/>
              <w:ind w:left="464"/>
              <w:rPr>
                <w:rFonts w:hint="eastAsia" w:ascii="宋体" w:hAnsi="宋体" w:eastAsia="宋体" w:cs="宋体"/>
                <w:sz w:val="36"/>
                <w:szCs w:val="36"/>
                <w:highlight w:val="none"/>
              </w:rPr>
            </w:pPr>
            <w:r>
              <w:rPr>
                <w:rFonts w:hint="eastAsia" w:ascii="宋体" w:hAnsi="宋体" w:eastAsia="宋体" w:cs="宋体"/>
                <w:sz w:val="36"/>
                <w:szCs w:val="36"/>
                <w:highlight w:val="none"/>
              </w:rPr>
              <w:t>5</w:t>
            </w:r>
          </w:p>
        </w:tc>
        <w:tc>
          <w:tcPr>
            <w:tcW w:w="1409"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孙红</w:t>
            </w:r>
          </w:p>
        </w:tc>
        <w:tc>
          <w:tcPr>
            <w:tcW w:w="7864"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宣威市自然资源局</w:t>
            </w:r>
          </w:p>
        </w:tc>
        <w:tc>
          <w:tcPr>
            <w:tcW w:w="2343" w:type="dxa"/>
            <w:vAlign w:val="center"/>
          </w:tcPr>
          <w:p>
            <w:pPr>
              <w:widowControl/>
              <w:jc w:val="center"/>
              <w:textAlignment w:val="center"/>
              <w:rPr>
                <w:rFonts w:hint="eastAsia" w:ascii="宋体" w:hAnsi="宋体" w:eastAsia="宋体" w:cs="宋体"/>
                <w:sz w:val="36"/>
                <w:szCs w:val="36"/>
                <w:highlight w:val="none"/>
              </w:rPr>
            </w:pPr>
            <w:r>
              <w:rPr>
                <w:rFonts w:hint="eastAsia" w:ascii="宋体" w:hAnsi="宋体" w:eastAsia="宋体" w:cs="宋体"/>
                <w:color w:val="000000"/>
                <w:kern w:val="0"/>
                <w:sz w:val="36"/>
                <w:szCs w:val="36"/>
                <w:highlight w:val="none"/>
                <w:lang w:bidi="ar"/>
              </w:rPr>
              <w:t>高级工程师</w:t>
            </w:r>
          </w:p>
        </w:tc>
      </w:tr>
    </w:tbl>
    <w:p>
      <w:pPr>
        <w:rPr>
          <w:rFonts w:ascii="Arial"/>
          <w:sz w:val="21"/>
          <w:highlight w:val="yellow"/>
        </w:rPr>
      </w:pPr>
    </w:p>
    <w:sectPr>
      <w:footerReference r:id="rId6" w:type="default"/>
      <w:pgSz w:w="16850" w:h="11910"/>
      <w:pgMar w:top="1012" w:right="1754" w:bottom="977" w:left="2355" w:header="0" w:footer="83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4655"/>
      <w:rPr>
        <w:rFonts w:hint="eastAsia" w:ascii="宋体" w:hAnsi="宋体" w:eastAsia="宋体" w:cs="宋体"/>
        <w:sz w:val="14"/>
        <w:szCs w:val="14"/>
        <w:lang w:val="en-US" w:eastAsia="zh-CN"/>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ind w:left="6275"/>
      <w:rPr>
        <w:rFonts w:hint="default" w:ascii="宋体" w:hAnsi="宋体" w:eastAsia="宋体" w:cs="宋体"/>
        <w:sz w:val="14"/>
        <w:szCs w:val="14"/>
        <w:lang w:val="en-US" w:eastAsia="zh-CN"/>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mViYmNjNDhlMTU2NmY2ODZlODY2NGI2MjQxOTljN2UifQ=="/>
  </w:docVars>
  <w:rsids>
    <w:rsidRoot w:val="00000000"/>
    <w:rsid w:val="06931604"/>
    <w:rsid w:val="0ACB0233"/>
    <w:rsid w:val="18D1084F"/>
    <w:rsid w:val="20570CE9"/>
    <w:rsid w:val="2D474494"/>
    <w:rsid w:val="3EC81D97"/>
    <w:rsid w:val="74E025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uiPriority w:val="0"/>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spacing w:after="120" w:line="360" w:lineRule="auto"/>
      <w:ind w:left="420" w:leftChars="200" w:firstLine="420" w:firstLineChars="200"/>
    </w:pPr>
    <w:rPr>
      <w:sz w:val="28"/>
      <w:szCs w:val="22"/>
    </w:rPr>
  </w:style>
  <w:style w:type="paragraph" w:styleId="3">
    <w:name w:val="Body Text Indent"/>
    <w:basedOn w:val="1"/>
    <w:autoRedefine/>
    <w:qFormat/>
    <w:uiPriority w:val="0"/>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3881</Words>
  <Characters>4245</Characters>
  <TotalTime>3</TotalTime>
  <ScaleCrop>false</ScaleCrop>
  <LinksUpToDate>false</LinksUpToDate>
  <CharactersWithSpaces>4315</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2024-03-12T10:45:00Z</dcterms:created>
  <dc:creator>Kingsoft-PDF</dc:creator>
  <cp:lastModifiedBy>S.Liming</cp:lastModifiedBy>
  <dcterms:modified xsi:type="dcterms:W3CDTF">2024-05-11T07:19:11Z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2024-03-12T10:45:03Z</vt:filetime>
  </property>
  <property fmtid="{D5CDD505-2E9C-101B-9397-08002B2CF9AE}" pid="4" name="UsrData">
    <vt:lpwstr>65efc1ab71bc50001f4bbc3ewl</vt:lpwstr>
  </property>
  <property fmtid="{D5CDD505-2E9C-101B-9397-08002B2CF9AE}" pid="5" name="KSOProductBuildVer">
    <vt:lpwstr>2052-12.1.0.16729</vt:lpwstr>
  </property>
  <property fmtid="{D5CDD505-2E9C-101B-9397-08002B2CF9AE}" pid="6" name="ICV">
    <vt:lpwstr>B0695FACC422450689874A65366FEA6E_12</vt:lpwstr>
  </property>
</Properties>
</file>