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rPr>
          <w:rFonts w:ascii="黑体" w:hAnsi="黑体" w:eastAsia="黑体" w:cs="黑体"/>
          <w:sz w:val="24"/>
          <w:szCs w:val="24"/>
        </w:rPr>
      </w:pPr>
      <w:r>
        <w:rPr>
          <w:rFonts w:ascii="黑体" w:hAnsi="黑体" w:eastAsia="黑体" w:cs="黑体"/>
          <w:b/>
          <w:bCs/>
          <w:spacing w:val="13"/>
          <w:sz w:val="24"/>
          <w:szCs w:val="24"/>
        </w:rPr>
        <w:t>附件2</w:t>
      </w:r>
    </w:p>
    <w:p>
      <w:pPr>
        <w:spacing w:line="275" w:lineRule="auto"/>
        <w:rPr>
          <w:rFonts w:ascii="Arial"/>
          <w:sz w:val="21"/>
        </w:rPr>
      </w:pPr>
    </w:p>
    <w:p>
      <w:pPr>
        <w:spacing w:line="300" w:lineRule="exact"/>
        <w:jc w:val="center"/>
        <w:rPr>
          <w:rFonts w:hint="eastAsia" w:ascii="宋体" w:hAnsi="宋体" w:eastAsia="宋体" w:cs="宋体"/>
          <w:b/>
          <w:bCs/>
          <w:sz w:val="28"/>
          <w:szCs w:val="28"/>
        </w:rPr>
      </w:pPr>
      <w:r>
        <w:rPr>
          <w:rFonts w:hint="eastAsia" w:ascii="宋体" w:hAnsi="宋体" w:eastAsia="宋体" w:cs="宋体"/>
          <w:b/>
          <w:bCs/>
          <w:sz w:val="28"/>
          <w:szCs w:val="28"/>
        </w:rPr>
        <w:t>宣威市天勋工贸有限公司宣威市田坝镇姑座采石厂</w:t>
      </w:r>
    </w:p>
    <w:p>
      <w:pPr>
        <w:spacing w:before="235" w:line="510" w:lineRule="exact"/>
        <w:ind w:left="2324"/>
        <w:rPr>
          <w:rFonts w:ascii="黑体" w:hAnsi="黑体" w:eastAsia="黑体" w:cs="黑体"/>
          <w:sz w:val="30"/>
          <w:szCs w:val="30"/>
        </w:rPr>
      </w:pPr>
      <w:r>
        <w:rPr>
          <w:rFonts w:ascii="黑体" w:hAnsi="黑体" w:eastAsia="黑体" w:cs="黑体"/>
          <w:spacing w:val="24"/>
          <w:position w:val="15"/>
          <w:sz w:val="30"/>
          <w:szCs w:val="30"/>
        </w:rPr>
        <w:t>矿山地质环境保护与土地复垦方案</w:t>
      </w:r>
    </w:p>
    <w:p>
      <w:pPr>
        <w:spacing w:before="1" w:line="220" w:lineRule="auto"/>
        <w:ind w:left="3624"/>
        <w:rPr>
          <w:rFonts w:ascii="黑体" w:hAnsi="黑体" w:eastAsia="黑体" w:cs="黑体"/>
          <w:sz w:val="30"/>
          <w:szCs w:val="30"/>
        </w:rPr>
      </w:pPr>
      <w:r>
        <w:rPr>
          <w:rFonts w:ascii="黑体" w:hAnsi="黑体" w:eastAsia="黑体" w:cs="黑体"/>
          <w:spacing w:val="18"/>
          <w:sz w:val="30"/>
          <w:szCs w:val="30"/>
        </w:rPr>
        <w:t>专家组评审意见</w:t>
      </w:r>
    </w:p>
    <w:p>
      <w:pPr>
        <w:spacing w:line="136" w:lineRule="exact"/>
      </w:pPr>
    </w:p>
    <w:tbl>
      <w:tblPr>
        <w:tblStyle w:val="8"/>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67"/>
        <w:gridCol w:w="2078"/>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pPr>
              <w:pStyle w:val="9"/>
              <w:spacing w:before="115"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生产(建设)项目名称</w:t>
            </w:r>
          </w:p>
        </w:tc>
        <w:tc>
          <w:tcPr>
            <w:tcW w:w="6588" w:type="dxa"/>
            <w:gridSpan w:val="2"/>
            <w:vAlign w:val="top"/>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宣威市天勋工贸有限公司宣威市田坝镇姑座采石厂</w:t>
            </w:r>
          </w:p>
          <w:p>
            <w:pPr>
              <w:pStyle w:val="9"/>
              <w:spacing w:before="115" w:line="219" w:lineRule="auto"/>
              <w:ind w:left="1363"/>
              <w:rPr>
                <w:rFonts w:hint="eastAsia" w:ascii="宋体" w:hAnsi="宋体" w:eastAsia="宋体" w:cs="宋体"/>
                <w:sz w:val="24"/>
                <w:szCs w:val="24"/>
              </w:rPr>
            </w:pPr>
            <w:r>
              <w:rPr>
                <w:rFonts w:hint="eastAsia" w:ascii="宋体" w:hAnsi="宋体" w:eastAsia="宋体" w:cs="宋体"/>
                <w:sz w:val="24"/>
                <w:szCs w:val="24"/>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Align w:val="top"/>
          </w:tcPr>
          <w:p>
            <w:pPr>
              <w:pStyle w:val="9"/>
              <w:spacing w:before="110"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生产(建设)单位名称</w:t>
            </w:r>
          </w:p>
        </w:tc>
        <w:tc>
          <w:tcPr>
            <w:tcW w:w="6588" w:type="dxa"/>
            <w:gridSpan w:val="2"/>
            <w:vAlign w:val="top"/>
          </w:tcPr>
          <w:p>
            <w:pPr>
              <w:pStyle w:val="9"/>
              <w:spacing w:before="110" w:line="22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宣威市</w:t>
            </w:r>
            <w:r>
              <w:rPr>
                <w:rFonts w:hint="eastAsia" w:cs="宋体"/>
                <w:sz w:val="24"/>
                <w:szCs w:val="24"/>
                <w:lang w:val="en-US" w:eastAsia="zh-CN"/>
              </w:rPr>
              <w:t>天勋工贸</w:t>
            </w:r>
            <w:r>
              <w:rPr>
                <w:rFonts w:hint="eastAsia" w:ascii="宋体" w:hAnsi="宋体" w:eastAsia="宋体" w:cs="宋体"/>
                <w:sz w:val="24"/>
                <w:szCs w:val="24"/>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Align w:val="top"/>
          </w:tcPr>
          <w:p>
            <w:pPr>
              <w:pStyle w:val="9"/>
              <w:spacing w:before="110" w:line="219" w:lineRule="auto"/>
              <w:ind w:left="454"/>
              <w:rPr>
                <w:rFonts w:hint="eastAsia" w:ascii="宋体" w:hAnsi="宋体" w:eastAsia="宋体" w:cs="宋体"/>
                <w:sz w:val="24"/>
                <w:szCs w:val="24"/>
              </w:rPr>
            </w:pPr>
            <w:r>
              <w:rPr>
                <w:rFonts w:hint="eastAsia" w:ascii="宋体" w:hAnsi="宋体" w:eastAsia="宋体" w:cs="宋体"/>
                <w:spacing w:val="1"/>
                <w:sz w:val="24"/>
                <w:szCs w:val="24"/>
              </w:rPr>
              <w:t>方案编制单位名称</w:t>
            </w:r>
          </w:p>
        </w:tc>
        <w:tc>
          <w:tcPr>
            <w:tcW w:w="6588" w:type="dxa"/>
            <w:gridSpan w:val="2"/>
            <w:vAlign w:val="top"/>
          </w:tcPr>
          <w:p>
            <w:pPr>
              <w:pStyle w:val="9"/>
              <w:spacing w:before="110" w:line="219"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曲靖岩土工程勘测有限责任公司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Merge w:val="restart"/>
            <w:tcBorders>
              <w:bottom w:val="nil"/>
            </w:tcBorders>
            <w:vAlign w:val="top"/>
          </w:tcPr>
          <w:p>
            <w:pPr>
              <w:spacing w:line="262" w:lineRule="auto"/>
              <w:rPr>
                <w:rFonts w:hint="eastAsia" w:ascii="宋体" w:hAnsi="宋体" w:eastAsia="宋体" w:cs="宋体"/>
                <w:sz w:val="24"/>
                <w:szCs w:val="24"/>
              </w:rPr>
            </w:pPr>
          </w:p>
          <w:p>
            <w:pPr>
              <w:pStyle w:val="9"/>
              <w:spacing w:before="78" w:line="220" w:lineRule="auto"/>
              <w:ind w:left="335"/>
              <w:rPr>
                <w:rFonts w:hint="eastAsia" w:ascii="宋体" w:hAnsi="宋体" w:eastAsia="宋体" w:cs="宋体"/>
                <w:sz w:val="24"/>
                <w:szCs w:val="24"/>
              </w:rPr>
            </w:pPr>
            <w:r>
              <w:rPr>
                <w:rFonts w:hint="eastAsia" w:ascii="宋体" w:hAnsi="宋体" w:eastAsia="宋体" w:cs="宋体"/>
                <w:spacing w:val="5"/>
                <w:sz w:val="24"/>
                <w:szCs w:val="24"/>
              </w:rPr>
              <w:t>项目用地面积(公顷)</w:t>
            </w:r>
          </w:p>
        </w:tc>
        <w:tc>
          <w:tcPr>
            <w:tcW w:w="2078" w:type="dxa"/>
            <w:vAlign w:val="top"/>
          </w:tcPr>
          <w:p>
            <w:pPr>
              <w:pStyle w:val="9"/>
              <w:spacing w:before="112" w:line="221" w:lineRule="auto"/>
              <w:ind w:left="194"/>
              <w:rPr>
                <w:rFonts w:hint="eastAsia" w:ascii="宋体" w:hAnsi="宋体" w:eastAsia="宋体" w:cs="宋体"/>
                <w:sz w:val="24"/>
                <w:szCs w:val="24"/>
              </w:rPr>
            </w:pPr>
            <w:r>
              <w:rPr>
                <w:rFonts w:hint="eastAsia" w:ascii="宋体" w:hAnsi="宋体" w:eastAsia="宋体" w:cs="宋体"/>
                <w:spacing w:val="1"/>
                <w:sz w:val="24"/>
                <w:szCs w:val="24"/>
              </w:rPr>
              <w:t>永久性建设用地</w:t>
            </w:r>
          </w:p>
        </w:tc>
        <w:tc>
          <w:tcPr>
            <w:tcW w:w="4510" w:type="dxa"/>
            <w:vAlign w:val="top"/>
          </w:tcPr>
          <w:p>
            <w:pPr>
              <w:pStyle w:val="9"/>
              <w:spacing w:before="111" w:line="220" w:lineRule="auto"/>
              <w:ind w:left="1945"/>
              <w:rPr>
                <w:rFonts w:hint="eastAsia" w:ascii="宋体" w:hAnsi="宋体" w:eastAsia="宋体" w:cs="宋体"/>
                <w:sz w:val="24"/>
                <w:szCs w:val="24"/>
              </w:rPr>
            </w:pPr>
            <w:r>
              <w:rPr>
                <w:rFonts w:hint="eastAsia" w:ascii="宋体" w:hAnsi="宋体" w:eastAsia="宋体" w:cs="宋体"/>
                <w:spacing w:val="4"/>
                <w:sz w:val="24"/>
                <w:szCs w:val="24"/>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Merge w:val="continue"/>
            <w:tcBorders>
              <w:top w:val="nil"/>
            </w:tcBorders>
            <w:vAlign w:val="top"/>
          </w:tcPr>
          <w:p>
            <w:pPr>
              <w:rPr>
                <w:rFonts w:hint="eastAsia" w:ascii="宋体" w:hAnsi="宋体" w:eastAsia="宋体" w:cs="宋体"/>
                <w:sz w:val="24"/>
                <w:szCs w:val="24"/>
              </w:rPr>
            </w:pPr>
          </w:p>
        </w:tc>
        <w:tc>
          <w:tcPr>
            <w:tcW w:w="2078" w:type="dxa"/>
            <w:vAlign w:val="top"/>
          </w:tcPr>
          <w:p>
            <w:pPr>
              <w:pStyle w:val="9"/>
              <w:spacing w:before="111" w:line="220" w:lineRule="auto"/>
              <w:ind w:left="313"/>
              <w:rPr>
                <w:rFonts w:hint="eastAsia" w:ascii="宋体" w:hAnsi="宋体" w:eastAsia="宋体" w:cs="宋体"/>
                <w:sz w:val="24"/>
                <w:szCs w:val="24"/>
              </w:rPr>
            </w:pPr>
            <w:r>
              <w:rPr>
                <w:rFonts w:hint="eastAsia" w:ascii="宋体" w:hAnsi="宋体" w:eastAsia="宋体" w:cs="宋体"/>
                <w:spacing w:val="2"/>
                <w:sz w:val="24"/>
                <w:szCs w:val="24"/>
              </w:rPr>
              <w:t>损毁土地面积</w:t>
            </w:r>
          </w:p>
        </w:tc>
        <w:tc>
          <w:tcPr>
            <w:tcW w:w="4510" w:type="dxa"/>
            <w:vAlign w:val="top"/>
          </w:tcPr>
          <w:p>
            <w:pPr>
              <w:pStyle w:val="9"/>
              <w:spacing w:before="111" w:line="220" w:lineRule="auto"/>
              <w:ind w:left="1586"/>
              <w:rPr>
                <w:rFonts w:hint="eastAsia" w:ascii="宋体" w:hAnsi="宋体" w:eastAsia="宋体" w:cs="宋体"/>
                <w:sz w:val="24"/>
                <w:szCs w:val="24"/>
              </w:rPr>
            </w:pPr>
            <w:r>
              <w:rPr>
                <w:rFonts w:hint="eastAsia" w:cs="宋体"/>
                <w:spacing w:val="1"/>
                <w:sz w:val="24"/>
                <w:szCs w:val="24"/>
                <w:lang w:val="en-US" w:eastAsia="zh-CN"/>
              </w:rPr>
              <w:t>15.1911</w:t>
            </w:r>
            <w:r>
              <w:rPr>
                <w:rFonts w:hint="eastAsia" w:ascii="宋体" w:hAnsi="宋体" w:eastAsia="宋体" w:cs="宋体"/>
                <w:spacing w:val="1"/>
                <w:sz w:val="24"/>
                <w:szCs w:val="24"/>
              </w:rPr>
              <w:t>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51" w:type="dxa"/>
            <w:gridSpan w:val="2"/>
            <w:vAlign w:val="top"/>
          </w:tcPr>
          <w:p>
            <w:pPr>
              <w:pStyle w:val="9"/>
              <w:spacing w:before="11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生产规模(或投资规模)</w:t>
            </w:r>
          </w:p>
        </w:tc>
        <w:tc>
          <w:tcPr>
            <w:tcW w:w="6588" w:type="dxa"/>
            <w:gridSpan w:val="2"/>
            <w:vAlign w:val="top"/>
          </w:tcPr>
          <w:p>
            <w:pPr>
              <w:pStyle w:val="9"/>
              <w:spacing w:before="112" w:line="219" w:lineRule="auto"/>
              <w:ind w:left="27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万</w:t>
            </w:r>
            <w:r>
              <w:rPr>
                <w:rFonts w:hint="eastAsia" w:ascii="宋体" w:hAnsi="宋体" w:eastAsia="宋体" w:cs="宋体"/>
                <w:spacing w:val="1"/>
                <w:sz w:val="24"/>
                <w:szCs w:val="24"/>
                <w:lang w:val="en-US" w:eastAsia="zh-CN"/>
              </w:rPr>
              <w:t>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1" w:type="dxa"/>
            <w:gridSpan w:val="2"/>
            <w:vAlign w:val="top"/>
          </w:tcPr>
          <w:p>
            <w:pPr>
              <w:pStyle w:val="9"/>
              <w:spacing w:before="10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服务年限(或建设期限)</w:t>
            </w:r>
          </w:p>
        </w:tc>
        <w:tc>
          <w:tcPr>
            <w:tcW w:w="6588" w:type="dxa"/>
            <w:gridSpan w:val="2"/>
            <w:vAlign w:val="top"/>
          </w:tcPr>
          <w:p>
            <w:pPr>
              <w:pStyle w:val="9"/>
              <w:spacing w:before="102" w:line="219" w:lineRule="auto"/>
              <w:ind w:left="1514"/>
              <w:rPr>
                <w:rFonts w:hint="eastAsia" w:ascii="宋体" w:hAnsi="宋体" w:eastAsia="宋体" w:cs="宋体"/>
                <w:sz w:val="24"/>
                <w:szCs w:val="24"/>
              </w:rPr>
            </w:pPr>
            <w:r>
              <w:rPr>
                <w:rFonts w:hint="eastAsia" w:cs="宋体"/>
                <w:color w:val="auto"/>
                <w:sz w:val="24"/>
                <w:szCs w:val="24"/>
                <w:highlight w:val="none"/>
                <w:lang w:val="en-US" w:eastAsia="zh-CN"/>
              </w:rPr>
              <w:t>22.4</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月至</w:t>
            </w: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46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884" w:type="dxa"/>
            <w:textDirection w:val="tbRlV"/>
            <w:vAlign w:val="top"/>
          </w:tcPr>
          <w:p>
            <w:pPr>
              <w:pStyle w:val="9"/>
              <w:spacing w:before="298" w:line="217" w:lineRule="auto"/>
              <w:ind w:left="2581"/>
              <w:rPr>
                <w:rFonts w:hint="eastAsia" w:ascii="宋体" w:hAnsi="宋体" w:eastAsia="宋体" w:cs="宋体"/>
                <w:sz w:val="24"/>
                <w:szCs w:val="24"/>
                <w:highlight w:val="yellow"/>
              </w:rPr>
            </w:pPr>
            <w:r>
              <w:rPr>
                <w:rFonts w:hint="eastAsia" w:ascii="宋体" w:hAnsi="宋体" w:eastAsia="宋体" w:cs="宋体"/>
                <w:sz w:val="24"/>
                <w:szCs w:val="24"/>
                <w:highlight w:val="none"/>
              </w:rPr>
              <w:t>专</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家</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评</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审</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结</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论</w:t>
            </w:r>
          </w:p>
        </w:tc>
        <w:tc>
          <w:tcPr>
            <w:tcW w:w="8555" w:type="dxa"/>
            <w:gridSpan w:val="3"/>
            <w:vAlign w:val="top"/>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日，受宣威市自然资源局委托，云南省有色地质局三一七队组织专家对曲靖岩土工程勘测有限责任公司编制的《</w:t>
            </w:r>
            <w:r>
              <w:rPr>
                <w:rFonts w:hint="eastAsia" w:ascii="宋体" w:hAnsi="宋体" w:cs="宋体"/>
                <w:sz w:val="24"/>
                <w:highlight w:val="none"/>
              </w:rPr>
              <w:t>宣威市天勋工贸有限公司宣威市田坝镇姑座采石厂</w:t>
            </w:r>
            <w:r>
              <w:rPr>
                <w:rFonts w:hint="eastAsia" w:ascii="宋体" w:hAnsi="宋体" w:eastAsia="宋体" w:cs="宋体"/>
                <w:sz w:val="24"/>
                <w:szCs w:val="24"/>
              </w:rPr>
              <w:t>矿山地质环境保护与土地复垦方案》（以下简称《方案》）进行了评审。专家在会前认真审阅了“方案”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left="420" w:leftChars="200"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pPr>
              <w:spacing w:line="360" w:lineRule="auto"/>
              <w:ind w:firstLine="482"/>
              <w:rPr>
                <w:rFonts w:hint="eastAsia" w:ascii="宋体" w:hAnsi="宋体" w:eastAsia="宋体" w:cs="宋体"/>
                <w:sz w:val="24"/>
                <w:szCs w:val="24"/>
              </w:rPr>
            </w:pPr>
            <w:r>
              <w:rPr>
                <w:rFonts w:hint="eastAsia" w:ascii="宋体" w:hAnsi="宋体" w:eastAsia="宋体" w:cs="宋体"/>
                <w:color w:val="auto"/>
                <w:sz w:val="24"/>
                <w:szCs w:val="24"/>
                <w:lang w:eastAsia="zh-CN"/>
              </w:rPr>
              <w:t>宣威市田坝镇姑座采石厂</w:t>
            </w:r>
            <w:r>
              <w:rPr>
                <w:rFonts w:hint="eastAsia" w:ascii="宋体" w:hAnsi="宋体" w:eastAsia="宋体" w:cs="宋体"/>
                <w:color w:val="auto"/>
                <w:sz w:val="24"/>
                <w:szCs w:val="24"/>
              </w:rPr>
              <w:t>位于宣威市城区</w:t>
            </w: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rPr>
              <w:t>°方向，平距约37km，行政区划属宣威市田坝镇管辖。矿区地理坐标（国家2000大地坐标系极值)：东经104°26′40.771"～104°27′02.671"，北纬26°05′46.956"～26°06′01.688"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eastAsia="zh-CN"/>
              </w:rPr>
              <w:t>宣威市田坝镇姑座采石厂</w:t>
            </w:r>
            <w:r>
              <w:rPr>
                <w:rFonts w:hint="eastAsia" w:ascii="宋体" w:hAnsi="宋体" w:cs="宋体"/>
                <w:sz w:val="24"/>
                <w:highlight w:val="none"/>
              </w:rPr>
              <w:t>为</w:t>
            </w:r>
            <w:r>
              <w:rPr>
                <w:rFonts w:hint="eastAsia" w:ascii="宋体" w:hAnsi="宋体" w:cs="宋体"/>
                <w:sz w:val="24"/>
                <w:highlight w:val="none"/>
                <w:lang w:eastAsia="zh-CN"/>
              </w:rPr>
              <w:t>变更</w:t>
            </w:r>
            <w:r>
              <w:rPr>
                <w:rFonts w:hint="eastAsia" w:ascii="宋体" w:hAnsi="宋体" w:cs="宋体"/>
                <w:sz w:val="24"/>
                <w:highlight w:val="none"/>
              </w:rPr>
              <w:t>采矿权，矿区面积</w:t>
            </w:r>
            <w:r>
              <w:rPr>
                <w:rFonts w:hint="eastAsia" w:ascii="宋体" w:hAnsi="宋体" w:cs="宋体"/>
                <w:sz w:val="24"/>
                <w:highlight w:val="none"/>
                <w:lang w:val="en-US" w:eastAsia="zh-CN"/>
              </w:rPr>
              <w:t>0.1392</w:t>
            </w:r>
            <w:r>
              <w:rPr>
                <w:rFonts w:hint="eastAsia" w:ascii="宋体" w:hAnsi="宋体" w:cs="宋体"/>
                <w:sz w:val="24"/>
                <w:highlight w:val="none"/>
              </w:rPr>
              <w:t>km</w:t>
            </w:r>
            <w:r>
              <w:rPr>
                <w:rFonts w:hint="eastAsia" w:ascii="宋体" w:hAnsi="宋体" w:cs="宋体"/>
                <w:sz w:val="24"/>
                <w:highlight w:val="none"/>
                <w:vertAlign w:val="superscript"/>
              </w:rPr>
              <w:t>2</w:t>
            </w:r>
            <w:r>
              <w:rPr>
                <w:rFonts w:hint="eastAsia" w:ascii="宋体" w:hAnsi="宋体" w:cs="宋体"/>
                <w:sz w:val="24"/>
                <w:highlight w:val="none"/>
              </w:rPr>
              <w:t>，由</w:t>
            </w:r>
            <w:r>
              <w:rPr>
                <w:rFonts w:hint="eastAsia" w:ascii="宋体" w:hAnsi="宋体" w:cs="宋体"/>
                <w:sz w:val="24"/>
                <w:highlight w:val="none"/>
                <w:lang w:val="en-US" w:eastAsia="zh-CN"/>
              </w:rPr>
              <w:t>11</w:t>
            </w:r>
            <w:r>
              <w:rPr>
                <w:rFonts w:hint="eastAsia" w:ascii="宋体" w:hAnsi="宋体" w:cs="宋体"/>
                <w:sz w:val="24"/>
                <w:highlight w:val="none"/>
              </w:rPr>
              <w:t>个拐点圈定，开采标高</w:t>
            </w:r>
            <w:r>
              <w:rPr>
                <w:rFonts w:hint="eastAsia" w:ascii="宋体" w:hAnsi="宋体" w:cs="宋体"/>
                <w:sz w:val="24"/>
                <w:highlight w:val="none"/>
                <w:lang w:val="en-US" w:eastAsia="zh-CN"/>
              </w:rPr>
              <w:t>2234</w:t>
            </w:r>
            <w:r>
              <w:rPr>
                <w:rFonts w:hint="eastAsia" w:ascii="宋体" w:hAnsi="宋体" w:cs="宋体"/>
                <w:sz w:val="24"/>
                <w:highlight w:val="none"/>
              </w:rPr>
              <w:t>m至</w:t>
            </w:r>
            <w:r>
              <w:rPr>
                <w:rFonts w:hint="eastAsia" w:ascii="宋体" w:hAnsi="宋体" w:cs="宋体"/>
                <w:sz w:val="24"/>
                <w:highlight w:val="none"/>
                <w:lang w:val="en-US" w:eastAsia="zh-CN"/>
              </w:rPr>
              <w:t>2110</w:t>
            </w:r>
            <w:r>
              <w:rPr>
                <w:rFonts w:hint="eastAsia" w:ascii="宋体" w:hAnsi="宋体" w:cs="宋体"/>
                <w:sz w:val="24"/>
                <w:highlight w:val="none"/>
              </w:rPr>
              <w:t>m，规划开采规模70万t/a，开采矿种为建筑石料用灰岩，矿山规模为中型，开采方式为露天开采。本次编制方案的目的为办理采矿权的登记手续。</w:t>
            </w:r>
          </w:p>
          <w:p>
            <w:pPr>
              <w:spacing w:line="360"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二、矿山地质环境保护与恢复治理部分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（一）《方案》由</w:t>
            </w:r>
            <w:r>
              <w:rPr>
                <w:rFonts w:hint="eastAsia" w:ascii="宋体" w:hAnsi="宋体" w:eastAsia="宋体" w:cs="宋体"/>
                <w:sz w:val="24"/>
                <w:szCs w:val="24"/>
              </w:rPr>
              <w:t>曲靖岩土工程勘测有限责任公司</w:t>
            </w:r>
            <w:r>
              <w:rPr>
                <w:rFonts w:hint="eastAsia" w:ascii="宋体" w:hAnsi="宋体" w:eastAsia="宋体" w:cs="宋体"/>
                <w:color w:val="000000"/>
                <w:sz w:val="24"/>
                <w:szCs w:val="24"/>
              </w:rPr>
              <w:t>编制，符合云自然资修复</w:t>
            </w:r>
            <w:r>
              <w:rPr>
                <w:rFonts w:hint="eastAsia" w:ascii="宋体" w:hAnsi="宋体" w:eastAsia="宋体" w:cs="宋体"/>
                <w:i w:val="0"/>
                <w:iCs w:val="0"/>
                <w:caps w:val="0"/>
                <w:color w:val="000000"/>
                <w:spacing w:val="0"/>
                <w:sz w:val="24"/>
                <w:szCs w:val="24"/>
                <w:shd w:val="clear" w:fill="FFFFFF"/>
              </w:rPr>
              <w:t>〔2023〕</w:t>
            </w:r>
            <w:bookmarkStart w:id="0" w:name="_GoBack"/>
            <w:bookmarkEnd w:id="0"/>
            <w:r>
              <w:rPr>
                <w:rFonts w:hint="eastAsia" w:ascii="宋体" w:hAnsi="宋体" w:eastAsia="宋体" w:cs="宋体"/>
                <w:color w:val="000000"/>
                <w:sz w:val="24"/>
                <w:szCs w:val="24"/>
              </w:rPr>
              <w:t>321号文相关规定。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000，精度满足要求。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w:t>
            </w:r>
            <w:r>
              <w:rPr>
                <w:rFonts w:hint="eastAsia" w:ascii="宋体" w:hAnsi="宋体" w:cs="宋体"/>
                <w:color w:val="000000"/>
                <w:sz w:val="24"/>
                <w:highlight w:val="none"/>
              </w:rPr>
              <w:t>评估区地质环境条件复杂程度为</w:t>
            </w:r>
            <w:r>
              <w:rPr>
                <w:rFonts w:hint="eastAsia" w:ascii="宋体" w:hAnsi="宋体" w:cs="宋体"/>
                <w:color w:val="000000"/>
                <w:sz w:val="24"/>
                <w:highlight w:val="none"/>
                <w:lang w:eastAsia="zh-CN"/>
              </w:rPr>
              <w:t>复杂</w:t>
            </w:r>
            <w:r>
              <w:rPr>
                <w:rFonts w:hint="eastAsia" w:ascii="宋体" w:hAnsi="宋体" w:cs="宋体"/>
                <w:color w:val="000000"/>
                <w:sz w:val="24"/>
                <w:highlight w:val="none"/>
              </w:rPr>
              <w:t>；矿山地质环境影响程度为</w:t>
            </w:r>
            <w:r>
              <w:rPr>
                <w:rFonts w:hint="eastAsia" w:ascii="宋体" w:hAnsi="宋体" w:cs="宋体"/>
                <w:color w:val="000000"/>
                <w:sz w:val="24"/>
                <w:highlight w:val="none"/>
                <w:lang w:val="en-US" w:eastAsia="zh-CN"/>
              </w:rPr>
              <w:t>较严重</w:t>
            </w:r>
            <w:r>
              <w:rPr>
                <w:rFonts w:hint="eastAsia" w:ascii="宋体" w:hAnsi="宋体" w:cs="宋体"/>
                <w:color w:val="000000"/>
                <w:sz w:val="24"/>
                <w:highlight w:val="none"/>
              </w:rPr>
              <w:t>，</w:t>
            </w:r>
            <w:r>
              <w:rPr>
                <w:rFonts w:hint="eastAsia" w:ascii="宋体" w:hAnsi="宋体" w:cs="宋体"/>
                <w:bCs/>
                <w:sz w:val="24"/>
                <w:highlight w:val="none"/>
              </w:rPr>
              <w:t>按一级精度进行评价，符合规范要求，评估面积</w:t>
            </w:r>
            <w:r>
              <w:rPr>
                <w:rFonts w:hint="eastAsia" w:ascii="宋体" w:hAnsi="宋体" w:cs="宋体"/>
                <w:sz w:val="24"/>
                <w:highlight w:val="none"/>
                <w:lang w:val="en-US" w:eastAsia="zh-CN"/>
              </w:rPr>
              <w:t>0.4132</w:t>
            </w:r>
            <w:r>
              <w:rPr>
                <w:rFonts w:hint="eastAsia" w:ascii="宋体" w:hAnsi="宋体" w:cs="宋体"/>
                <w:bCs/>
                <w:sz w:val="24"/>
                <w:highlight w:val="none"/>
              </w:rPr>
              <w:t>km</w:t>
            </w:r>
            <w:r>
              <w:rPr>
                <w:rFonts w:hint="eastAsia" w:ascii="宋体" w:hAnsi="宋体" w:cs="宋体"/>
                <w:bCs/>
                <w:sz w:val="24"/>
                <w:highlight w:val="none"/>
                <w:vertAlign w:val="superscript"/>
              </w:rPr>
              <w:t>2</w:t>
            </w:r>
            <w:r>
              <w:rPr>
                <w:rFonts w:hint="eastAsia" w:ascii="宋体" w:hAnsi="宋体" w:cs="宋体"/>
                <w:bCs/>
                <w:sz w:val="24"/>
                <w:highlight w:val="none"/>
              </w:rPr>
              <w:t>，基本满足评价工作的需要</w:t>
            </w:r>
            <w:r>
              <w:rPr>
                <w:rFonts w:hint="eastAsia" w:ascii="宋体" w:hAnsi="宋体" w:eastAsia="宋体" w:cs="宋体"/>
                <w:bCs/>
                <w:sz w:val="24"/>
                <w:szCs w:val="24"/>
              </w:rPr>
              <w:t>。</w:t>
            </w:r>
          </w:p>
          <w:p>
            <w:pPr>
              <w:spacing w:line="360" w:lineRule="auto"/>
              <w:ind w:firstLine="465"/>
              <w:rPr>
                <w:rFonts w:hint="eastAsia" w:ascii="宋体" w:hAnsi="宋体" w:eastAsia="宋体" w:cs="宋体"/>
                <w:color w:val="000000"/>
                <w:sz w:val="24"/>
                <w:szCs w:val="24"/>
              </w:rPr>
            </w:pPr>
            <w:r>
              <w:rPr>
                <w:rFonts w:hint="eastAsia" w:ascii="宋体" w:hAnsi="宋体" w:eastAsia="宋体" w:cs="宋体"/>
                <w:color w:val="000000"/>
                <w:sz w:val="24"/>
                <w:szCs w:val="24"/>
              </w:rPr>
              <w:t>（四）</w:t>
            </w:r>
            <w:r>
              <w:rPr>
                <w:rFonts w:hint="eastAsia" w:ascii="宋体" w:hAnsi="宋体" w:cs="宋体"/>
                <w:sz w:val="24"/>
                <w:highlight w:val="none"/>
              </w:rPr>
              <w:t>经过实地调查，</w:t>
            </w:r>
            <w:r>
              <w:rPr>
                <w:rFonts w:hint="eastAsia" w:ascii="宋体" w:hAnsi="宋体" w:cs="宋体"/>
                <w:sz w:val="24"/>
                <w:highlight w:val="none"/>
                <w:lang w:eastAsia="zh-CN"/>
              </w:rPr>
              <w:t>评估区现状发育有</w:t>
            </w:r>
            <w:r>
              <w:rPr>
                <w:rFonts w:hint="eastAsia" w:ascii="宋体" w:hAnsi="宋体" w:cs="宋体"/>
                <w:sz w:val="24"/>
                <w:highlight w:val="none"/>
                <w:lang w:val="en-US" w:eastAsia="zh-CN"/>
              </w:rPr>
              <w:t>两</w:t>
            </w:r>
            <w:r>
              <w:rPr>
                <w:rFonts w:hint="eastAsia" w:ascii="宋体" w:hAnsi="宋体" w:cs="宋体"/>
                <w:sz w:val="24"/>
                <w:highlight w:val="none"/>
                <w:lang w:eastAsia="zh-CN"/>
              </w:rPr>
              <w:t>处不稳定斜坡，地质灾害弱发育，现状地质灾害危害性中等，危险性中等；既有采矿活动对土地资源、地下水资源、景观资源的影响或危害较轻。</w:t>
            </w:r>
            <w:r>
              <w:rPr>
                <w:rFonts w:hint="eastAsia" w:ascii="宋体" w:hAnsi="宋体" w:cs="宋体"/>
                <w:sz w:val="24"/>
                <w:highlight w:val="none"/>
              </w:rPr>
              <w:t>矿山生产建设和生产过程应引起高度重视，矿山建设适宜性为基本适宜。现状评估较客观，基本符合矿山实际</w:t>
            </w:r>
            <w:r>
              <w:rPr>
                <w:rFonts w:hint="eastAsia" w:ascii="宋体" w:hAnsi="宋体" w:eastAsia="宋体" w:cs="宋体"/>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（六）</w:t>
            </w:r>
            <w:r>
              <w:rPr>
                <w:rFonts w:hint="eastAsia" w:ascii="宋体" w:hAnsi="宋体" w:cs="宋体"/>
                <w:color w:val="000000"/>
                <w:sz w:val="24"/>
                <w:highlight w:val="none"/>
              </w:rPr>
              <w:t>本方案在现状评估和预测评估的基础上，将评估区划分为矿山地质环境影响严重区（i）和影响较轻区（iii）二级二区，分级分区基本合理；将评估区划分为重点防治区（A）和一般防治区（C），分级分区基本合理；矿山地质环境保护方案服务年限为</w:t>
            </w:r>
            <w:r>
              <w:rPr>
                <w:rFonts w:hint="eastAsia" w:ascii="宋体" w:hAnsi="宋体" w:cs="宋体"/>
                <w:sz w:val="24"/>
                <w:highlight w:val="none"/>
                <w:lang w:val="en-US" w:eastAsia="zh-CN"/>
              </w:rPr>
              <w:t>22.4</w:t>
            </w:r>
            <w:r>
              <w:rPr>
                <w:rFonts w:hint="eastAsia" w:ascii="宋体" w:hAnsi="宋体" w:cs="宋体"/>
                <w:sz w:val="24"/>
                <w:highlight w:val="none"/>
              </w:rPr>
              <w:t>年（2024年0</w:t>
            </w:r>
            <w:r>
              <w:rPr>
                <w:rFonts w:hint="eastAsia" w:ascii="宋体" w:hAnsi="宋体" w:cs="宋体"/>
                <w:sz w:val="24"/>
                <w:highlight w:val="none"/>
                <w:lang w:val="en-US" w:eastAsia="zh-CN"/>
              </w:rPr>
              <w:t>4</w:t>
            </w:r>
            <w:r>
              <w:rPr>
                <w:rFonts w:hint="eastAsia" w:ascii="宋体" w:hAnsi="宋体" w:cs="宋体"/>
                <w:sz w:val="24"/>
                <w:highlight w:val="none"/>
              </w:rPr>
              <w:t>月～20</w:t>
            </w:r>
            <w:r>
              <w:rPr>
                <w:rFonts w:hint="eastAsia" w:ascii="宋体" w:hAnsi="宋体" w:cs="宋体"/>
                <w:sz w:val="24"/>
                <w:highlight w:val="none"/>
                <w:lang w:val="en-US" w:eastAsia="zh-CN"/>
              </w:rPr>
              <w:t>46</w:t>
            </w:r>
            <w:r>
              <w:rPr>
                <w:rFonts w:hint="eastAsia" w:ascii="宋体" w:hAnsi="宋体" w:cs="宋体"/>
                <w:sz w:val="24"/>
                <w:highlight w:val="none"/>
              </w:rPr>
              <w:t>年</w:t>
            </w:r>
            <w:r>
              <w:rPr>
                <w:rFonts w:hint="eastAsia" w:ascii="宋体" w:hAnsi="宋体" w:cs="宋体"/>
                <w:sz w:val="24"/>
                <w:highlight w:val="none"/>
                <w:lang w:val="en-US" w:eastAsia="zh-CN"/>
              </w:rPr>
              <w:t>09</w:t>
            </w:r>
            <w:r>
              <w:rPr>
                <w:rFonts w:hint="eastAsia" w:ascii="宋体" w:hAnsi="宋体" w:cs="宋体"/>
                <w:sz w:val="24"/>
                <w:highlight w:val="none"/>
              </w:rPr>
              <w:t>月），方案的适用年限为5年（2024年0</w:t>
            </w:r>
            <w:r>
              <w:rPr>
                <w:rFonts w:hint="eastAsia" w:ascii="宋体" w:hAnsi="宋体" w:cs="宋体"/>
                <w:sz w:val="24"/>
                <w:highlight w:val="none"/>
                <w:lang w:val="en-US" w:eastAsia="zh-CN"/>
              </w:rPr>
              <w:t>4</w:t>
            </w:r>
            <w:r>
              <w:rPr>
                <w:rFonts w:hint="eastAsia" w:ascii="宋体" w:hAnsi="宋体" w:cs="宋体"/>
                <w:sz w:val="24"/>
                <w:highlight w:val="none"/>
              </w:rPr>
              <w:t>月至2029年0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color w:val="000000"/>
                <w:sz w:val="24"/>
                <w:highlight w:val="none"/>
              </w:rPr>
              <w:t>是恰当的。综合评估结论客观</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（七）本方案制定的矿山地质环境保护方案包括工程措施、监测措施和管理措施，措施设计有一定针对性和可实施性。</w:t>
            </w:r>
          </w:p>
          <w:p>
            <w:pPr>
              <w:spacing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w:t>
            </w:r>
            <w:r>
              <w:rPr>
                <w:rFonts w:hint="eastAsia" w:ascii="宋体" w:hAnsi="宋体" w:cs="宋体"/>
                <w:color w:val="000000"/>
                <w:sz w:val="24"/>
                <w:highlight w:val="none"/>
              </w:rPr>
              <w:t>《方案》中矿山地质环境保护与治理恢复方案投资估算编制有据，计价计费基本合规，编制年限内估算</w:t>
            </w:r>
            <w:r>
              <w:rPr>
                <w:rFonts w:hint="eastAsia" w:ascii="宋体" w:hAnsi="宋体" w:cs="宋体"/>
                <w:sz w:val="24"/>
                <w:highlight w:val="none"/>
              </w:rPr>
              <w:t>静态总投资</w:t>
            </w:r>
            <w:r>
              <w:rPr>
                <w:rFonts w:hint="eastAsia" w:ascii="宋体" w:hAnsi="宋体" w:cs="宋体"/>
                <w:sz w:val="24"/>
                <w:highlight w:val="none"/>
                <w:lang w:val="en-US" w:eastAsia="zh-CN"/>
              </w:rPr>
              <w:t>117.55</w:t>
            </w:r>
            <w:r>
              <w:rPr>
                <w:rFonts w:hint="eastAsia" w:ascii="宋体" w:hAnsi="宋体" w:cs="宋体"/>
                <w:sz w:val="24"/>
                <w:highlight w:val="none"/>
              </w:rPr>
              <w:t>万元，其中方案适用年限（5年）静态总投资</w:t>
            </w:r>
            <w:r>
              <w:rPr>
                <w:rFonts w:hint="eastAsia" w:ascii="宋体" w:hAnsi="宋体" w:cs="宋体"/>
                <w:sz w:val="24"/>
                <w:highlight w:val="none"/>
                <w:lang w:val="en-US" w:eastAsia="zh-CN"/>
              </w:rPr>
              <w:t>66.44</w:t>
            </w:r>
            <w:r>
              <w:rPr>
                <w:rFonts w:hint="eastAsia" w:ascii="宋体" w:hAnsi="宋体" w:cs="宋体"/>
                <w:sz w:val="24"/>
                <w:highlight w:val="none"/>
              </w:rPr>
              <w:t>万元。动态总投资为</w:t>
            </w:r>
            <w:r>
              <w:rPr>
                <w:rFonts w:hint="eastAsia" w:ascii="宋体" w:hAnsi="宋体" w:cs="宋体"/>
                <w:bCs/>
                <w:sz w:val="24"/>
                <w:highlight w:val="none"/>
                <w:lang w:val="en-US" w:eastAsia="zh-CN"/>
              </w:rPr>
              <w:t>141.29</w:t>
            </w:r>
            <w:r>
              <w:rPr>
                <w:rFonts w:hint="eastAsia" w:ascii="宋体" w:hAnsi="宋体" w:cs="宋体"/>
                <w:sz w:val="24"/>
                <w:highlight w:val="none"/>
              </w:rPr>
              <w:t>万元。其中方案适用期（5年）内动态投资为</w:t>
            </w:r>
            <w:r>
              <w:rPr>
                <w:rFonts w:hint="eastAsia" w:ascii="宋体" w:hAnsi="宋体" w:cs="宋体"/>
                <w:bCs/>
                <w:sz w:val="24"/>
                <w:highlight w:val="none"/>
                <w:lang w:val="en-US" w:eastAsia="zh-CN"/>
              </w:rPr>
              <w:t>74.48</w:t>
            </w:r>
            <w:r>
              <w:rPr>
                <w:rFonts w:hint="eastAsia" w:ascii="宋体" w:hAnsi="宋体" w:cs="宋体"/>
                <w:sz w:val="24"/>
                <w:highlight w:val="none"/>
              </w:rPr>
              <w:t>万元。</w:t>
            </w:r>
            <w:r>
              <w:rPr>
                <w:rFonts w:hint="eastAsia" w:ascii="宋体" w:hAnsi="宋体" w:cs="宋体"/>
                <w:color w:val="000000"/>
                <w:sz w:val="24"/>
                <w:highlight w:val="none"/>
              </w:rPr>
              <w:t>估算结果较合理</w:t>
            </w:r>
            <w:r>
              <w:rPr>
                <w:rFonts w:hint="eastAsia" w:ascii="宋体" w:hAnsi="宋体" w:eastAsia="宋体" w:cs="宋体"/>
                <w:color w:val="000000"/>
                <w:sz w:val="24"/>
                <w:szCs w:val="24"/>
                <w:highlight w:val="none"/>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600" w:firstLineChars="24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三、土地复垦部分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highlight w:val="none"/>
              </w:rPr>
              <w:t>原则同意《方案》中关于宣威市天勋工贸有限公司宣威市田坝镇姑座采石厂矿山地质环境保护与土地复垦方案损毁土地的预测和分析。本项目损毁土地总面积为</w:t>
            </w:r>
            <w:r>
              <w:rPr>
                <w:rFonts w:hint="eastAsia" w:ascii="宋体" w:hAnsi="宋体" w:cs="宋体"/>
                <w:sz w:val="24"/>
                <w:highlight w:val="none"/>
                <w:lang w:val="en-US" w:eastAsia="zh-CN"/>
              </w:rPr>
              <w:t>15.1911</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，其中</w:t>
            </w:r>
            <w:r>
              <w:rPr>
                <w:rFonts w:hint="eastAsia" w:ascii="宋体" w:hAnsi="宋体" w:cs="宋体"/>
                <w:sz w:val="24"/>
                <w:highlight w:val="none"/>
                <w:lang w:eastAsia="zh-CN"/>
              </w:rPr>
              <w:t>灌</w:t>
            </w:r>
            <w:r>
              <w:rPr>
                <w:rFonts w:hint="eastAsia" w:ascii="宋体" w:hAnsi="宋体" w:cs="宋体"/>
                <w:sz w:val="24"/>
                <w:highlight w:val="none"/>
              </w:rPr>
              <w:t>木林地（030</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6.9560</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eastAsia="宋体" w:cs="宋体"/>
                <w:sz w:val="24"/>
                <w:highlight w:val="none"/>
              </w:rPr>
              <w:t>、采矿用地（06</w:t>
            </w:r>
            <w:r>
              <w:rPr>
                <w:rFonts w:hint="eastAsia" w:ascii="宋体" w:hAnsi="宋体" w:cs="宋体"/>
                <w:sz w:val="24"/>
                <w:highlight w:val="none"/>
                <w:lang w:val="en-US" w:eastAsia="zh-CN"/>
              </w:rPr>
              <w:t>0</w:t>
            </w:r>
            <w:r>
              <w:rPr>
                <w:rFonts w:hint="eastAsia" w:ascii="宋体" w:hAnsi="宋体" w:eastAsia="宋体" w:cs="宋体"/>
                <w:sz w:val="24"/>
                <w:highlight w:val="none"/>
              </w:rPr>
              <w:t>2）</w:t>
            </w:r>
            <w:r>
              <w:rPr>
                <w:rFonts w:hint="eastAsia" w:ascii="宋体" w:hAnsi="宋体" w:cs="宋体"/>
                <w:sz w:val="24"/>
                <w:highlight w:val="none"/>
                <w:lang w:val="en-US" w:eastAsia="zh-CN"/>
              </w:rPr>
              <w:t>8.1098</w:t>
            </w:r>
            <w:r>
              <w:rPr>
                <w:rFonts w:hint="eastAsia" w:ascii="宋体" w:hAnsi="宋体" w:eastAsia="宋体" w:cs="宋体"/>
                <w:sz w:val="24"/>
                <w:highlight w:val="none"/>
              </w:rPr>
              <w:t>hm</w:t>
            </w:r>
            <w:r>
              <w:rPr>
                <w:rFonts w:hint="eastAsia" w:ascii="宋体" w:hAnsi="宋体" w:eastAsia="宋体" w:cs="宋体"/>
                <w:sz w:val="24"/>
                <w:highlight w:val="none"/>
                <w:vertAlign w:val="superscript"/>
              </w:rPr>
              <w:t>2</w:t>
            </w:r>
            <w:r>
              <w:rPr>
                <w:rFonts w:hint="eastAsia" w:ascii="宋体" w:hAnsi="宋体" w:eastAsia="宋体" w:cs="宋体"/>
                <w:sz w:val="24"/>
                <w:highlight w:val="none"/>
              </w:rPr>
              <w:t>、</w:t>
            </w:r>
            <w:r>
              <w:rPr>
                <w:rFonts w:hint="eastAsia" w:ascii="宋体" w:hAnsi="宋体" w:cs="宋体"/>
                <w:sz w:val="24"/>
                <w:highlight w:val="none"/>
                <w:vertAlign w:val="baseline"/>
                <w:lang w:val="en-US" w:eastAsia="zh-CN"/>
              </w:rPr>
              <w:t>农村宅基地（0702）0.0166</w:t>
            </w:r>
            <w:r>
              <w:rPr>
                <w:rFonts w:hint="eastAsia" w:ascii="宋体" w:hAnsi="宋体" w:eastAsia="宋体" w:cs="宋体"/>
                <w:sz w:val="24"/>
                <w:highlight w:val="none"/>
              </w:rPr>
              <w:t>hm</w:t>
            </w:r>
            <w:r>
              <w:rPr>
                <w:rFonts w:hint="eastAsia" w:ascii="宋体" w:hAnsi="宋体" w:eastAsia="宋体" w:cs="宋体"/>
                <w:sz w:val="24"/>
                <w:highlight w:val="none"/>
                <w:vertAlign w:val="superscript"/>
              </w:rPr>
              <w:t>2</w:t>
            </w:r>
            <w:r>
              <w:rPr>
                <w:rFonts w:hint="eastAsia" w:ascii="宋体" w:hAnsi="宋体" w:cs="宋体"/>
                <w:sz w:val="24"/>
                <w:highlight w:val="none"/>
                <w:vertAlign w:val="baseline"/>
                <w:lang w:eastAsia="zh-CN"/>
              </w:rPr>
              <w:t>、</w:t>
            </w:r>
            <w:r>
              <w:rPr>
                <w:rFonts w:hint="eastAsia" w:ascii="宋体" w:hAnsi="宋体" w:eastAsia="宋体" w:cs="宋体"/>
                <w:sz w:val="24"/>
                <w:highlight w:val="none"/>
              </w:rPr>
              <w:t>农村道路（100</w:t>
            </w:r>
            <w:r>
              <w:rPr>
                <w:rFonts w:hint="eastAsia" w:ascii="宋体" w:hAnsi="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w:t>
            </w:r>
            <w:r>
              <w:rPr>
                <w:rFonts w:hint="eastAsia" w:ascii="宋体" w:hAnsi="宋体" w:cs="宋体"/>
                <w:sz w:val="24"/>
                <w:highlight w:val="none"/>
                <w:lang w:val="en-US" w:eastAsia="zh-CN"/>
              </w:rPr>
              <w:t>1087</w:t>
            </w:r>
            <w:r>
              <w:rPr>
                <w:rFonts w:hint="eastAsia" w:ascii="宋体" w:hAnsi="宋体" w:eastAsia="宋体" w:cs="宋体"/>
                <w:sz w:val="24"/>
                <w:highlight w:val="none"/>
              </w:rPr>
              <w:t>hm</w:t>
            </w:r>
            <w:r>
              <w:rPr>
                <w:rFonts w:hint="eastAsia" w:ascii="宋体" w:hAnsi="宋体" w:eastAsia="宋体" w:cs="宋体"/>
                <w:sz w:val="24"/>
                <w:highlight w:val="none"/>
                <w:vertAlign w:val="superscript"/>
              </w:rPr>
              <w:t>2</w:t>
            </w:r>
            <w:r>
              <w:rPr>
                <w:rFonts w:hint="eastAsia" w:ascii="宋体" w:hAnsi="宋体" w:eastAsia="宋体" w:cs="宋体"/>
                <w:sz w:val="24"/>
                <w:highlight w:val="none"/>
              </w:rPr>
              <w:t>；损</w:t>
            </w:r>
            <w:r>
              <w:rPr>
                <w:rFonts w:hint="eastAsia" w:ascii="宋体" w:hAnsi="宋体" w:cs="宋体"/>
                <w:sz w:val="24"/>
                <w:highlight w:val="none"/>
              </w:rPr>
              <w:t>毁土地方式为压占和挖损，按损毁土地方式统计，压占损毁土地面积</w:t>
            </w:r>
            <w:r>
              <w:rPr>
                <w:rFonts w:hint="eastAsia" w:ascii="宋体" w:hAnsi="宋体" w:cs="宋体"/>
                <w:sz w:val="24"/>
                <w:highlight w:val="none"/>
                <w:lang w:val="en-US" w:eastAsia="zh-CN"/>
              </w:rPr>
              <w:t>2.6429</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、挖损损毁土地面积</w:t>
            </w:r>
            <w:r>
              <w:rPr>
                <w:rFonts w:hint="eastAsia" w:ascii="宋体" w:hAnsi="宋体" w:cs="宋体"/>
                <w:sz w:val="24"/>
                <w:highlight w:val="none"/>
                <w:lang w:val="en-US" w:eastAsia="zh-CN"/>
              </w:rPr>
              <w:t>12.5482</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；按损毁土地程度统计，轻度损毁土地面积</w:t>
            </w:r>
            <w:r>
              <w:rPr>
                <w:rFonts w:hint="eastAsia" w:ascii="宋体" w:hAnsi="宋体" w:cs="宋体"/>
                <w:sz w:val="24"/>
                <w:highlight w:val="none"/>
                <w:lang w:val="en-US" w:eastAsia="zh-CN"/>
              </w:rPr>
              <w:t>0.4903</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、中度损毁土地面积</w:t>
            </w:r>
            <w:r>
              <w:rPr>
                <w:rFonts w:hint="eastAsia" w:ascii="宋体" w:hAnsi="宋体" w:cs="宋体"/>
                <w:sz w:val="24"/>
                <w:highlight w:val="none"/>
                <w:lang w:val="en-US" w:eastAsia="zh-CN"/>
              </w:rPr>
              <w:t>2.1526</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、重度损毁土地面积</w:t>
            </w:r>
            <w:r>
              <w:rPr>
                <w:rFonts w:hint="eastAsia" w:ascii="宋体" w:hAnsi="宋体" w:cs="宋体"/>
                <w:sz w:val="24"/>
                <w:highlight w:val="none"/>
                <w:lang w:val="en-US" w:eastAsia="zh-CN"/>
              </w:rPr>
              <w:t>12.5482</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。涉及土地权属为</w:t>
            </w:r>
            <w:r>
              <w:rPr>
                <w:rFonts w:hint="eastAsia" w:ascii="宋体" w:hAnsi="宋体" w:cs="宋体"/>
                <w:sz w:val="24"/>
                <w:highlight w:val="none"/>
                <w:lang w:eastAsia="zh-CN"/>
              </w:rPr>
              <w:t>羊</w:t>
            </w:r>
            <w:r>
              <w:rPr>
                <w:rFonts w:hint="eastAsia" w:ascii="宋体" w:hAnsi="宋体" w:cs="宋体"/>
                <w:sz w:val="24"/>
                <w:highlight w:val="none"/>
              </w:rPr>
              <w:t>田坝镇阿迆村民委员会、田坝镇风景村民委员会、田坝镇腊家村民委员会</w:t>
            </w:r>
            <w:r>
              <w:rPr>
                <w:rFonts w:hint="eastAsia" w:ascii="宋体" w:hAnsi="宋体" w:eastAsia="宋体" w:cs="宋体"/>
                <w:sz w:val="24"/>
                <w:szCs w:val="24"/>
              </w:rPr>
              <w:t>。</w:t>
            </w:r>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highlight w:val="none"/>
              </w:rPr>
              <w:t>复垦责任范围面积</w:t>
            </w:r>
            <w:r>
              <w:rPr>
                <w:rFonts w:hint="eastAsia" w:ascii="宋体" w:hAnsi="宋体" w:cs="宋体"/>
                <w:bCs/>
                <w:sz w:val="24"/>
                <w:highlight w:val="none"/>
                <w:lang w:val="en-US" w:eastAsia="zh-CN"/>
              </w:rPr>
              <w:t>15.1911</w:t>
            </w:r>
            <w:r>
              <w:rPr>
                <w:rFonts w:hint="eastAsia" w:ascii="宋体" w:hAnsi="宋体" w:cs="宋体"/>
                <w:kern w:val="0"/>
                <w:sz w:val="24"/>
                <w:highlight w:val="none"/>
                <w:lang w:bidi="ar"/>
              </w:rPr>
              <w:t>hm</w:t>
            </w:r>
            <w:r>
              <w:rPr>
                <w:rFonts w:hint="eastAsia" w:ascii="宋体" w:hAnsi="宋体" w:cs="宋体"/>
                <w:kern w:val="0"/>
                <w:sz w:val="24"/>
                <w:highlight w:val="none"/>
                <w:vertAlign w:val="superscript"/>
                <w:lang w:bidi="ar"/>
              </w:rPr>
              <w:t>2</w:t>
            </w:r>
            <w:r>
              <w:rPr>
                <w:rFonts w:hint="eastAsia" w:ascii="宋体" w:hAnsi="宋体" w:cs="宋体"/>
                <w:sz w:val="24"/>
                <w:highlight w:val="none"/>
              </w:rPr>
              <w:t>，作为复垦配套设施保留面积</w:t>
            </w:r>
            <w:r>
              <w:rPr>
                <w:rFonts w:hint="eastAsia" w:ascii="宋体" w:hAnsi="宋体" w:cs="宋体"/>
                <w:sz w:val="24"/>
                <w:highlight w:val="none"/>
                <w:lang w:val="en-US" w:eastAsia="zh-CN"/>
              </w:rPr>
              <w:t>0.0960</w:t>
            </w:r>
            <w:r>
              <w:rPr>
                <w:rFonts w:hint="eastAsia" w:ascii="宋体" w:hAnsi="宋体" w:cs="宋体"/>
                <w:kern w:val="0"/>
                <w:sz w:val="24"/>
                <w:highlight w:val="none"/>
                <w:lang w:bidi="ar"/>
              </w:rPr>
              <w:t>hm</w:t>
            </w:r>
            <w:r>
              <w:rPr>
                <w:rFonts w:hint="eastAsia" w:ascii="宋体" w:hAnsi="宋体" w:cs="宋体"/>
                <w:kern w:val="0"/>
                <w:sz w:val="24"/>
                <w:highlight w:val="none"/>
                <w:vertAlign w:val="superscript"/>
                <w:lang w:bidi="ar"/>
              </w:rPr>
              <w:t>2</w:t>
            </w:r>
            <w:r>
              <w:rPr>
                <w:rFonts w:hint="eastAsia" w:ascii="宋体" w:hAnsi="宋体" w:cs="宋体"/>
                <w:sz w:val="24"/>
                <w:highlight w:val="none"/>
              </w:rPr>
              <w:t>，最终确定复垦土地面积</w:t>
            </w:r>
            <w:r>
              <w:rPr>
                <w:rFonts w:hint="eastAsia" w:ascii="宋体" w:hAnsi="宋体" w:cs="宋体"/>
                <w:bCs/>
                <w:sz w:val="24"/>
                <w:highlight w:val="none"/>
                <w:lang w:val="en-US" w:eastAsia="zh-CN"/>
              </w:rPr>
              <w:t>15.0951</w:t>
            </w:r>
            <w:r>
              <w:rPr>
                <w:rFonts w:hint="eastAsia" w:ascii="宋体" w:hAnsi="宋体" w:cs="宋体"/>
                <w:kern w:val="0"/>
                <w:sz w:val="24"/>
                <w:highlight w:val="none"/>
                <w:lang w:bidi="ar"/>
              </w:rPr>
              <w:t>hm</w:t>
            </w:r>
            <w:r>
              <w:rPr>
                <w:rFonts w:hint="eastAsia" w:ascii="宋体" w:hAnsi="宋体" w:cs="宋体"/>
                <w:kern w:val="0"/>
                <w:sz w:val="24"/>
                <w:highlight w:val="none"/>
                <w:vertAlign w:val="superscript"/>
                <w:lang w:bidi="ar"/>
              </w:rPr>
              <w:t>2</w:t>
            </w:r>
            <w:r>
              <w:rPr>
                <w:rFonts w:hint="eastAsia" w:ascii="宋体" w:hAnsi="宋体" w:eastAsia="宋体" w:cs="宋体"/>
                <w:sz w:val="24"/>
                <w:szCs w:val="24"/>
              </w:rPr>
              <w:t>。</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highlight w:val="none"/>
              </w:rPr>
              <w:t>原则同意本项目制定的复垦目标和任务，土地复垦适宜性评价过程和结果基本可信。矿山土地复垦方案服务年限为</w:t>
            </w:r>
            <w:r>
              <w:rPr>
                <w:rFonts w:hint="eastAsia" w:ascii="宋体" w:hAnsi="宋体" w:cs="宋体"/>
                <w:sz w:val="24"/>
                <w:highlight w:val="none"/>
                <w:lang w:val="en-US" w:eastAsia="zh-CN"/>
              </w:rPr>
              <w:t>22.4</w:t>
            </w:r>
            <w:r>
              <w:rPr>
                <w:rFonts w:hint="eastAsia" w:ascii="宋体" w:hAnsi="宋体" w:cs="宋体"/>
                <w:sz w:val="24"/>
                <w:highlight w:val="none"/>
              </w:rPr>
              <w:t>年（2024年0</w:t>
            </w:r>
            <w:r>
              <w:rPr>
                <w:rFonts w:hint="eastAsia" w:ascii="宋体" w:hAnsi="宋体" w:cs="宋体"/>
                <w:sz w:val="24"/>
                <w:highlight w:val="none"/>
                <w:lang w:val="en-US" w:eastAsia="zh-CN"/>
              </w:rPr>
              <w:t>4</w:t>
            </w:r>
            <w:r>
              <w:rPr>
                <w:rFonts w:hint="eastAsia" w:ascii="宋体" w:hAnsi="宋体" w:cs="宋体"/>
                <w:sz w:val="24"/>
                <w:highlight w:val="none"/>
              </w:rPr>
              <w:t>月－20</w:t>
            </w:r>
            <w:r>
              <w:rPr>
                <w:rFonts w:hint="eastAsia" w:ascii="宋体" w:hAnsi="宋体" w:cs="宋体"/>
                <w:sz w:val="24"/>
                <w:highlight w:val="none"/>
                <w:lang w:val="en-US" w:eastAsia="zh-CN"/>
              </w:rPr>
              <w:t>46</w:t>
            </w:r>
            <w:r>
              <w:rPr>
                <w:rFonts w:hint="eastAsia" w:ascii="宋体" w:hAnsi="宋体" w:cs="宋体"/>
                <w:sz w:val="24"/>
                <w:highlight w:val="none"/>
              </w:rPr>
              <w:t>年</w:t>
            </w:r>
            <w:r>
              <w:rPr>
                <w:rFonts w:hint="eastAsia" w:ascii="宋体" w:hAnsi="宋体" w:cs="宋体"/>
                <w:sz w:val="24"/>
                <w:highlight w:val="none"/>
                <w:lang w:val="en-US" w:eastAsia="zh-CN"/>
              </w:rPr>
              <w:t>09</w:t>
            </w:r>
            <w:r>
              <w:rPr>
                <w:rFonts w:hint="eastAsia" w:ascii="宋体" w:hAnsi="宋体" w:cs="宋体"/>
                <w:sz w:val="24"/>
                <w:highlight w:val="none"/>
              </w:rPr>
              <w:t>月），方案的适用年限为5年（2024年0</w:t>
            </w:r>
            <w:r>
              <w:rPr>
                <w:rFonts w:hint="eastAsia" w:ascii="宋体" w:hAnsi="宋体" w:cs="宋体"/>
                <w:sz w:val="24"/>
                <w:highlight w:val="none"/>
                <w:lang w:val="en-US" w:eastAsia="zh-CN"/>
              </w:rPr>
              <w:t>4</w:t>
            </w:r>
            <w:r>
              <w:rPr>
                <w:rFonts w:hint="eastAsia" w:ascii="宋体" w:hAnsi="宋体" w:cs="宋体"/>
                <w:sz w:val="24"/>
                <w:highlight w:val="none"/>
              </w:rPr>
              <w:t>月至2029年0</w:t>
            </w:r>
            <w:r>
              <w:rPr>
                <w:rFonts w:hint="eastAsia" w:ascii="宋体" w:hAnsi="宋体" w:cs="宋体"/>
                <w:sz w:val="24"/>
                <w:highlight w:val="none"/>
                <w:lang w:val="en-US" w:eastAsia="zh-CN"/>
              </w:rPr>
              <w:t>4</w:t>
            </w:r>
            <w:r>
              <w:rPr>
                <w:rFonts w:hint="eastAsia" w:ascii="宋体" w:hAnsi="宋体" w:cs="宋体"/>
                <w:sz w:val="24"/>
                <w:highlight w:val="none"/>
              </w:rPr>
              <w:t>月）。规划复垦总面积</w:t>
            </w:r>
            <w:r>
              <w:rPr>
                <w:rFonts w:hint="eastAsia" w:ascii="宋体" w:hAnsi="宋体" w:cs="宋体"/>
                <w:bCs/>
                <w:sz w:val="24"/>
                <w:highlight w:val="none"/>
                <w:lang w:val="en-US" w:eastAsia="zh-CN"/>
              </w:rPr>
              <w:t>15.0951</w:t>
            </w:r>
            <w:r>
              <w:rPr>
                <w:rFonts w:hint="eastAsia" w:ascii="宋体" w:hAnsi="宋体" w:cs="宋体"/>
                <w:sz w:val="24"/>
                <w:highlight w:val="none"/>
              </w:rPr>
              <w:t>公顷（已复垦0公顷），复垦为旱地</w:t>
            </w:r>
            <w:r>
              <w:rPr>
                <w:rFonts w:hint="eastAsia" w:ascii="宋体" w:hAnsi="宋体" w:cs="宋体"/>
                <w:bCs/>
                <w:sz w:val="24"/>
                <w:highlight w:val="none"/>
                <w:lang w:val="en-US" w:eastAsia="zh-CN"/>
              </w:rPr>
              <w:t>1.2598</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、复垦为</w:t>
            </w:r>
            <w:r>
              <w:rPr>
                <w:rFonts w:hint="eastAsia" w:ascii="宋体" w:hAnsi="宋体" w:cs="宋体"/>
                <w:bCs/>
                <w:sz w:val="24"/>
                <w:highlight w:val="none"/>
              </w:rPr>
              <w:t>乔木林地</w:t>
            </w:r>
            <w:r>
              <w:rPr>
                <w:rFonts w:hint="eastAsia" w:ascii="宋体" w:hAnsi="宋体" w:cs="宋体"/>
                <w:bCs/>
                <w:sz w:val="24"/>
                <w:highlight w:val="none"/>
                <w:lang w:val="en-US" w:eastAsia="zh-CN"/>
              </w:rPr>
              <w:t>13.8353</w:t>
            </w:r>
            <w:r>
              <w:rPr>
                <w:rFonts w:hint="eastAsia" w:ascii="宋体" w:hAnsi="宋体" w:cs="宋体"/>
                <w:bCs/>
                <w:sz w:val="24"/>
                <w:highlight w:val="none"/>
              </w:rPr>
              <w:t>hm</w:t>
            </w:r>
            <w:r>
              <w:rPr>
                <w:rFonts w:hint="eastAsia" w:ascii="宋体" w:hAnsi="宋体" w:cs="宋体"/>
                <w:bCs/>
                <w:sz w:val="24"/>
                <w:highlight w:val="none"/>
                <w:vertAlign w:val="superscript"/>
              </w:rPr>
              <w:t>2</w:t>
            </w:r>
            <w:r>
              <w:rPr>
                <w:rFonts w:hint="eastAsia" w:ascii="宋体" w:hAnsi="宋体" w:cs="宋体"/>
                <w:bCs/>
                <w:sz w:val="24"/>
                <w:highlight w:val="none"/>
              </w:rPr>
              <w:t>，</w:t>
            </w:r>
            <w:r>
              <w:rPr>
                <w:rFonts w:hint="eastAsia" w:ascii="宋体" w:hAnsi="宋体" w:cs="宋体"/>
                <w:bCs/>
                <w:sz w:val="24"/>
                <w:highlight w:val="none"/>
                <w:lang w:val="zh-CN"/>
              </w:rPr>
              <w:t>土地复垦率为</w:t>
            </w:r>
            <w:r>
              <w:rPr>
                <w:rFonts w:hint="eastAsia" w:ascii="宋体" w:hAnsi="宋体" w:cs="宋体"/>
                <w:bCs/>
                <w:sz w:val="24"/>
                <w:highlight w:val="none"/>
                <w:lang w:val="en-US" w:eastAsia="zh-CN"/>
              </w:rPr>
              <w:t>99.37</w:t>
            </w:r>
            <w:r>
              <w:rPr>
                <w:rFonts w:hint="eastAsia" w:ascii="宋体" w:hAnsi="宋体" w:cs="宋体"/>
                <w:bCs/>
                <w:sz w:val="24"/>
                <w:highlight w:val="none"/>
                <w:lang w:val="zh-CN"/>
              </w:rPr>
              <w:t>%</w:t>
            </w:r>
            <w:r>
              <w:rPr>
                <w:rFonts w:hint="eastAsia" w:ascii="宋体" w:hAnsi="宋体" w:eastAsia="宋体" w:cs="宋体"/>
                <w:bCs/>
                <w:sz w:val="24"/>
                <w:szCs w:val="24"/>
                <w:lang w:val="zh-CN"/>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（四）原则同意《方案》中提出的预防控制措施和复垦措施。</w:t>
            </w:r>
          </w:p>
          <w:p>
            <w:pPr>
              <w:spacing w:line="36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预防控制措施：（1）各种生产建设活动应严格控制在矿权范围（征地范围线）内，做好土壤和植被的保护措施，施工过程中产生的固废要及时处理。（2）合理地布置工作面及开采顺序，最大程度降低因露天开采挖损对地表土地的损毁。（3）在露天采场设置排水措施、水土保持措施等，防止</w:t>
            </w:r>
            <w:r>
              <w:rPr>
                <w:rFonts w:hint="eastAsia" w:ascii="宋体" w:hAnsi="宋体" w:cs="宋体"/>
                <w:sz w:val="24"/>
                <w:highlight w:val="none"/>
              </w:rPr>
              <w:t>坡体失稳</w:t>
            </w:r>
            <w:r>
              <w:rPr>
                <w:rFonts w:hint="eastAsia" w:ascii="宋体" w:hAnsi="宋体" w:cs="宋体"/>
                <w:color w:val="000000"/>
                <w:sz w:val="24"/>
                <w:highlight w:val="none"/>
              </w:rPr>
              <w:t>、水土流失，预防处理措施得当。（4）对露天采区布设监测措施，监控点布设基本合理，方法得当。（5）在露天采场周边设置警示</w:t>
            </w:r>
            <w:r>
              <w:rPr>
                <w:rFonts w:hint="eastAsia" w:ascii="宋体" w:hAnsi="宋体" w:cs="宋体"/>
                <w:sz w:val="24"/>
                <w:highlight w:val="none"/>
              </w:rPr>
              <w:t>标志，防止附近村民、牲畜不慎跌落，造成人员及经济损失</w:t>
            </w:r>
            <w:r>
              <w:rPr>
                <w:rFonts w:hint="eastAsia" w:ascii="宋体" w:hAnsi="宋体" w:cs="宋体"/>
                <w:color w:val="000000"/>
                <w:sz w:val="24"/>
                <w:highlight w:val="none"/>
              </w:rPr>
              <w:t>，预防处理措施得当。</w:t>
            </w:r>
          </w:p>
          <w:p>
            <w:pPr>
              <w:spacing w:line="360" w:lineRule="auto"/>
              <w:ind w:firstLine="559" w:firstLineChars="233"/>
              <w:rPr>
                <w:rFonts w:ascii="宋体" w:hAnsi="宋体" w:cs="宋体"/>
                <w:color w:val="000000"/>
                <w:sz w:val="24"/>
                <w:highlight w:val="none"/>
              </w:rPr>
            </w:pPr>
            <w:r>
              <w:rPr>
                <w:rFonts w:hint="eastAsia" w:ascii="宋体" w:hAnsi="宋体" w:cs="宋体"/>
                <w:color w:val="000000"/>
                <w:sz w:val="24"/>
                <w:highlight w:val="none"/>
              </w:rPr>
              <w:t>工程技术措施：（1）工业场地复垦工程措施：场地停止使用后，首先对不保留的建筑及生产设施进行拆除及场地清理，并进行覆土，促进耕作条件，对复垦为旱地区域采取生物化学措施进行土壤改良。（2）矿山办公生活区及露天采场底部复垦工程措施：采取乔灌草结合方式复垦为乔木林地，边坡区域在坡脚种植藤本植物</w:t>
            </w:r>
            <w:r>
              <w:rPr>
                <w:rFonts w:hint="eastAsia" w:ascii="宋体" w:hAnsi="宋体" w:cs="宋体"/>
                <w:snapToGrid w:val="0"/>
                <w:kern w:val="0"/>
                <w:sz w:val="24"/>
                <w:highlight w:val="none"/>
              </w:rPr>
              <w:t>以保持水土，增加绿化</w:t>
            </w:r>
            <w:r>
              <w:rPr>
                <w:rFonts w:hint="eastAsia" w:ascii="宋体" w:hAnsi="宋体" w:cs="宋体"/>
                <w:color w:val="000000"/>
                <w:sz w:val="24"/>
                <w:highlight w:val="none"/>
              </w:rPr>
              <w:t>。（3）</w:t>
            </w:r>
            <w:r>
              <w:rPr>
                <w:rFonts w:hint="eastAsia" w:ascii="宋体" w:hAnsi="宋体" w:cs="宋体"/>
                <w:bCs/>
                <w:snapToGrid w:val="0"/>
                <w:kern w:val="0"/>
                <w:sz w:val="24"/>
                <w:highlight w:val="none"/>
              </w:rPr>
              <w:t>安全平台开采边坡</w:t>
            </w:r>
            <w:r>
              <w:rPr>
                <w:rFonts w:hint="eastAsia" w:ascii="宋体" w:hAnsi="宋体" w:cs="宋体"/>
                <w:color w:val="000000"/>
                <w:sz w:val="24"/>
                <w:highlight w:val="none"/>
              </w:rPr>
              <w:t>复垦工程措施：对开采区域采取乔灌草结合方式复垦为乔木林地，边坡区域在坡脚种植藤本植物</w:t>
            </w:r>
            <w:r>
              <w:rPr>
                <w:rFonts w:hint="eastAsia" w:ascii="宋体" w:hAnsi="宋体" w:cs="宋体"/>
                <w:snapToGrid w:val="0"/>
                <w:kern w:val="0"/>
                <w:sz w:val="24"/>
                <w:highlight w:val="none"/>
              </w:rPr>
              <w:t>以保持水土，增加绿化</w:t>
            </w:r>
            <w:r>
              <w:rPr>
                <w:rFonts w:hint="eastAsia" w:ascii="宋体" w:hAnsi="宋体" w:cs="宋体"/>
                <w:color w:val="000000"/>
                <w:sz w:val="24"/>
                <w:highlight w:val="none"/>
              </w:rPr>
              <w:t>。（4）复垦监测措施：对整个复垦过程的复垦措施、复垦效果等动态监测。</w:t>
            </w:r>
          </w:p>
          <w:p>
            <w:pPr>
              <w:spacing w:line="360" w:lineRule="auto"/>
              <w:ind w:firstLine="559" w:firstLineChars="233"/>
              <w:rPr>
                <w:rFonts w:hint="eastAsia" w:ascii="宋体" w:hAnsi="宋体" w:eastAsia="宋体" w:cs="宋体"/>
                <w:color w:val="000000"/>
                <w:sz w:val="24"/>
                <w:szCs w:val="24"/>
              </w:rPr>
            </w:pPr>
            <w:r>
              <w:rPr>
                <w:rFonts w:hint="eastAsia" w:ascii="宋体" w:hAnsi="宋体" w:cs="宋体"/>
                <w:color w:val="000000"/>
                <w:sz w:val="24"/>
                <w:highlight w:val="none"/>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w:t>
            </w:r>
            <w:r>
              <w:rPr>
                <w:rFonts w:hint="eastAsia" w:ascii="宋体" w:hAnsi="宋体" w:cs="宋体"/>
                <w:color w:val="000000"/>
                <w:sz w:val="24"/>
                <w:highlight w:val="none"/>
              </w:rPr>
              <w:t>原则同意土地复垦投资估（概）算结果。确定复垦工程静态总投资为</w:t>
            </w:r>
            <w:r>
              <w:rPr>
                <w:rFonts w:hint="eastAsia" w:ascii="宋体" w:hAnsi="宋体" w:cs="宋体"/>
                <w:sz w:val="24"/>
                <w:highlight w:val="none"/>
                <w:lang w:val="en-US" w:eastAsia="zh-CN"/>
              </w:rPr>
              <w:t>156.42</w:t>
            </w:r>
            <w:r>
              <w:rPr>
                <w:rFonts w:hint="eastAsia" w:ascii="宋体" w:hAnsi="宋体" w:cs="宋体"/>
                <w:color w:val="000000"/>
                <w:sz w:val="24"/>
                <w:highlight w:val="none"/>
              </w:rPr>
              <w:t>万元，亩均静态投资</w:t>
            </w:r>
            <w:r>
              <w:rPr>
                <w:rFonts w:hint="eastAsia" w:ascii="宋体" w:hAnsi="宋体" w:cs="宋体"/>
                <w:sz w:val="24"/>
                <w:highlight w:val="none"/>
                <w:lang w:val="en-US" w:eastAsia="zh-CN"/>
              </w:rPr>
              <w:t>6907.96</w:t>
            </w:r>
            <w:r>
              <w:rPr>
                <w:rFonts w:hint="eastAsia" w:ascii="宋体" w:hAnsi="宋体" w:cs="宋体"/>
                <w:color w:val="000000"/>
                <w:sz w:val="24"/>
                <w:highlight w:val="none"/>
              </w:rPr>
              <w:t>元。其中方案适用期（5年）内静态投资</w:t>
            </w:r>
            <w:r>
              <w:rPr>
                <w:rFonts w:hint="eastAsia" w:ascii="宋体" w:hAnsi="宋体" w:cs="宋体"/>
                <w:color w:val="000000"/>
                <w:sz w:val="24"/>
                <w:highlight w:val="none"/>
                <w:lang w:val="en-US" w:eastAsia="zh-CN"/>
              </w:rPr>
              <w:t xml:space="preserve">45.50 </w:t>
            </w:r>
            <w:r>
              <w:rPr>
                <w:rFonts w:hint="eastAsia" w:ascii="宋体" w:hAnsi="宋体" w:cs="宋体"/>
                <w:color w:val="000000"/>
                <w:sz w:val="24"/>
                <w:highlight w:val="none"/>
              </w:rPr>
              <w:t>万元，开采中后期静态投资</w:t>
            </w:r>
            <w:r>
              <w:rPr>
                <w:rFonts w:hint="eastAsia" w:ascii="宋体" w:hAnsi="宋体" w:cs="宋体"/>
                <w:color w:val="000000"/>
                <w:sz w:val="24"/>
                <w:highlight w:val="none"/>
                <w:lang w:val="en-US" w:eastAsia="zh-CN"/>
              </w:rPr>
              <w:t xml:space="preserve">110.92 </w:t>
            </w:r>
            <w:r>
              <w:rPr>
                <w:rFonts w:hint="eastAsia" w:ascii="宋体" w:hAnsi="宋体" w:cs="宋体"/>
                <w:color w:val="000000"/>
                <w:sz w:val="24"/>
                <w:highlight w:val="none"/>
              </w:rPr>
              <w:t>万元。复垦工程动态总投资为</w:t>
            </w:r>
            <w:r>
              <w:rPr>
                <w:rFonts w:hint="eastAsia" w:ascii="宋体" w:hAnsi="宋体" w:cs="宋体"/>
                <w:sz w:val="24"/>
                <w:highlight w:val="none"/>
                <w:lang w:val="en-US" w:eastAsia="zh-CN"/>
              </w:rPr>
              <w:t>193.59</w:t>
            </w:r>
            <w:r>
              <w:rPr>
                <w:rFonts w:hint="eastAsia" w:ascii="宋体" w:hAnsi="宋体" w:cs="宋体"/>
                <w:color w:val="000000"/>
                <w:sz w:val="24"/>
                <w:highlight w:val="none"/>
              </w:rPr>
              <w:t>万元，亩均投资</w:t>
            </w:r>
            <w:r>
              <w:rPr>
                <w:rFonts w:hint="eastAsia" w:ascii="宋体" w:hAnsi="宋体" w:cs="宋体"/>
                <w:sz w:val="24"/>
                <w:highlight w:val="none"/>
                <w:lang w:val="en-US" w:eastAsia="zh-CN"/>
              </w:rPr>
              <w:t>8549.66</w:t>
            </w:r>
            <w:r>
              <w:rPr>
                <w:rFonts w:hint="eastAsia" w:ascii="宋体" w:hAnsi="宋体" w:cs="宋体"/>
                <w:color w:val="000000"/>
                <w:sz w:val="24"/>
                <w:highlight w:val="none"/>
              </w:rPr>
              <w:t>元。其中方案适用期（5年）动态投资为</w:t>
            </w:r>
            <w:r>
              <w:rPr>
                <w:rFonts w:hint="eastAsia" w:ascii="宋体" w:hAnsi="宋体" w:cs="宋体"/>
                <w:color w:val="000000"/>
                <w:sz w:val="24"/>
                <w:highlight w:val="none"/>
                <w:lang w:val="en-US" w:eastAsia="zh-CN"/>
              </w:rPr>
              <w:t>45.50</w:t>
            </w:r>
            <w:r>
              <w:rPr>
                <w:rFonts w:hint="eastAsia" w:ascii="宋体" w:hAnsi="宋体" w:cs="宋体"/>
                <w:color w:val="000000"/>
                <w:sz w:val="24"/>
                <w:highlight w:val="none"/>
              </w:rPr>
              <w:t>万元；开采中后期</w:t>
            </w:r>
            <w:r>
              <w:rPr>
                <w:rFonts w:hint="eastAsia" w:ascii="宋体" w:hAnsi="宋体" w:cs="宋体"/>
                <w:color w:val="000000"/>
                <w:sz w:val="24"/>
                <w:highlight w:val="none"/>
                <w:lang w:val="en-US" w:eastAsia="zh-CN"/>
              </w:rPr>
              <w:t>及闭坑期</w:t>
            </w:r>
            <w:r>
              <w:rPr>
                <w:rFonts w:hint="eastAsia" w:ascii="宋体" w:hAnsi="宋体" w:cs="宋体"/>
                <w:color w:val="000000"/>
                <w:sz w:val="24"/>
                <w:highlight w:val="none"/>
              </w:rPr>
              <w:t>动态投资为</w:t>
            </w:r>
            <w:r>
              <w:rPr>
                <w:rFonts w:hint="eastAsia" w:ascii="宋体" w:hAnsi="宋体" w:cs="宋体"/>
                <w:color w:val="000000"/>
                <w:sz w:val="24"/>
                <w:highlight w:val="none"/>
                <w:lang w:val="en-US" w:eastAsia="zh-CN"/>
              </w:rPr>
              <w:t>148.09</w:t>
            </w:r>
            <w:r>
              <w:rPr>
                <w:rFonts w:hint="eastAsia" w:ascii="宋体" w:hAnsi="宋体" w:cs="宋体"/>
                <w:color w:val="000000"/>
                <w:sz w:val="24"/>
                <w:highlight w:val="none"/>
              </w:rPr>
              <w:t>万元。</w:t>
            </w:r>
            <w:r>
              <w:rPr>
                <w:rFonts w:hint="eastAsia" w:ascii="宋体" w:hAnsi="宋体" w:cs="宋体"/>
                <w:color w:val="000000"/>
                <w:sz w:val="24"/>
                <w:highlight w:val="none"/>
                <w:lang w:val="zh-CN"/>
              </w:rPr>
              <w:t>项目复垦资金预存按复垦</w:t>
            </w:r>
            <w:r>
              <w:rPr>
                <w:rFonts w:hint="eastAsia" w:ascii="宋体" w:hAnsi="宋体" w:cs="宋体"/>
                <w:color w:val="000000"/>
                <w:sz w:val="24"/>
                <w:highlight w:val="none"/>
              </w:rPr>
              <w:t>方案服务年限进行预存，首期预存资金不低于静态总投资的20%，首期预存资金</w:t>
            </w:r>
            <w:r>
              <w:rPr>
                <w:rFonts w:hint="eastAsia" w:ascii="宋体" w:hAnsi="宋体" w:cs="宋体"/>
                <w:color w:val="000000"/>
                <w:sz w:val="24"/>
                <w:highlight w:val="none"/>
                <w:lang w:val="en-US" w:eastAsia="zh-CN"/>
              </w:rPr>
              <w:t>31.29</w:t>
            </w:r>
            <w:r>
              <w:rPr>
                <w:rFonts w:hint="eastAsia" w:ascii="宋体" w:hAnsi="宋体" w:cs="宋体"/>
                <w:color w:val="000000"/>
                <w:sz w:val="24"/>
                <w:highlight w:val="none"/>
              </w:rPr>
              <w:t>万元</w:t>
            </w:r>
            <w:r>
              <w:rPr>
                <w:rFonts w:hint="eastAsia" w:ascii="宋体" w:hAnsi="宋体" w:cs="宋体"/>
                <w:color w:val="000000"/>
                <w:sz w:val="24"/>
                <w:highlight w:val="none"/>
                <w:lang w:val="zh-CN"/>
              </w:rPr>
              <w:t>。</w:t>
            </w:r>
            <w:r>
              <w:rPr>
                <w:rFonts w:hint="eastAsia" w:ascii="宋体" w:hAnsi="宋体" w:cs="宋体"/>
                <w:color w:val="000000"/>
                <w:sz w:val="24"/>
                <w:highlight w:val="none"/>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r>
              <w:rPr>
                <w:rFonts w:hint="eastAsia" w:ascii="宋体" w:hAnsi="宋体" w:eastAsia="宋体" w:cs="宋体"/>
                <w:color w:val="000000"/>
                <w:sz w:val="24"/>
                <w:szCs w:val="24"/>
              </w:rPr>
              <w:t>。</w:t>
            </w:r>
          </w:p>
          <w:p>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四、专家组强调事项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（二）工程治理措施要有针对性，特别是对废石场的治理及弃渣的管控。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（五）矿山损毁土地中未涉及基本农田。</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pStyle w:val="9"/>
              <w:spacing w:before="202" w:line="360" w:lineRule="auto"/>
              <w:ind w:left="73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五、评审结果</w:t>
            </w:r>
          </w:p>
          <w:p>
            <w:pPr>
              <w:spacing w:line="360" w:lineRule="auto"/>
              <w:ind w:firstLine="448" w:firstLineChars="200"/>
              <w:jc w:val="left"/>
              <w:rPr>
                <w:rFonts w:hint="eastAsia" w:ascii="宋体" w:hAnsi="宋体" w:eastAsia="宋体" w:cs="宋体"/>
                <w:spacing w:val="-4"/>
                <w:sz w:val="24"/>
                <w:szCs w:val="24"/>
                <w:highlight w:val="none"/>
              </w:rPr>
            </w:pPr>
            <w:r>
              <w:rPr>
                <w:rFonts w:hint="eastAsia" w:ascii="宋体" w:hAnsi="宋体" w:eastAsia="宋体" w:cs="宋体"/>
                <w:spacing w:val="-8"/>
                <w:sz w:val="24"/>
                <w:szCs w:val="24"/>
                <w:highlight w:val="none"/>
              </w:rPr>
              <w:t>综上所述，《</w:t>
            </w:r>
            <w:r>
              <w:rPr>
                <w:rFonts w:hint="eastAsia" w:ascii="宋体" w:hAnsi="宋体" w:eastAsia="宋体" w:cs="宋体"/>
                <w:sz w:val="24"/>
                <w:highlight w:val="none"/>
              </w:rPr>
              <w:t>宣威市天勋工贸有限公司宣威市田坝镇姑座采石厂矿山地质环境保护与土地复垦方案</w:t>
            </w:r>
            <w:r>
              <w:rPr>
                <w:rFonts w:hint="eastAsia" w:ascii="宋体" w:hAnsi="宋体" w:eastAsia="宋体" w:cs="宋体"/>
                <w:spacing w:val="-6"/>
                <w:sz w:val="24"/>
                <w:szCs w:val="24"/>
                <w:highlight w:val="none"/>
              </w:rPr>
              <w:t>》的编制基本符合有关文件及技术规范、标准的要求，相关分析依据充分，</w:t>
            </w:r>
            <w:r>
              <w:rPr>
                <w:rFonts w:hint="eastAsia" w:ascii="宋体" w:hAnsi="宋体" w:eastAsia="宋体" w:cs="宋体"/>
                <w:spacing w:val="-3"/>
                <w:sz w:val="24"/>
                <w:szCs w:val="24"/>
                <w:highlight w:val="none"/>
              </w:rPr>
              <w:t>结论基本准确，采取的预防措施、工程技术措施基本可行，投资估算结果基本准确，拟定的工作计划实施基本合理。专家组同意通过评审，编制</w:t>
            </w:r>
            <w:r>
              <w:rPr>
                <w:rFonts w:hint="eastAsia" w:ascii="宋体" w:hAnsi="宋体" w:eastAsia="宋体" w:cs="宋体"/>
                <w:spacing w:val="-4"/>
                <w:sz w:val="24"/>
                <w:szCs w:val="24"/>
                <w:highlight w:val="none"/>
              </w:rPr>
              <w:t>单位已按专家组</w:t>
            </w:r>
            <w:r>
              <w:rPr>
                <w:rFonts w:hint="eastAsia" w:ascii="宋体" w:hAnsi="宋体" w:eastAsia="宋体" w:cs="宋体"/>
                <w:spacing w:val="-3"/>
                <w:sz w:val="24"/>
                <w:szCs w:val="24"/>
                <w:highlight w:val="none"/>
              </w:rPr>
              <w:t>意见修改完善并报专家组长复核，可按规定程序上报备案</w:t>
            </w:r>
            <w:r>
              <w:rPr>
                <w:rFonts w:hint="eastAsia" w:ascii="宋体" w:hAnsi="宋体" w:eastAsia="宋体" w:cs="宋体"/>
                <w:spacing w:val="-4"/>
                <w:sz w:val="24"/>
                <w:szCs w:val="24"/>
                <w:highlight w:val="none"/>
              </w:rPr>
              <w:t>和提供使用。</w:t>
            </w:r>
          </w:p>
          <w:p>
            <w:pPr>
              <w:pStyle w:val="9"/>
              <w:spacing w:before="229" w:line="360"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78" w:line="509" w:lineRule="exact"/>
              <w:ind w:right="56"/>
              <w:jc w:val="center"/>
              <w:rPr>
                <w:rFonts w:hint="eastAsia" w:ascii="宋体" w:hAnsi="宋体" w:eastAsia="宋体" w:cs="宋体"/>
                <w:sz w:val="24"/>
                <w:szCs w:val="24"/>
                <w:highlight w:val="none"/>
              </w:rPr>
            </w:pPr>
            <w:r>
              <w:rPr>
                <w:rFonts w:hint="eastAsia" w:ascii="宋体" w:hAnsi="宋体" w:eastAsia="宋体" w:cs="宋体"/>
                <w:spacing w:val="4"/>
                <w:position w:val="20"/>
                <w:sz w:val="24"/>
                <w:szCs w:val="24"/>
                <w:highlight w:val="none"/>
                <w:lang w:val="en-US" w:eastAsia="zh-CN"/>
              </w:rPr>
              <w:t xml:space="preserve">                          </w:t>
            </w:r>
            <w:r>
              <w:rPr>
                <w:rFonts w:hint="eastAsia" w:ascii="宋体" w:hAnsi="宋体" w:eastAsia="宋体" w:cs="宋体"/>
                <w:spacing w:val="4"/>
                <w:position w:val="20"/>
                <w:sz w:val="24"/>
                <w:szCs w:val="24"/>
                <w:highlight w:val="none"/>
              </w:rPr>
              <w:t>专家组组长(签名):</w:t>
            </w:r>
          </w:p>
          <w:p>
            <w:pPr>
              <w:pStyle w:val="9"/>
              <w:spacing w:before="229" w:line="213" w:lineRule="auto"/>
              <w:ind w:left="720" w:firstLine="4674" w:firstLineChars="1900"/>
              <w:rPr>
                <w:rFonts w:hint="eastAsia" w:ascii="宋体" w:hAnsi="宋体" w:eastAsia="宋体" w:cs="宋体"/>
                <w:spacing w:val="-4"/>
                <w:sz w:val="24"/>
                <w:szCs w:val="24"/>
                <w:highlight w:val="none"/>
              </w:rPr>
            </w:pPr>
            <w:r>
              <w:rPr>
                <w:rFonts w:hint="eastAsia" w:ascii="宋体" w:hAnsi="宋体" w:eastAsia="宋体" w:cs="宋体"/>
                <w:spacing w:val="3"/>
                <w:sz w:val="24"/>
                <w:szCs w:val="24"/>
                <w:highlight w:val="none"/>
              </w:rPr>
              <w:t>年</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日</w:t>
            </w:r>
          </w:p>
          <w:p>
            <w:pPr>
              <w:pStyle w:val="9"/>
              <w:spacing w:before="229" w:line="213" w:lineRule="auto"/>
              <w:ind w:left="720"/>
              <w:rPr>
                <w:rFonts w:hint="eastAsia" w:ascii="宋体" w:hAnsi="宋体" w:eastAsia="宋体" w:cs="宋体"/>
                <w:spacing w:val="-4"/>
                <w:sz w:val="24"/>
                <w:szCs w:val="24"/>
                <w:highlight w:val="yellow"/>
              </w:rPr>
            </w:pPr>
          </w:p>
          <w:p>
            <w:pPr>
              <w:pStyle w:val="9"/>
              <w:spacing w:before="229" w:line="213" w:lineRule="auto"/>
              <w:rPr>
                <w:rFonts w:hint="eastAsia" w:ascii="宋体" w:hAnsi="宋体" w:eastAsia="宋体" w:cs="宋体"/>
                <w:spacing w:val="-4"/>
                <w:sz w:val="24"/>
                <w:szCs w:val="24"/>
                <w:highlight w:val="yellow"/>
              </w:rPr>
            </w:pPr>
          </w:p>
        </w:tc>
      </w:tr>
    </w:tbl>
    <w:p>
      <w:pPr>
        <w:rPr>
          <w:rFonts w:ascii="Arial"/>
          <w:sz w:val="21"/>
          <w:highlight w:val="yellow"/>
        </w:rPr>
      </w:pPr>
    </w:p>
    <w:p>
      <w:pPr>
        <w:rPr>
          <w:rFonts w:ascii="Arial" w:hAnsi="Arial" w:eastAsia="Arial" w:cs="Arial"/>
          <w:sz w:val="21"/>
          <w:szCs w:val="21"/>
          <w:highlight w:val="yellow"/>
        </w:rPr>
        <w:sectPr>
          <w:footerReference r:id="rId5" w:type="default"/>
          <w:pgSz w:w="11910" w:h="16850"/>
          <w:pgMar w:top="1410" w:right="1054" w:bottom="1248" w:left="1405" w:header="0" w:footer="1109" w:gutter="0"/>
          <w:pgNumType w:fmt="decimal"/>
          <w:cols w:space="720" w:num="1"/>
        </w:sectPr>
      </w:pPr>
    </w:p>
    <w:p>
      <w:pPr>
        <w:rPr>
          <w:rFonts w:ascii="Arial"/>
          <w:sz w:val="21"/>
          <w:highlight w:val="yellow"/>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204" w:line="219" w:lineRule="auto"/>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宣威市天勋工贸有限公司宣威市田坝镇姑座采石厂</w:t>
      </w:r>
    </w:p>
    <w:p>
      <w:pPr>
        <w:spacing w:before="204" w:line="219" w:lineRule="auto"/>
        <w:jc w:val="center"/>
        <w:rPr>
          <w:rFonts w:hint="eastAsia" w:ascii="宋体" w:hAnsi="宋体" w:eastAsia="宋体" w:cs="宋体"/>
          <w:sz w:val="36"/>
          <w:szCs w:val="36"/>
        </w:rPr>
      </w:pPr>
      <w:r>
        <w:rPr>
          <w:rFonts w:hint="eastAsia" w:ascii="宋体" w:hAnsi="宋体" w:eastAsia="宋体" w:cs="宋体"/>
          <w:b/>
          <w:bCs/>
          <w:spacing w:val="20"/>
          <w:sz w:val="36"/>
          <w:szCs w:val="36"/>
        </w:rPr>
        <w:t>矿山地质环境保护与土地复垦方案评审专家组名单</w:t>
      </w:r>
    </w:p>
    <w:p>
      <w:pPr>
        <w:spacing w:before="39"/>
        <w:rPr>
          <w:rFonts w:hint="eastAsia" w:ascii="宋体" w:hAnsi="宋体" w:eastAsia="宋体" w:cs="宋体"/>
          <w:sz w:val="36"/>
          <w:szCs w:val="36"/>
        </w:rPr>
      </w:pPr>
    </w:p>
    <w:p>
      <w:pPr>
        <w:spacing w:before="38"/>
        <w:rPr>
          <w:rFonts w:hint="eastAsia" w:ascii="宋体" w:hAnsi="宋体" w:eastAsia="宋体" w:cs="宋体"/>
          <w:sz w:val="36"/>
          <w:szCs w:val="36"/>
        </w:rPr>
      </w:pP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864"/>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165" w:line="221" w:lineRule="auto"/>
              <w:ind w:left="239"/>
              <w:rPr>
                <w:rFonts w:hint="eastAsia" w:ascii="宋体" w:hAnsi="宋体" w:eastAsia="宋体" w:cs="宋体"/>
                <w:sz w:val="36"/>
                <w:szCs w:val="36"/>
                <w:highlight w:val="none"/>
              </w:rPr>
            </w:pPr>
            <w:r>
              <w:rPr>
                <w:rFonts w:hint="eastAsia" w:ascii="宋体" w:hAnsi="宋体" w:eastAsia="宋体" w:cs="宋体"/>
                <w:b/>
                <w:bCs/>
                <w:spacing w:val="1"/>
                <w:sz w:val="36"/>
                <w:szCs w:val="36"/>
                <w:highlight w:val="none"/>
              </w:rPr>
              <w:t>序号</w:t>
            </w:r>
          </w:p>
        </w:tc>
        <w:tc>
          <w:tcPr>
            <w:tcW w:w="1409" w:type="dxa"/>
            <w:vAlign w:val="top"/>
          </w:tcPr>
          <w:p>
            <w:pPr>
              <w:pStyle w:val="9"/>
              <w:spacing w:before="163" w:line="219" w:lineRule="auto"/>
              <w:ind w:left="385"/>
              <w:rPr>
                <w:rFonts w:hint="eastAsia" w:ascii="宋体" w:hAnsi="宋体" w:eastAsia="宋体" w:cs="宋体"/>
                <w:sz w:val="36"/>
                <w:szCs w:val="36"/>
                <w:highlight w:val="none"/>
              </w:rPr>
            </w:pPr>
            <w:r>
              <w:rPr>
                <w:rFonts w:hint="eastAsia" w:ascii="宋体" w:hAnsi="宋体" w:eastAsia="宋体" w:cs="宋体"/>
                <w:b/>
                <w:bCs/>
                <w:spacing w:val="12"/>
                <w:sz w:val="36"/>
                <w:szCs w:val="36"/>
                <w:highlight w:val="none"/>
              </w:rPr>
              <w:t>姓名</w:t>
            </w:r>
          </w:p>
        </w:tc>
        <w:tc>
          <w:tcPr>
            <w:tcW w:w="7864" w:type="dxa"/>
            <w:vAlign w:val="top"/>
          </w:tcPr>
          <w:p>
            <w:pPr>
              <w:pStyle w:val="9"/>
              <w:spacing w:before="164" w:line="220" w:lineRule="auto"/>
              <w:ind w:left="3306"/>
              <w:rPr>
                <w:rFonts w:hint="eastAsia" w:ascii="宋体" w:hAnsi="宋体" w:eastAsia="宋体" w:cs="宋体"/>
                <w:sz w:val="36"/>
                <w:szCs w:val="36"/>
                <w:highlight w:val="none"/>
              </w:rPr>
            </w:pPr>
            <w:r>
              <w:rPr>
                <w:rFonts w:hint="eastAsia" w:ascii="宋体" w:hAnsi="宋体" w:eastAsia="宋体" w:cs="宋体"/>
                <w:b/>
                <w:bCs/>
                <w:spacing w:val="-7"/>
                <w:sz w:val="36"/>
                <w:szCs w:val="36"/>
                <w:highlight w:val="none"/>
              </w:rPr>
              <w:t>工作单位</w:t>
            </w:r>
          </w:p>
        </w:tc>
        <w:tc>
          <w:tcPr>
            <w:tcW w:w="2343" w:type="dxa"/>
            <w:vAlign w:val="top"/>
          </w:tcPr>
          <w:p>
            <w:pPr>
              <w:pStyle w:val="9"/>
              <w:spacing w:before="167" w:line="221" w:lineRule="auto"/>
              <w:ind w:left="862"/>
              <w:rPr>
                <w:rFonts w:hint="eastAsia" w:ascii="宋体" w:hAnsi="宋体" w:eastAsia="宋体" w:cs="宋体"/>
                <w:sz w:val="36"/>
                <w:szCs w:val="36"/>
                <w:highlight w:val="none"/>
              </w:rPr>
            </w:pPr>
            <w:r>
              <w:rPr>
                <w:rFonts w:hint="eastAsia" w:ascii="宋体" w:hAnsi="宋体" w:eastAsia="宋体" w:cs="宋体"/>
                <w:b/>
                <w:bCs/>
                <w:sz w:val="36"/>
                <w:szCs w:val="36"/>
                <w:highlight w:val="none"/>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vAlign w:val="top"/>
          </w:tcPr>
          <w:p>
            <w:pPr>
              <w:pStyle w:val="9"/>
              <w:spacing w:before="243" w:line="184"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1</w:t>
            </w:r>
          </w:p>
        </w:tc>
        <w:tc>
          <w:tcPr>
            <w:tcW w:w="1409"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刘忠发</w:t>
            </w:r>
          </w:p>
        </w:tc>
        <w:tc>
          <w:tcPr>
            <w:tcW w:w="7864"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云南省地质工程勘察有限公司</w:t>
            </w:r>
          </w:p>
        </w:tc>
        <w:tc>
          <w:tcPr>
            <w:tcW w:w="2343"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5"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2</w:t>
            </w:r>
          </w:p>
        </w:tc>
        <w:tc>
          <w:tcPr>
            <w:tcW w:w="1409" w:type="dxa"/>
            <w:vAlign w:val="center"/>
          </w:tcPr>
          <w:p>
            <w:pPr>
              <w:widowControl/>
              <w:jc w:val="center"/>
              <w:textAlignment w:val="center"/>
              <w:rPr>
                <w:rFonts w:hint="eastAsia" w:ascii="宋体" w:hAnsi="宋体" w:eastAsia="宋体" w:cs="宋体"/>
                <w:sz w:val="36"/>
                <w:szCs w:val="36"/>
                <w:highlight w:val="none"/>
                <w:lang w:eastAsia="zh-CN"/>
              </w:rPr>
            </w:pPr>
            <w:r>
              <w:rPr>
                <w:rFonts w:hint="eastAsia" w:ascii="宋体" w:hAnsi="宋体" w:eastAsia="宋体" w:cs="宋体"/>
                <w:color w:val="000000"/>
                <w:kern w:val="0"/>
                <w:sz w:val="36"/>
                <w:szCs w:val="36"/>
                <w:highlight w:val="none"/>
                <w:lang w:val="en-US" w:eastAsia="zh-CN" w:bidi="ar"/>
              </w:rPr>
              <w:t>陆  锦</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曲靖市生态环境局宣威分局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7"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3</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朱家诺</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宣威市林业和草原局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9"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4</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孙</w:t>
            </w:r>
            <w:r>
              <w:rPr>
                <w:rFonts w:hint="eastAsia" w:ascii="宋体" w:hAnsi="宋体" w:eastAsia="宋体" w:cs="宋体"/>
                <w:color w:val="000000"/>
                <w:kern w:val="0"/>
                <w:sz w:val="36"/>
                <w:szCs w:val="36"/>
                <w:highlight w:val="none"/>
                <w:lang w:val="en-US" w:eastAsia="zh-CN" w:bidi="ar"/>
              </w:rPr>
              <w:t xml:space="preserve">  </w:t>
            </w:r>
            <w:r>
              <w:rPr>
                <w:rFonts w:hint="eastAsia" w:ascii="宋体" w:hAnsi="宋体" w:eastAsia="宋体" w:cs="宋体"/>
                <w:color w:val="000000"/>
                <w:kern w:val="0"/>
                <w:sz w:val="36"/>
                <w:szCs w:val="36"/>
                <w:highlight w:val="none"/>
                <w:lang w:bidi="ar"/>
              </w:rPr>
              <w:t>红</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宣威市自然资源局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253" w:line="182"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5</w:t>
            </w:r>
          </w:p>
        </w:tc>
        <w:tc>
          <w:tcPr>
            <w:tcW w:w="1409" w:type="dxa"/>
            <w:vAlign w:val="center"/>
          </w:tcPr>
          <w:p>
            <w:pPr>
              <w:widowControl/>
              <w:jc w:val="center"/>
              <w:textAlignment w:val="center"/>
              <w:rPr>
                <w:rFonts w:hint="default" w:ascii="宋体" w:hAnsi="宋体" w:eastAsia="宋体" w:cs="宋体"/>
                <w:sz w:val="36"/>
                <w:szCs w:val="36"/>
                <w:highlight w:val="none"/>
                <w:lang w:val="en-US"/>
              </w:rPr>
            </w:pPr>
            <w:r>
              <w:rPr>
                <w:rFonts w:hint="eastAsia" w:ascii="宋体" w:hAnsi="宋体" w:eastAsia="宋体" w:cs="宋体"/>
                <w:color w:val="000000"/>
                <w:kern w:val="0"/>
                <w:sz w:val="36"/>
                <w:szCs w:val="36"/>
                <w:highlight w:val="none"/>
                <w:lang w:val="en-US" w:eastAsia="zh-CN" w:bidi="ar"/>
              </w:rPr>
              <w:t>杨  丽</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w:t>
            </w:r>
            <w:r>
              <w:rPr>
                <w:rFonts w:hint="eastAsia" w:ascii="宋体" w:hAnsi="宋体" w:eastAsia="宋体" w:cs="宋体"/>
                <w:color w:val="000000"/>
                <w:kern w:val="0"/>
                <w:sz w:val="36"/>
                <w:szCs w:val="36"/>
                <w:highlight w:val="none"/>
                <w:lang w:val="en-US" w:eastAsia="zh-CN" w:bidi="ar"/>
              </w:rPr>
              <w:t>水务</w:t>
            </w:r>
            <w:r>
              <w:rPr>
                <w:rFonts w:hint="eastAsia" w:ascii="宋体" w:hAnsi="宋体" w:eastAsia="宋体" w:cs="宋体"/>
                <w:color w:val="000000"/>
                <w:kern w:val="0"/>
                <w:sz w:val="36"/>
                <w:szCs w:val="36"/>
                <w:highlight w:val="none"/>
                <w:lang w:bidi="ar"/>
              </w:rPr>
              <w:t>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bl>
    <w:p>
      <w:pPr>
        <w:rPr>
          <w:rFonts w:ascii="Arial"/>
          <w:sz w:val="21"/>
        </w:rPr>
      </w:pPr>
    </w:p>
    <w:sectPr>
      <w:footerReference r:id="rId6"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655"/>
      <w:rPr>
        <w:rFonts w:hint="eastAsia" w:ascii="宋体" w:hAnsi="宋体" w:eastAsia="宋体" w:cs="宋体"/>
        <w:sz w:val="14"/>
        <w:szCs w:val="14"/>
        <w:lang w:val="en-US"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275"/>
      <w:rPr>
        <w:rFonts w:hint="default" w:ascii="宋体" w:hAnsi="宋体" w:eastAsia="宋体" w:cs="宋体"/>
        <w:sz w:val="14"/>
        <w:szCs w:val="14"/>
        <w:lang w:val="en-US" w:eastAsia="zh-CN"/>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000000"/>
    <w:rsid w:val="06931604"/>
    <w:rsid w:val="1470264C"/>
    <w:rsid w:val="18D1084F"/>
    <w:rsid w:val="25086276"/>
    <w:rsid w:val="631E2BDA"/>
    <w:rsid w:val="6DB071D5"/>
    <w:rsid w:val="74E02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360" w:lineRule="auto"/>
      <w:ind w:left="420" w:leftChars="200" w:firstLine="420" w:firstLineChars="200"/>
    </w:pPr>
    <w:rPr>
      <w:sz w:val="28"/>
      <w:szCs w:val="22"/>
    </w:rPr>
  </w:style>
  <w:style w:type="paragraph" w:styleId="3">
    <w:name w:val="Body Text Inden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2024-05-11T07:20:20Z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B0695FACC422450689874A65366FEA6E_12</vt:lpwstr>
  </property>
</Properties>
</file>