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附件2</w:t>
      </w:r>
    </w:p>
    <w:p>
      <w:pPr>
        <w:jc w:val="center"/>
        <w:rPr>
          <w:b/>
          <w:sz w:val="34"/>
          <w:szCs w:val="34"/>
        </w:rPr>
      </w:pPr>
      <w:r>
        <w:rPr>
          <w:rFonts w:hint="eastAsia"/>
          <w:b/>
          <w:sz w:val="34"/>
          <w:szCs w:val="34"/>
        </w:rPr>
        <w:t>宣威市坤山富建材有限公司宣威市宝山镇张光磊石厂</w:t>
      </w:r>
    </w:p>
    <w:p>
      <w:pPr>
        <w:jc w:val="center"/>
        <w:rPr>
          <w:b/>
          <w:sz w:val="34"/>
          <w:szCs w:val="34"/>
        </w:rPr>
      </w:pPr>
      <w:r>
        <w:rPr>
          <w:rFonts w:hint="eastAsia"/>
          <w:b/>
          <w:sz w:val="34"/>
          <w:szCs w:val="34"/>
        </w:rPr>
        <w:t>矿山地质环境保护与土地复垦方案</w:t>
      </w:r>
    </w:p>
    <w:p>
      <w:pPr>
        <w:jc w:val="center"/>
        <w:rPr>
          <w:sz w:val="34"/>
          <w:szCs w:val="34"/>
        </w:rPr>
      </w:pPr>
      <w:r>
        <w:rPr>
          <w:rFonts w:hint="eastAsia"/>
          <w:b/>
          <w:sz w:val="34"/>
          <w:szCs w:val="34"/>
        </w:rPr>
        <w:t>专家组评审意见</w:t>
      </w:r>
    </w:p>
    <w:tbl>
      <w:tblPr>
        <w:tblStyle w:val="4"/>
        <w:tblpPr w:leftFromText="180" w:rightFromText="180" w:vertAnchor="text" w:horzAnchor="margin" w:tblpX="-360" w:tblpY="1"/>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2126"/>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660" w:type="dxa"/>
            <w:gridSpan w:val="2"/>
            <w:vAlign w:val="center"/>
          </w:tcPr>
          <w:p>
            <w:pPr>
              <w:spacing w:line="300" w:lineRule="exact"/>
              <w:jc w:val="center"/>
              <w:rPr>
                <w:rFonts w:ascii="宋体" w:hAnsi="宋体" w:cs="宋体"/>
                <w:sz w:val="24"/>
              </w:rPr>
            </w:pPr>
            <w:r>
              <w:rPr>
                <w:rFonts w:hint="eastAsia" w:ascii="宋体" w:hAnsi="宋体" w:cs="宋体"/>
                <w:sz w:val="24"/>
              </w:rPr>
              <w:t>生产（建设项目）名称</w:t>
            </w:r>
          </w:p>
        </w:tc>
        <w:tc>
          <w:tcPr>
            <w:tcW w:w="6738" w:type="dxa"/>
            <w:gridSpan w:val="2"/>
            <w:vAlign w:val="center"/>
          </w:tcPr>
          <w:p>
            <w:pPr>
              <w:jc w:val="center"/>
              <w:rPr>
                <w:rFonts w:ascii="宋体" w:hAnsi="宋体" w:cs="宋体"/>
                <w:sz w:val="24"/>
              </w:rPr>
            </w:pPr>
            <w:r>
              <w:rPr>
                <w:rFonts w:hint="eastAsia" w:ascii="宋体" w:hAnsi="宋体" w:cs="宋体"/>
                <w:sz w:val="24"/>
              </w:rPr>
              <w:t>宣威市坤山富建材有限公司宣威市宝山镇张光磊石厂</w:t>
            </w:r>
          </w:p>
          <w:p>
            <w:pPr>
              <w:jc w:val="center"/>
              <w:rPr>
                <w:rFonts w:ascii="宋体" w:hAnsi="宋体" w:cs="宋体"/>
                <w:sz w:val="24"/>
              </w:rPr>
            </w:pPr>
            <w:r>
              <w:rPr>
                <w:rFonts w:hint="eastAsia" w:ascii="宋体" w:hAnsi="宋体" w:cs="宋体"/>
                <w:sz w:val="24"/>
              </w:rPr>
              <w:t>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660" w:type="dxa"/>
            <w:gridSpan w:val="2"/>
            <w:vAlign w:val="center"/>
          </w:tcPr>
          <w:p>
            <w:pPr>
              <w:spacing w:line="300" w:lineRule="exact"/>
              <w:jc w:val="center"/>
              <w:rPr>
                <w:rFonts w:ascii="宋体" w:hAnsi="宋体" w:cs="宋体"/>
                <w:sz w:val="24"/>
              </w:rPr>
            </w:pPr>
            <w:r>
              <w:rPr>
                <w:rFonts w:hint="eastAsia" w:ascii="宋体" w:hAnsi="宋体" w:cs="宋体"/>
                <w:sz w:val="24"/>
              </w:rPr>
              <w:t>生产（建设单位）名称</w:t>
            </w:r>
          </w:p>
        </w:tc>
        <w:tc>
          <w:tcPr>
            <w:tcW w:w="6738" w:type="dxa"/>
            <w:gridSpan w:val="2"/>
            <w:vAlign w:val="center"/>
          </w:tcPr>
          <w:p>
            <w:pPr>
              <w:spacing w:line="500" w:lineRule="exact"/>
              <w:jc w:val="center"/>
              <w:rPr>
                <w:rFonts w:ascii="宋体" w:hAnsi="宋体" w:cs="宋体"/>
                <w:sz w:val="24"/>
              </w:rPr>
            </w:pPr>
            <w:r>
              <w:rPr>
                <w:rFonts w:hint="eastAsia" w:ascii="宋体" w:hAnsi="宋体" w:cs="宋体"/>
                <w:sz w:val="24"/>
              </w:rPr>
              <w:t>宣威市坤山富建材有限公司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660" w:type="dxa"/>
            <w:gridSpan w:val="2"/>
            <w:vAlign w:val="center"/>
          </w:tcPr>
          <w:p>
            <w:pPr>
              <w:spacing w:line="300" w:lineRule="exact"/>
              <w:jc w:val="center"/>
              <w:rPr>
                <w:rFonts w:ascii="宋体" w:hAnsi="宋体" w:cs="宋体"/>
                <w:sz w:val="24"/>
              </w:rPr>
            </w:pPr>
            <w:r>
              <w:rPr>
                <w:rFonts w:hint="eastAsia" w:ascii="宋体" w:hAnsi="宋体" w:cs="宋体"/>
                <w:sz w:val="24"/>
              </w:rPr>
              <w:t>方案编制单位名称</w:t>
            </w:r>
          </w:p>
        </w:tc>
        <w:tc>
          <w:tcPr>
            <w:tcW w:w="6738" w:type="dxa"/>
            <w:gridSpan w:val="2"/>
            <w:vAlign w:val="center"/>
          </w:tcPr>
          <w:p>
            <w:pPr>
              <w:spacing w:line="300" w:lineRule="exact"/>
              <w:jc w:val="center"/>
              <w:rPr>
                <w:rFonts w:ascii="宋体" w:hAnsi="宋体" w:cs="宋体"/>
                <w:sz w:val="24"/>
              </w:rPr>
            </w:pPr>
            <w:r>
              <w:rPr>
                <w:rFonts w:hint="eastAsia" w:ascii="宋体" w:hAnsi="宋体" w:cs="宋体"/>
                <w:sz w:val="24"/>
              </w:rPr>
              <w:t>曲靖岩土工程勘测有限责任公司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2660" w:type="dxa"/>
            <w:gridSpan w:val="2"/>
            <w:vMerge w:val="restart"/>
            <w:vAlign w:val="center"/>
          </w:tcPr>
          <w:p>
            <w:pPr>
              <w:spacing w:line="300" w:lineRule="exact"/>
              <w:jc w:val="center"/>
              <w:rPr>
                <w:rFonts w:ascii="宋体" w:hAnsi="宋体" w:cs="宋体"/>
                <w:sz w:val="24"/>
              </w:rPr>
            </w:pPr>
            <w:r>
              <w:rPr>
                <w:rFonts w:hint="eastAsia" w:ascii="宋体" w:hAnsi="宋体" w:cs="宋体"/>
                <w:sz w:val="24"/>
              </w:rPr>
              <w:t>项目用地面积（公顷）</w:t>
            </w:r>
          </w:p>
        </w:tc>
        <w:tc>
          <w:tcPr>
            <w:tcW w:w="2126" w:type="dxa"/>
            <w:vAlign w:val="center"/>
          </w:tcPr>
          <w:p>
            <w:pPr>
              <w:spacing w:line="300" w:lineRule="exact"/>
              <w:jc w:val="center"/>
              <w:rPr>
                <w:rFonts w:ascii="宋体" w:hAnsi="宋体" w:cs="宋体"/>
                <w:sz w:val="24"/>
              </w:rPr>
            </w:pPr>
            <w:r>
              <w:rPr>
                <w:rFonts w:hint="eastAsia" w:ascii="宋体" w:hAnsi="宋体" w:cs="宋体"/>
                <w:sz w:val="24"/>
              </w:rPr>
              <w:t>永久性建设用地</w:t>
            </w:r>
          </w:p>
        </w:tc>
        <w:tc>
          <w:tcPr>
            <w:tcW w:w="4612" w:type="dxa"/>
            <w:vAlign w:val="center"/>
          </w:tcPr>
          <w:p>
            <w:pPr>
              <w:spacing w:line="300" w:lineRule="exact"/>
              <w:jc w:val="center"/>
              <w:rPr>
                <w:rFonts w:ascii="宋体" w:hAnsi="宋体" w:cs="宋体"/>
                <w:sz w:val="24"/>
              </w:rPr>
            </w:pPr>
            <w:r>
              <w:rPr>
                <w:rFonts w:hint="eastAsia" w:ascii="宋体" w:hAnsi="宋体" w:cs="宋体"/>
                <w:sz w:val="24"/>
              </w:rPr>
              <w:t>0公顷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2660" w:type="dxa"/>
            <w:gridSpan w:val="2"/>
            <w:vMerge w:val="continue"/>
            <w:vAlign w:val="center"/>
          </w:tcPr>
          <w:p>
            <w:pPr>
              <w:spacing w:line="300" w:lineRule="exact"/>
              <w:jc w:val="center"/>
              <w:rPr>
                <w:rFonts w:ascii="宋体" w:hAnsi="宋体" w:cs="宋体"/>
                <w:sz w:val="24"/>
              </w:rPr>
            </w:pPr>
          </w:p>
        </w:tc>
        <w:tc>
          <w:tcPr>
            <w:tcW w:w="2126" w:type="dxa"/>
            <w:vAlign w:val="center"/>
          </w:tcPr>
          <w:p>
            <w:pPr>
              <w:spacing w:line="300" w:lineRule="exact"/>
              <w:jc w:val="center"/>
              <w:rPr>
                <w:rFonts w:ascii="宋体" w:hAnsi="宋体" w:cs="宋体"/>
                <w:sz w:val="24"/>
              </w:rPr>
            </w:pPr>
            <w:r>
              <w:rPr>
                <w:rFonts w:hint="eastAsia" w:ascii="宋体" w:hAnsi="宋体" w:cs="宋体"/>
                <w:sz w:val="24"/>
              </w:rPr>
              <w:t>损毁土地面积</w:t>
            </w:r>
          </w:p>
        </w:tc>
        <w:tc>
          <w:tcPr>
            <w:tcW w:w="4612" w:type="dxa"/>
            <w:vAlign w:val="center"/>
          </w:tcPr>
          <w:p>
            <w:pPr>
              <w:spacing w:line="300" w:lineRule="exact"/>
              <w:jc w:val="center"/>
              <w:rPr>
                <w:rFonts w:ascii="宋体" w:hAnsi="宋体" w:cs="宋体"/>
                <w:sz w:val="20"/>
              </w:rPr>
            </w:pPr>
            <w:r>
              <w:rPr>
                <w:rFonts w:ascii="宋体" w:hAnsi="宋体" w:cs="宋体"/>
                <w:sz w:val="24"/>
              </w:rPr>
              <w:t>16.</w:t>
            </w:r>
            <w:r>
              <w:rPr>
                <w:rFonts w:hint="eastAsia" w:ascii="宋体" w:hAnsi="宋体" w:cs="宋体"/>
                <w:sz w:val="24"/>
              </w:rPr>
              <w:t>630公顷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660" w:type="dxa"/>
            <w:gridSpan w:val="2"/>
            <w:vAlign w:val="center"/>
          </w:tcPr>
          <w:p>
            <w:pPr>
              <w:spacing w:line="300" w:lineRule="exact"/>
              <w:jc w:val="center"/>
              <w:rPr>
                <w:rFonts w:ascii="宋体" w:hAnsi="宋体" w:cs="宋体"/>
                <w:sz w:val="24"/>
              </w:rPr>
            </w:pPr>
            <w:r>
              <w:rPr>
                <w:rFonts w:hint="eastAsia" w:ascii="宋体" w:hAnsi="宋体" w:cs="宋体"/>
                <w:sz w:val="24"/>
              </w:rPr>
              <w:t>生产规模（或投资规模）</w:t>
            </w:r>
          </w:p>
        </w:tc>
        <w:tc>
          <w:tcPr>
            <w:tcW w:w="6738" w:type="dxa"/>
            <w:gridSpan w:val="2"/>
            <w:vAlign w:val="center"/>
          </w:tcPr>
          <w:p>
            <w:pPr>
              <w:spacing w:line="500" w:lineRule="exact"/>
              <w:jc w:val="center"/>
              <w:rPr>
                <w:rFonts w:ascii="宋体" w:hAnsi="宋体" w:cs="宋体"/>
                <w:sz w:val="24"/>
              </w:rPr>
            </w:pPr>
            <w:r>
              <w:rPr>
                <w:rFonts w:hint="eastAsia" w:ascii="宋体" w:hAnsi="宋体" w:cs="宋体"/>
                <w:sz w:val="24"/>
              </w:rPr>
              <w:t>7</w:t>
            </w:r>
            <w:r>
              <w:rPr>
                <w:rFonts w:ascii="宋体" w:hAnsi="宋体" w:cs="宋体"/>
                <w:sz w:val="24"/>
              </w:rPr>
              <w:t>0</w:t>
            </w:r>
            <w:r>
              <w:rPr>
                <w:rFonts w:hint="eastAsia" w:ascii="宋体" w:hAnsi="宋体" w:cs="宋体"/>
                <w:sz w:val="24"/>
              </w:rPr>
              <w:t>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660" w:type="dxa"/>
            <w:gridSpan w:val="2"/>
            <w:vAlign w:val="center"/>
          </w:tcPr>
          <w:p>
            <w:pPr>
              <w:spacing w:line="300" w:lineRule="exact"/>
              <w:jc w:val="center"/>
              <w:rPr>
                <w:rFonts w:ascii="宋体" w:hAnsi="宋体" w:cs="宋体"/>
                <w:sz w:val="24"/>
              </w:rPr>
            </w:pPr>
            <w:r>
              <w:rPr>
                <w:rFonts w:hint="eastAsia" w:ascii="宋体" w:hAnsi="宋体" w:cs="宋体"/>
                <w:sz w:val="24"/>
              </w:rPr>
              <w:t>服务年限（或建设期限）</w:t>
            </w:r>
          </w:p>
        </w:tc>
        <w:tc>
          <w:tcPr>
            <w:tcW w:w="6738" w:type="dxa"/>
            <w:gridSpan w:val="2"/>
            <w:vAlign w:val="center"/>
          </w:tcPr>
          <w:p>
            <w:pPr>
              <w:spacing w:line="500" w:lineRule="exact"/>
              <w:jc w:val="center"/>
              <w:rPr>
                <w:rFonts w:ascii="宋体" w:hAnsi="宋体" w:cs="宋体"/>
                <w:sz w:val="24"/>
              </w:rPr>
            </w:pPr>
            <w:r>
              <w:rPr>
                <w:rFonts w:hint="eastAsia" w:ascii="宋体" w:hAnsi="宋体" w:cs="宋体"/>
                <w:sz w:val="24"/>
              </w:rPr>
              <w:t>14年（2</w:t>
            </w:r>
            <w:r>
              <w:rPr>
                <w:rFonts w:ascii="宋体" w:hAnsi="宋体" w:cs="宋体"/>
                <w:sz w:val="24"/>
              </w:rPr>
              <w:t>024</w:t>
            </w:r>
            <w:r>
              <w:rPr>
                <w:rFonts w:hint="eastAsia" w:ascii="宋体" w:hAnsi="宋体" w:cs="宋体"/>
                <w:sz w:val="24"/>
              </w:rPr>
              <w:t>年4月至2</w:t>
            </w:r>
            <w:r>
              <w:rPr>
                <w:rFonts w:ascii="宋体" w:hAnsi="宋体" w:cs="宋体"/>
                <w:sz w:val="24"/>
              </w:rPr>
              <w:t>0</w:t>
            </w:r>
            <w:r>
              <w:rPr>
                <w:rFonts w:hint="eastAsia" w:ascii="宋体" w:hAnsi="宋体" w:cs="宋体"/>
                <w:sz w:val="24"/>
              </w:rPr>
              <w:t>38年4月）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9" w:hRule="atLeast"/>
        </w:trPr>
        <w:tc>
          <w:tcPr>
            <w:tcW w:w="534" w:type="dxa"/>
            <w:vAlign w:val="center"/>
          </w:tcPr>
          <w:p>
            <w:pPr>
              <w:spacing w:line="500" w:lineRule="exact"/>
              <w:jc w:val="center"/>
              <w:rPr>
                <w:rFonts w:ascii="宋体" w:hAnsi="宋体" w:cs="宋体"/>
                <w:sz w:val="24"/>
              </w:rPr>
            </w:pPr>
            <w:r>
              <w:rPr>
                <w:rFonts w:hint="eastAsia" w:ascii="宋体" w:hAnsi="宋体" w:cs="宋体"/>
                <w:sz w:val="24"/>
              </w:rPr>
              <w:t>专家评审意见</w:t>
            </w:r>
          </w:p>
        </w:tc>
        <w:tc>
          <w:tcPr>
            <w:tcW w:w="8864" w:type="dxa"/>
            <w:gridSpan w:val="3"/>
            <w:tcBorders>
              <w:bottom w:val="single" w:color="auto" w:sz="4" w:space="0"/>
            </w:tcBorders>
            <w:vAlign w:val="center"/>
          </w:tcPr>
          <w:p>
            <w:pPr>
              <w:spacing w:line="360" w:lineRule="auto"/>
              <w:ind w:firstLine="480" w:firstLineChars="200"/>
              <w:jc w:val="left"/>
              <w:rPr>
                <w:rFonts w:ascii="宋体" w:hAnsi="宋体" w:cs="宋体"/>
                <w:sz w:val="24"/>
              </w:rPr>
            </w:pPr>
            <w:r>
              <w:rPr>
                <w:rFonts w:hint="eastAsia" w:ascii="宋体" w:hAnsi="宋体" w:cs="宋体"/>
                <w:sz w:val="24"/>
              </w:rPr>
              <w:t>2024年4月23日，受宣威市自然资源局委托，云南省有色地质局三一七队组织专家对曲靖岩土工程勘测有限责任公司编制的《宣威市坤山富建材有限公司宣威市宝山镇张光磊石厂矿山地质环境保护与土地复垦方案》（以下简称《方案》）进行了评审。专家在会前认真审阅了</w:t>
            </w:r>
            <w:r>
              <w:rPr>
                <w:rFonts w:hint="eastAsia" w:ascii="宋体" w:hAnsi="宋体" w:cs="宋体"/>
                <w:sz w:val="24"/>
                <w:lang w:val="en-US" w:eastAsia="zh-CN"/>
              </w:rPr>
              <w:t>《</w:t>
            </w:r>
            <w:r>
              <w:rPr>
                <w:rFonts w:hint="eastAsia" w:ascii="宋体" w:hAnsi="宋体" w:cs="宋体"/>
                <w:sz w:val="24"/>
              </w:rPr>
              <w:t>方案</w:t>
            </w:r>
            <w:r>
              <w:rPr>
                <w:rFonts w:hint="eastAsia" w:ascii="宋体" w:hAnsi="宋体" w:cs="宋体"/>
                <w:sz w:val="24"/>
                <w:lang w:val="en-US" w:eastAsia="zh-CN"/>
              </w:rPr>
              <w:t>》</w:t>
            </w:r>
            <w:r>
              <w:rPr>
                <w:rFonts w:hint="eastAsia" w:ascii="宋体" w:hAnsi="宋体" w:cs="宋体"/>
                <w:sz w:val="24"/>
              </w:rPr>
              <w:t>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pPr>
              <w:spacing w:line="360" w:lineRule="auto"/>
              <w:ind w:firstLine="482" w:firstLineChars="200"/>
              <w:jc w:val="left"/>
              <w:rPr>
                <w:rFonts w:ascii="宋体" w:hAnsi="宋体" w:cs="宋体"/>
                <w:b/>
                <w:sz w:val="24"/>
              </w:rPr>
            </w:pPr>
            <w:r>
              <w:rPr>
                <w:rFonts w:hint="eastAsia" w:ascii="宋体" w:hAnsi="宋体" w:cs="宋体"/>
                <w:b/>
                <w:sz w:val="24"/>
              </w:rPr>
              <w:t>一、项目基本情况</w:t>
            </w:r>
          </w:p>
          <w:p>
            <w:pPr>
              <w:spacing w:line="360" w:lineRule="auto"/>
              <w:ind w:firstLine="480" w:firstLineChars="200"/>
              <w:jc w:val="left"/>
              <w:rPr>
                <w:rFonts w:ascii="宋体" w:hAnsi="宋体" w:cs="宋体"/>
                <w:sz w:val="24"/>
              </w:rPr>
            </w:pPr>
            <w:r>
              <w:rPr>
                <w:rFonts w:hint="eastAsia" w:ascii="宋体" w:hAnsi="宋体" w:cs="宋体"/>
                <w:sz w:val="24"/>
              </w:rPr>
              <w:t>宣威市宝山镇张光磊石厂位于宣威市80°方向，平距约37km，行政区划属于宣威市宝山镇管辖。矿区地理坐标(2000国家大地坐标系极值): 东经104°27′11.480″～104°27′24.551″,北纬26°17′13.250″～26°17′33.402″。宣威市宝山镇张光磊石厂为变更采矿权，矿区面积0.1502km</w:t>
            </w:r>
            <w:r>
              <w:rPr>
                <w:rFonts w:hint="eastAsia" w:ascii="宋体" w:hAnsi="宋体" w:cs="宋体"/>
                <w:sz w:val="24"/>
                <w:vertAlign w:val="superscript"/>
              </w:rPr>
              <w:t>2</w:t>
            </w:r>
            <w:r>
              <w:rPr>
                <w:rFonts w:hint="eastAsia" w:ascii="宋体" w:hAnsi="宋体" w:cs="宋体"/>
                <w:sz w:val="24"/>
              </w:rPr>
              <w:t>，由11个拐点圈定，开采标高2180m～2070m，规划开采规模70万t/a，开采矿种为建筑石料用灰岩，矿山规模为中型，开采方式为露天开采。本次编制方案的目的为办理采矿权的登记手续。</w:t>
            </w:r>
          </w:p>
          <w:p>
            <w:pPr>
              <w:spacing w:line="360" w:lineRule="auto"/>
              <w:ind w:firstLine="482" w:firstLineChars="200"/>
              <w:jc w:val="left"/>
              <w:rPr>
                <w:rFonts w:ascii="宋体" w:hAnsi="宋体" w:cs="宋体"/>
                <w:b/>
                <w:sz w:val="24"/>
              </w:rPr>
            </w:pPr>
            <w:r>
              <w:rPr>
                <w:rFonts w:hint="eastAsia" w:ascii="宋体" w:hAnsi="宋体" w:cs="宋体"/>
                <w:b/>
                <w:sz w:val="24"/>
              </w:rPr>
              <w:t>二、矿山地质环境保护与恢复治理部分</w:t>
            </w:r>
          </w:p>
          <w:p>
            <w:pPr>
              <w:spacing w:line="360" w:lineRule="auto"/>
              <w:ind w:firstLine="480" w:firstLineChars="200"/>
              <w:jc w:val="left"/>
              <w:rPr>
                <w:rFonts w:ascii="宋体" w:hAnsi="宋体" w:cs="宋体"/>
                <w:bCs/>
                <w:iCs/>
                <w:sz w:val="24"/>
              </w:rPr>
            </w:pPr>
            <w:r>
              <w:rPr>
                <w:rFonts w:hint="eastAsia" w:ascii="宋体" w:hAnsi="宋体" w:cs="宋体"/>
                <w:sz w:val="24"/>
              </w:rPr>
              <w:t>（一）《方案》由曲靖岩土工程勘测有限责任公司编制，符合云自然资修复</w:t>
            </w:r>
            <w:r>
              <w:rPr>
                <w:rFonts w:hint="eastAsia" w:ascii="宋体" w:hAnsi="宋体" w:eastAsia="宋体" w:cs="宋体"/>
                <w:i w:val="0"/>
                <w:iCs w:val="0"/>
                <w:caps w:val="0"/>
                <w:color w:val="000000"/>
                <w:spacing w:val="0"/>
                <w:sz w:val="24"/>
                <w:szCs w:val="24"/>
                <w:shd w:val="clear" w:fill="FFFFFF"/>
              </w:rPr>
              <w:t>〔2023〕</w:t>
            </w:r>
            <w:bookmarkStart w:id="0" w:name="_GoBack"/>
            <w:bookmarkEnd w:id="0"/>
            <w:r>
              <w:rPr>
                <w:rFonts w:hint="eastAsia" w:ascii="宋体" w:hAnsi="宋体" w:cs="宋体"/>
                <w:sz w:val="24"/>
              </w:rPr>
              <w:t>321号文相关规定。</w:t>
            </w:r>
          </w:p>
        </w:tc>
      </w:tr>
    </w:tbl>
    <w:p>
      <w:pPr>
        <w:rPr>
          <w:vanish/>
        </w:rPr>
      </w:pP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7" w:hRule="atLeast"/>
        </w:trPr>
        <w:tc>
          <w:tcPr>
            <w:tcW w:w="592" w:type="dxa"/>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8"/>
                <w:szCs w:val="28"/>
              </w:rPr>
            </w:pPr>
            <w:r>
              <w:rPr>
                <w:rFonts w:hint="eastAsia" w:ascii="宋体" w:hAnsi="宋体"/>
                <w:sz w:val="28"/>
                <w:szCs w:val="28"/>
              </w:rPr>
              <w:t>专</w:t>
            </w: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家</w:t>
            </w: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评</w:t>
            </w: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审</w:t>
            </w: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意</w:t>
            </w:r>
          </w:p>
          <w:p>
            <w:pPr>
              <w:jc w:val="center"/>
              <w:rPr>
                <w:rFonts w:ascii="宋体" w:hAnsi="宋体"/>
                <w:sz w:val="28"/>
                <w:szCs w:val="28"/>
              </w:rPr>
            </w:pPr>
          </w:p>
          <w:p>
            <w:pPr>
              <w:jc w:val="center"/>
            </w:pPr>
            <w:r>
              <w:rPr>
                <w:rFonts w:hint="eastAsia" w:ascii="宋体" w:hAnsi="宋体"/>
                <w:sz w:val="28"/>
                <w:szCs w:val="28"/>
              </w:rPr>
              <w:t>见</w:t>
            </w:r>
          </w:p>
        </w:tc>
        <w:tc>
          <w:tcPr>
            <w:tcW w:w="8021" w:type="dxa"/>
          </w:tcPr>
          <w:p>
            <w:pPr>
              <w:spacing w:line="360" w:lineRule="auto"/>
              <w:ind w:firstLine="480" w:firstLineChars="200"/>
              <w:rPr>
                <w:rFonts w:ascii="宋体" w:hAnsi="宋体" w:cs="宋体"/>
                <w:color w:val="000000"/>
                <w:sz w:val="24"/>
              </w:rPr>
            </w:pPr>
            <w:r>
              <w:rPr>
                <w:rFonts w:hint="eastAsia" w:ascii="宋体" w:hAnsi="宋体" w:cs="宋体"/>
                <w:color w:val="000000"/>
                <w:sz w:val="24"/>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1000，精度满足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（三）评估区地质环境条件复杂程度为中等；矿山地质环境影响程度为重要，</w:t>
            </w:r>
            <w:r>
              <w:rPr>
                <w:rFonts w:hint="eastAsia" w:ascii="宋体" w:hAnsi="宋体" w:cs="宋体"/>
                <w:bCs/>
                <w:sz w:val="24"/>
              </w:rPr>
              <w:t>按一级精度进行评价，符合规范要求，评估面积</w:t>
            </w:r>
            <w:r>
              <w:rPr>
                <w:rFonts w:hint="eastAsia" w:ascii="宋体" w:hAnsi="宋体" w:cs="宋体"/>
                <w:sz w:val="24"/>
              </w:rPr>
              <w:t>0.278</w:t>
            </w:r>
            <w:r>
              <w:rPr>
                <w:rFonts w:hint="eastAsia" w:ascii="宋体" w:hAnsi="宋体" w:cs="宋体"/>
                <w:bCs/>
                <w:sz w:val="24"/>
              </w:rPr>
              <w:t>km</w:t>
            </w:r>
            <w:r>
              <w:rPr>
                <w:rFonts w:hint="eastAsia" w:ascii="宋体" w:hAnsi="宋体" w:cs="宋体"/>
                <w:bCs/>
                <w:sz w:val="24"/>
                <w:vertAlign w:val="superscript"/>
              </w:rPr>
              <w:t>2</w:t>
            </w:r>
            <w:r>
              <w:rPr>
                <w:rFonts w:hint="eastAsia" w:ascii="宋体" w:hAnsi="宋体" w:cs="宋体"/>
                <w:bCs/>
                <w:sz w:val="24"/>
              </w:rPr>
              <w:t>，基本满足评价工作的需要。</w:t>
            </w:r>
          </w:p>
          <w:p>
            <w:pPr>
              <w:spacing w:line="360" w:lineRule="auto"/>
              <w:ind w:firstLine="465"/>
              <w:rPr>
                <w:rFonts w:ascii="宋体" w:hAnsi="宋体" w:cs="宋体"/>
                <w:color w:val="000000"/>
                <w:sz w:val="24"/>
                <w:highlight w:val="yellow"/>
              </w:rPr>
            </w:pPr>
            <w:r>
              <w:rPr>
                <w:rFonts w:hint="eastAsia" w:ascii="宋体" w:hAnsi="宋体" w:cs="宋体"/>
                <w:color w:val="000000"/>
                <w:sz w:val="24"/>
              </w:rPr>
              <w:t>（四）</w:t>
            </w:r>
            <w:r>
              <w:rPr>
                <w:rFonts w:hint="eastAsia" w:ascii="宋体" w:hAnsi="宋体" w:cs="宋体"/>
                <w:sz w:val="24"/>
              </w:rPr>
              <w:t>经过实地调查，评估区现状发育有一处不稳定斜坡BW</w:t>
            </w:r>
            <w:r>
              <w:rPr>
                <w:rFonts w:hint="eastAsia" w:ascii="宋体" w:hAnsi="宋体" w:cs="宋体"/>
                <w:sz w:val="24"/>
                <w:vertAlign w:val="subscript"/>
              </w:rPr>
              <w:t>1</w:t>
            </w:r>
            <w:r>
              <w:rPr>
                <w:rFonts w:hint="eastAsia" w:ascii="宋体" w:hAnsi="宋体" w:cs="宋体"/>
                <w:sz w:val="24"/>
              </w:rPr>
              <w:t>，地质灾害弱发育，现状地质灾害危害性中等，危险性中等；既有采矿活动对土地资源、地下水资源、景观资源的影响或危害较轻。矿山生产建设和生产过程应引起高度重视，矿山建设适宜性为基本适宜。现状评估较客观，基本符合矿山实际。</w:t>
            </w:r>
          </w:p>
          <w:p>
            <w:pPr>
              <w:spacing w:line="360" w:lineRule="auto"/>
              <w:rPr>
                <w:rFonts w:ascii="宋体" w:hAnsi="宋体" w:cs="宋体"/>
                <w:color w:val="000000"/>
                <w:sz w:val="24"/>
              </w:rPr>
            </w:pPr>
            <w:r>
              <w:rPr>
                <w:rFonts w:hint="eastAsia" w:ascii="宋体" w:hAnsi="宋体" w:cs="宋体"/>
                <w:color w:val="000000"/>
                <w:sz w:val="24"/>
              </w:rPr>
              <w:t xml:space="preserve">    （五）预测评估认为，矿山闭坑后将消除或减轻地质灾害隐患，最突出的地质环境问题一是严重破坏矿区地形地貌景观，二是大量压占土地资源。预测评估基本符合矿山实际。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ascii="宋体" w:hAnsi="宋体" w:cs="宋体"/>
                <w:color w:val="000000"/>
                <w:sz w:val="24"/>
                <w:highlight w:val="yellow"/>
              </w:rPr>
            </w:pPr>
            <w:r>
              <w:rPr>
                <w:rFonts w:hint="eastAsia" w:ascii="宋体" w:hAnsi="宋体" w:cs="宋体"/>
                <w:color w:val="000000"/>
                <w:sz w:val="24"/>
              </w:rPr>
              <w:t>（六）本方案在现状评估和预测评估的基础上，将评估区划分为矿山地质环境</w:t>
            </w:r>
            <w:r>
              <w:rPr>
                <w:rFonts w:hint="eastAsia" w:ascii="宋体" w:hAnsi="宋体" w:cs="宋体"/>
                <w:sz w:val="24"/>
              </w:rPr>
              <w:t>影响较严重区</w:t>
            </w:r>
            <w:r>
              <w:rPr>
                <w:rFonts w:hint="eastAsia" w:ascii="宋体" w:hAnsi="宋体" w:cs="宋体"/>
                <w:sz w:val="24"/>
                <w:lang w:val="pl-PL"/>
              </w:rPr>
              <w:t>（ii）</w:t>
            </w:r>
            <w:r>
              <w:rPr>
                <w:rFonts w:hint="eastAsia" w:ascii="宋体" w:hAnsi="宋体" w:cs="宋体"/>
                <w:sz w:val="24"/>
              </w:rPr>
              <w:t>和影响一般区（</w:t>
            </w:r>
            <w:r>
              <w:rPr>
                <w:rFonts w:hint="eastAsia" w:ascii="宋体" w:hAnsi="宋体" w:cs="宋体"/>
                <w:sz w:val="24"/>
                <w:lang w:val="pl-PL"/>
              </w:rPr>
              <w:t>iii</w:t>
            </w:r>
            <w:r>
              <w:rPr>
                <w:rFonts w:hint="eastAsia" w:ascii="宋体" w:hAnsi="宋体" w:cs="宋体"/>
                <w:sz w:val="24"/>
              </w:rPr>
              <w:t>）二级二区</w:t>
            </w:r>
            <w:r>
              <w:rPr>
                <w:rFonts w:hint="eastAsia" w:ascii="宋体" w:hAnsi="宋体" w:cs="宋体"/>
                <w:color w:val="000000"/>
                <w:sz w:val="24"/>
              </w:rPr>
              <w:t>，分级分区基本合理；将评估区划分为重点防治区（A）和一般防治区（C），分级分区基本合理；矿山地质环境保护方案服务年限为</w:t>
            </w:r>
            <w:r>
              <w:rPr>
                <w:rFonts w:hint="eastAsia" w:ascii="宋体" w:hAnsi="宋体" w:cs="宋体"/>
                <w:sz w:val="24"/>
              </w:rPr>
              <w:t>14年（2024年4月～2038年4月），方案的适用年限为5年（2024年4月至2029年4月）</w:t>
            </w:r>
            <w:r>
              <w:rPr>
                <w:rFonts w:hint="eastAsia" w:ascii="宋体" w:hAnsi="宋体" w:cs="宋体"/>
                <w:color w:val="000000"/>
                <w:sz w:val="24"/>
              </w:rPr>
              <w:t>是恰当的。综合评估结论客观。</w:t>
            </w:r>
          </w:p>
          <w:p>
            <w:pPr>
              <w:spacing w:line="360" w:lineRule="auto"/>
              <w:rPr>
                <w:rFonts w:ascii="宋体" w:hAnsi="宋体" w:cs="宋体"/>
                <w:color w:val="000000"/>
                <w:sz w:val="24"/>
              </w:rPr>
            </w:pPr>
            <w:r>
              <w:rPr>
                <w:rFonts w:hint="eastAsia" w:ascii="宋体" w:hAnsi="宋体" w:cs="宋体"/>
                <w:color w:val="000000"/>
                <w:sz w:val="24"/>
              </w:rPr>
              <w:t xml:space="preserve">    （七）本方案制定的矿山地质环境保护方案包括工程措施、监测措施和管理措施，措施设计有一定针对性和可实施性。</w:t>
            </w:r>
          </w:p>
          <w:p>
            <w:pPr>
              <w:spacing w:line="360" w:lineRule="auto"/>
              <w:ind w:firstLine="482"/>
              <w:rPr>
                <w:rFonts w:ascii="宋体" w:hAnsi="宋体" w:cs="宋体"/>
                <w:color w:val="000000"/>
                <w:sz w:val="24"/>
              </w:rPr>
            </w:pPr>
            <w:r>
              <w:rPr>
                <w:rFonts w:hint="eastAsia" w:ascii="宋体" w:hAnsi="宋体" w:cs="宋体"/>
                <w:color w:val="000000"/>
                <w:sz w:val="24"/>
              </w:rPr>
              <w:t>（八）《方案》中矿山地质环境保护与治理恢复方案投资估算编制有据，计价计费基本合规，编制年限内估算</w:t>
            </w:r>
            <w:r>
              <w:rPr>
                <w:rFonts w:hint="eastAsia" w:ascii="宋体" w:hAnsi="宋体" w:cs="宋体"/>
                <w:sz w:val="24"/>
              </w:rPr>
              <w:t>静态总投资146.64万元，其中方案适用年限（5年）静态总投资83.06万元。动态总投资为</w:t>
            </w:r>
            <w:r>
              <w:rPr>
                <w:rFonts w:hint="eastAsia" w:ascii="宋体" w:hAnsi="宋体" w:cs="宋体"/>
                <w:bCs/>
                <w:sz w:val="24"/>
              </w:rPr>
              <w:t>179.31</w:t>
            </w:r>
            <w:r>
              <w:rPr>
                <w:rFonts w:hint="eastAsia" w:ascii="宋体" w:hAnsi="宋体" w:cs="宋体"/>
                <w:sz w:val="24"/>
              </w:rPr>
              <w:t>万元。其中方案适用期（5年）内动态投资为</w:t>
            </w:r>
            <w:r>
              <w:rPr>
                <w:rFonts w:hint="eastAsia" w:ascii="宋体" w:hAnsi="宋体" w:cs="宋体"/>
                <w:bCs/>
                <w:sz w:val="24"/>
              </w:rPr>
              <w:t>64.68</w:t>
            </w:r>
            <w:r>
              <w:rPr>
                <w:rFonts w:hint="eastAsia" w:ascii="宋体" w:hAnsi="宋体" w:cs="宋体"/>
                <w:sz w:val="24"/>
              </w:rPr>
              <w:t>万元。</w:t>
            </w:r>
            <w:r>
              <w:rPr>
                <w:rFonts w:hint="eastAsia" w:ascii="宋体" w:hAnsi="宋体" w:cs="宋体"/>
                <w:color w:val="000000"/>
                <w:sz w:val="24"/>
              </w:rPr>
              <w:t>估算结果较合理。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600" w:firstLineChars="249"/>
              <w:rPr>
                <w:rFonts w:ascii="宋体" w:hAnsi="宋体" w:cs="宋体"/>
                <w:b/>
                <w:bCs/>
                <w:color w:val="000000"/>
                <w:sz w:val="24"/>
              </w:rPr>
            </w:pPr>
            <w:r>
              <w:rPr>
                <w:rFonts w:hint="eastAsia" w:ascii="宋体" w:hAnsi="宋体" w:cs="宋体"/>
                <w:b/>
                <w:bCs/>
                <w:color w:val="000000"/>
                <w:sz w:val="24"/>
              </w:rPr>
              <w:t>三、土地复垦部分</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spacing w:line="360" w:lineRule="auto"/>
              <w:ind w:firstLine="480" w:firstLineChars="200"/>
              <w:jc w:val="left"/>
              <w:rPr>
                <w:rFonts w:ascii="宋体" w:hAnsi="宋体" w:cs="宋体"/>
                <w:sz w:val="24"/>
                <w:highlight w:val="yellow"/>
              </w:rPr>
            </w:pPr>
            <w:r>
              <w:rPr>
                <w:rFonts w:hint="eastAsia" w:ascii="宋体" w:hAnsi="宋体" w:cs="宋体"/>
                <w:sz w:val="24"/>
              </w:rPr>
              <w:t>（二）原则同意《方案》中关于宣威市坤山富建材有限公司宣威市宝山镇张光磊石厂矿山地质环境保护与土地复垦方案损毁土地的预测和分析。本项目</w:t>
            </w:r>
            <w:r>
              <w:rPr>
                <w:rFonts w:hint="eastAsia" w:ascii="宋体" w:hAnsi="宋体"/>
                <w:sz w:val="24"/>
              </w:rPr>
              <w:t>损毁土地总面积</w:t>
            </w:r>
            <w:r>
              <w:rPr>
                <w:rFonts w:hint="eastAsia" w:ascii="宋体" w:hAnsi="宋体" w:cs="宋体"/>
                <w:sz w:val="24"/>
              </w:rPr>
              <w:t>为</w:t>
            </w:r>
            <w:r>
              <w:rPr>
                <w:rFonts w:ascii="宋体" w:hAnsi="宋体" w:cs="宋体"/>
                <w:sz w:val="24"/>
              </w:rPr>
              <w:t>16.</w:t>
            </w:r>
            <w:r>
              <w:rPr>
                <w:rFonts w:hint="eastAsia" w:ascii="宋体" w:hAnsi="宋体" w:cs="宋体"/>
                <w:sz w:val="24"/>
              </w:rPr>
              <w:t>630</w:t>
            </w:r>
            <w:r>
              <w:rPr>
                <w:rFonts w:ascii="宋体" w:hAnsi="宋体"/>
                <w:sz w:val="24"/>
              </w:rPr>
              <w:t>hm</w:t>
            </w:r>
            <w:r>
              <w:rPr>
                <w:rFonts w:ascii="宋体" w:hAnsi="宋体"/>
                <w:sz w:val="24"/>
                <w:vertAlign w:val="superscript"/>
              </w:rPr>
              <w:t>2</w:t>
            </w:r>
            <w:r>
              <w:rPr>
                <w:rFonts w:hint="eastAsia" w:ascii="宋体" w:hAnsi="宋体"/>
                <w:sz w:val="24"/>
              </w:rPr>
              <w:t>；其中，已损毁土地面积</w:t>
            </w:r>
            <w:r>
              <w:rPr>
                <w:rFonts w:hint="eastAsia" w:ascii="宋体" w:hAnsi="宋体" w:cs="宋体"/>
                <w:sz w:val="24"/>
              </w:rPr>
              <w:t>6.347hm</w:t>
            </w:r>
            <w:r>
              <w:rPr>
                <w:rFonts w:hint="eastAsia" w:ascii="宋体" w:hAnsi="宋体" w:cs="宋体"/>
                <w:sz w:val="24"/>
                <w:vertAlign w:val="superscript"/>
              </w:rPr>
              <w:t>2</w:t>
            </w:r>
            <w:r>
              <w:rPr>
                <w:rFonts w:hint="eastAsia" w:ascii="宋体" w:hAnsi="宋体"/>
                <w:sz w:val="24"/>
              </w:rPr>
              <w:t>；按土地损毁类型统计，已损毁旱</w:t>
            </w:r>
            <w:r>
              <w:rPr>
                <w:rFonts w:hint="eastAsia" w:ascii="宋体" w:hAnsi="宋体" w:cs="宋体"/>
                <w:sz w:val="24"/>
              </w:rPr>
              <w:t>地0.180hm</w:t>
            </w:r>
            <w:r>
              <w:rPr>
                <w:rFonts w:hint="eastAsia" w:ascii="宋体" w:hAnsi="宋体" w:cs="宋体"/>
                <w:sz w:val="24"/>
                <w:vertAlign w:val="superscript"/>
              </w:rPr>
              <w:t>2</w:t>
            </w:r>
            <w:r>
              <w:rPr>
                <w:rFonts w:hint="eastAsia" w:ascii="宋体" w:hAnsi="宋体" w:cs="宋体"/>
                <w:sz w:val="24"/>
              </w:rPr>
              <w:t>、乔木林地0.249hm</w:t>
            </w:r>
            <w:r>
              <w:rPr>
                <w:rFonts w:hint="eastAsia" w:ascii="宋体" w:hAnsi="宋体" w:cs="宋体"/>
                <w:sz w:val="24"/>
                <w:vertAlign w:val="superscript"/>
              </w:rPr>
              <w:t>2</w:t>
            </w:r>
            <w:r>
              <w:rPr>
                <w:rFonts w:hint="eastAsia" w:ascii="宋体" w:hAnsi="宋体" w:cs="宋体"/>
                <w:sz w:val="24"/>
              </w:rPr>
              <w:t>、灌木林地0.005hm</w:t>
            </w:r>
            <w:r>
              <w:rPr>
                <w:rFonts w:hint="eastAsia" w:ascii="宋体" w:hAnsi="宋体" w:cs="宋体"/>
                <w:sz w:val="24"/>
                <w:vertAlign w:val="superscript"/>
              </w:rPr>
              <w:t>2</w:t>
            </w:r>
            <w:r>
              <w:rPr>
                <w:rFonts w:hint="eastAsia" w:ascii="宋体" w:hAnsi="宋体" w:cs="宋体"/>
                <w:sz w:val="24"/>
              </w:rPr>
              <w:t>、采矿用地5.708hm</w:t>
            </w:r>
            <w:r>
              <w:rPr>
                <w:rFonts w:hint="eastAsia" w:ascii="宋体" w:hAnsi="宋体" w:cs="宋体"/>
                <w:sz w:val="24"/>
                <w:vertAlign w:val="superscript"/>
              </w:rPr>
              <w:t>2</w:t>
            </w:r>
            <w:r>
              <w:rPr>
                <w:rFonts w:hint="eastAsia" w:ascii="宋体" w:hAnsi="宋体" w:cs="宋体"/>
                <w:sz w:val="24"/>
              </w:rPr>
              <w:t>、农村道路0.205hm</w:t>
            </w:r>
            <w:r>
              <w:rPr>
                <w:rFonts w:hint="eastAsia" w:ascii="宋体" w:hAnsi="宋体" w:cs="宋体"/>
                <w:sz w:val="24"/>
                <w:vertAlign w:val="superscript"/>
              </w:rPr>
              <w:t>2</w:t>
            </w:r>
            <w:r>
              <w:rPr>
                <w:rFonts w:hint="eastAsia" w:ascii="宋体" w:hAnsi="宋体" w:cs="宋体"/>
                <w:sz w:val="24"/>
              </w:rPr>
              <w:t>；按损毁土地方式统计，挖损损毁土地2.855hm</w:t>
            </w:r>
            <w:r>
              <w:rPr>
                <w:rFonts w:hint="eastAsia" w:ascii="宋体" w:hAnsi="宋体" w:cs="宋体"/>
                <w:sz w:val="24"/>
                <w:vertAlign w:val="superscript"/>
              </w:rPr>
              <w:t>2</w:t>
            </w:r>
            <w:r>
              <w:rPr>
                <w:rFonts w:hint="eastAsia" w:ascii="宋体" w:hAnsi="宋体" w:cs="宋体"/>
                <w:sz w:val="24"/>
              </w:rPr>
              <w:t>，压占损毁土地3.</w:t>
            </w:r>
            <w:r>
              <w:rPr>
                <w:rFonts w:ascii="宋体" w:hAnsi="宋体" w:cs="宋体"/>
                <w:sz w:val="24"/>
              </w:rPr>
              <w:t>4</w:t>
            </w:r>
            <w:r>
              <w:rPr>
                <w:rFonts w:hint="eastAsia" w:ascii="宋体" w:hAnsi="宋体" w:cs="宋体"/>
                <w:sz w:val="24"/>
              </w:rPr>
              <w:t>92hm</w:t>
            </w:r>
            <w:r>
              <w:rPr>
                <w:rFonts w:hint="eastAsia" w:ascii="宋体" w:hAnsi="宋体" w:cs="宋体"/>
                <w:sz w:val="24"/>
                <w:vertAlign w:val="superscript"/>
              </w:rPr>
              <w:t>2</w:t>
            </w:r>
            <w:r>
              <w:rPr>
                <w:rFonts w:hint="eastAsia" w:ascii="宋体" w:hAnsi="宋体" w:cs="宋体"/>
                <w:sz w:val="24"/>
                <w:lang w:val="pl-PL"/>
              </w:rPr>
              <w:t>。</w:t>
            </w:r>
            <w:r>
              <w:rPr>
                <w:rFonts w:hint="eastAsia" w:ascii="宋体" w:hAnsi="宋体"/>
                <w:sz w:val="24"/>
              </w:rPr>
              <w:t>拟损毁土地面积10.283hm</w:t>
            </w:r>
            <w:r>
              <w:rPr>
                <w:rFonts w:hint="eastAsia" w:ascii="宋体" w:hAnsi="宋体"/>
                <w:sz w:val="24"/>
                <w:vertAlign w:val="superscript"/>
              </w:rPr>
              <w:t>2</w:t>
            </w:r>
            <w:r>
              <w:rPr>
                <w:rFonts w:hint="eastAsia" w:ascii="宋体" w:hAnsi="宋体"/>
                <w:sz w:val="24"/>
              </w:rPr>
              <w:t>；按土地损毁类型统计，旱</w:t>
            </w:r>
            <w:r>
              <w:rPr>
                <w:rFonts w:hint="eastAsia" w:ascii="宋体" w:hAnsi="宋体" w:cs="宋体"/>
                <w:sz w:val="24"/>
              </w:rPr>
              <w:t>地1.783hm</w:t>
            </w:r>
            <w:r>
              <w:rPr>
                <w:rFonts w:hint="eastAsia" w:ascii="宋体" w:hAnsi="宋体" w:cs="宋体"/>
                <w:sz w:val="24"/>
                <w:vertAlign w:val="superscript"/>
              </w:rPr>
              <w:t>2</w:t>
            </w:r>
            <w:r>
              <w:rPr>
                <w:rFonts w:hint="eastAsia" w:ascii="宋体" w:hAnsi="宋体" w:cs="宋体"/>
                <w:sz w:val="24"/>
              </w:rPr>
              <w:t>、乔木林地3.071hm</w:t>
            </w:r>
            <w:r>
              <w:rPr>
                <w:rFonts w:hint="eastAsia" w:ascii="宋体" w:hAnsi="宋体" w:cs="宋体"/>
                <w:sz w:val="24"/>
                <w:vertAlign w:val="superscript"/>
              </w:rPr>
              <w:t>2</w:t>
            </w:r>
            <w:r>
              <w:rPr>
                <w:rFonts w:hint="eastAsia" w:ascii="宋体" w:hAnsi="宋体" w:cs="宋体"/>
                <w:sz w:val="24"/>
              </w:rPr>
              <w:t>、灌木林地1.226hm</w:t>
            </w:r>
            <w:r>
              <w:rPr>
                <w:rFonts w:hint="eastAsia" w:ascii="宋体" w:hAnsi="宋体" w:cs="宋体"/>
                <w:sz w:val="24"/>
                <w:vertAlign w:val="superscript"/>
              </w:rPr>
              <w:t>2</w:t>
            </w:r>
            <w:r>
              <w:rPr>
                <w:rFonts w:hint="eastAsia" w:ascii="宋体" w:hAnsi="宋体" w:cs="宋体"/>
                <w:sz w:val="24"/>
              </w:rPr>
              <w:t>、采矿用地4.049hm</w:t>
            </w:r>
            <w:r>
              <w:rPr>
                <w:rFonts w:hint="eastAsia" w:ascii="宋体" w:hAnsi="宋体" w:cs="宋体"/>
                <w:sz w:val="24"/>
                <w:vertAlign w:val="superscript"/>
              </w:rPr>
              <w:t>2</w:t>
            </w:r>
            <w:r>
              <w:rPr>
                <w:rFonts w:hint="eastAsia" w:ascii="宋体" w:hAnsi="宋体" w:cs="宋体"/>
                <w:sz w:val="24"/>
              </w:rPr>
              <w:t>、农村道路0.154hm</w:t>
            </w:r>
            <w:r>
              <w:rPr>
                <w:rFonts w:hint="eastAsia" w:ascii="宋体" w:hAnsi="宋体" w:cs="宋体"/>
                <w:sz w:val="24"/>
                <w:vertAlign w:val="superscript"/>
              </w:rPr>
              <w:t>2</w:t>
            </w:r>
            <w:r>
              <w:rPr>
                <w:rFonts w:hint="eastAsia" w:ascii="宋体" w:hAnsi="宋体" w:cs="宋体"/>
                <w:sz w:val="24"/>
              </w:rPr>
              <w:t>；按损毁土地方式统计，挖损损毁土地9.785hm</w:t>
            </w:r>
            <w:r>
              <w:rPr>
                <w:rFonts w:hint="eastAsia" w:ascii="宋体" w:hAnsi="宋体" w:cs="宋体"/>
                <w:sz w:val="24"/>
                <w:vertAlign w:val="superscript"/>
              </w:rPr>
              <w:t>2</w:t>
            </w:r>
            <w:r>
              <w:rPr>
                <w:rFonts w:hint="eastAsia" w:ascii="宋体" w:hAnsi="宋体" w:cs="宋体"/>
                <w:sz w:val="24"/>
              </w:rPr>
              <w:t>，压占损毁土地0.498hm</w:t>
            </w:r>
            <w:r>
              <w:rPr>
                <w:rFonts w:hint="eastAsia" w:ascii="宋体" w:hAnsi="宋体" w:cs="宋体"/>
                <w:sz w:val="24"/>
                <w:vertAlign w:val="superscript"/>
              </w:rPr>
              <w:t>2</w:t>
            </w:r>
            <w:r>
              <w:rPr>
                <w:rFonts w:hint="eastAsia" w:ascii="宋体" w:hAnsi="宋体" w:cs="宋体"/>
                <w:sz w:val="24"/>
                <w:lang w:val="pl-PL"/>
              </w:rPr>
              <w:t>。</w:t>
            </w:r>
            <w:r>
              <w:rPr>
                <w:rFonts w:hint="eastAsia" w:ascii="宋体" w:hAnsi="宋体" w:cs="宋体"/>
                <w:sz w:val="24"/>
              </w:rPr>
              <w:t>涉及土地权属为宝山镇宝山村民委员会。</w:t>
            </w:r>
          </w:p>
          <w:p>
            <w:pPr>
              <w:adjustRightInd w:val="0"/>
              <w:spacing w:line="360" w:lineRule="auto"/>
              <w:ind w:firstLine="480" w:firstLineChars="200"/>
              <w:rPr>
                <w:rFonts w:ascii="宋体" w:hAnsi="宋体" w:cs="宋体"/>
                <w:sz w:val="24"/>
              </w:rPr>
            </w:pPr>
            <w:r>
              <w:rPr>
                <w:rFonts w:hint="eastAsia" w:ascii="宋体" w:hAnsi="宋体" w:cs="宋体"/>
                <w:sz w:val="24"/>
              </w:rPr>
              <w:t>复垦责任范围面积</w:t>
            </w:r>
            <w:r>
              <w:rPr>
                <w:rFonts w:hint="eastAsia" w:ascii="宋体" w:hAnsi="宋体" w:cs="宋体"/>
                <w:bCs/>
                <w:sz w:val="24"/>
              </w:rPr>
              <w:t>16.630</w:t>
            </w:r>
            <w:r>
              <w:rPr>
                <w:rFonts w:hint="eastAsia" w:ascii="宋体" w:hAnsi="宋体" w:cs="宋体"/>
                <w:kern w:val="0"/>
                <w:sz w:val="24"/>
                <w:lang w:bidi="ar"/>
              </w:rPr>
              <w:t>hm</w:t>
            </w:r>
            <w:r>
              <w:rPr>
                <w:rFonts w:hint="eastAsia" w:ascii="宋体" w:hAnsi="宋体" w:cs="宋体"/>
                <w:kern w:val="0"/>
                <w:sz w:val="24"/>
                <w:vertAlign w:val="superscript"/>
                <w:lang w:bidi="ar"/>
              </w:rPr>
              <w:t>2</w:t>
            </w:r>
            <w:r>
              <w:rPr>
                <w:rFonts w:hint="eastAsia" w:ascii="宋体" w:hAnsi="宋体" w:cs="宋体"/>
                <w:sz w:val="24"/>
              </w:rPr>
              <w:t>，</w:t>
            </w:r>
            <w:r>
              <w:rPr>
                <w:rFonts w:hint="eastAsia" w:ascii="宋体" w:hAnsi="宋体" w:cs="宋体"/>
                <w:bCs/>
                <w:sz w:val="24"/>
              </w:rPr>
              <w:t>矿山道路予以保留，保留面积</w:t>
            </w:r>
            <w:r>
              <w:rPr>
                <w:rFonts w:ascii="宋体" w:hAnsi="宋体" w:cs="宋体"/>
                <w:bCs/>
                <w:sz w:val="24"/>
              </w:rPr>
              <w:t>0.8</w:t>
            </w:r>
            <w:r>
              <w:rPr>
                <w:rFonts w:hint="eastAsia" w:ascii="宋体" w:hAnsi="宋体" w:cs="宋体"/>
                <w:bCs/>
                <w:sz w:val="24"/>
              </w:rPr>
              <w:t>87</w:t>
            </w:r>
            <w:r>
              <w:rPr>
                <w:rFonts w:ascii="宋体" w:hAnsi="宋体" w:cs="宋体"/>
                <w:bCs/>
                <w:sz w:val="24"/>
              </w:rPr>
              <w:t>hm</w:t>
            </w:r>
            <w:r>
              <w:rPr>
                <w:rFonts w:ascii="宋体" w:hAnsi="宋体" w:cs="宋体"/>
                <w:bCs/>
                <w:sz w:val="24"/>
                <w:vertAlign w:val="superscript"/>
              </w:rPr>
              <w:t>2</w:t>
            </w:r>
            <w:r>
              <w:rPr>
                <w:rFonts w:hint="eastAsia" w:ascii="宋体" w:hAnsi="宋体" w:cs="宋体"/>
                <w:bCs/>
                <w:sz w:val="24"/>
              </w:rPr>
              <w:t>，设计截排水沟予以保留，保留面积</w:t>
            </w:r>
            <w:r>
              <w:rPr>
                <w:rFonts w:ascii="宋体" w:hAnsi="宋体" w:cs="宋体"/>
                <w:bCs/>
                <w:sz w:val="24"/>
              </w:rPr>
              <w:t>0.</w:t>
            </w:r>
            <w:r>
              <w:rPr>
                <w:rFonts w:hint="eastAsia" w:ascii="宋体" w:hAnsi="宋体" w:cs="宋体"/>
                <w:bCs/>
                <w:sz w:val="24"/>
              </w:rPr>
              <w:t>451</w:t>
            </w:r>
            <w:r>
              <w:rPr>
                <w:rFonts w:ascii="宋体" w:hAnsi="宋体" w:cs="宋体"/>
                <w:bCs/>
                <w:sz w:val="24"/>
              </w:rPr>
              <w:t>hm</w:t>
            </w:r>
            <w:r>
              <w:rPr>
                <w:rFonts w:ascii="宋体" w:hAnsi="宋体" w:cs="宋体"/>
                <w:bCs/>
                <w:sz w:val="24"/>
                <w:vertAlign w:val="superscript"/>
              </w:rPr>
              <w:t>2</w:t>
            </w:r>
            <w:r>
              <w:rPr>
                <w:rFonts w:hint="eastAsia" w:ascii="宋体" w:hAnsi="宋体" w:cs="宋体"/>
                <w:bCs/>
                <w:sz w:val="24"/>
              </w:rPr>
              <w:t>，最终确定复垦土地面积15.292</w:t>
            </w:r>
            <w:r>
              <w:rPr>
                <w:rFonts w:ascii="宋体" w:hAnsi="宋体" w:cs="宋体"/>
                <w:bCs/>
                <w:sz w:val="24"/>
              </w:rPr>
              <w:t>hm</w:t>
            </w:r>
            <w:r>
              <w:rPr>
                <w:rFonts w:ascii="宋体" w:hAnsi="宋体" w:cs="宋体"/>
                <w:bCs/>
                <w:sz w:val="24"/>
                <w:vertAlign w:val="superscript"/>
              </w:rPr>
              <w:t>2</w:t>
            </w:r>
            <w:r>
              <w:rPr>
                <w:rFonts w:hint="eastAsia" w:ascii="宋体" w:hAnsi="宋体" w:cs="宋体"/>
                <w:bCs/>
                <w:sz w:val="24"/>
              </w:rPr>
              <w:t>。</w:t>
            </w:r>
            <w:r>
              <w:rPr>
                <w:rFonts w:ascii="宋体" w:hAnsi="宋体" w:cs="宋体"/>
                <w:sz w:val="24"/>
              </w:rPr>
              <w:t xml:space="preserve"> </w:t>
            </w:r>
          </w:p>
          <w:p>
            <w:pPr>
              <w:spacing w:line="360" w:lineRule="auto"/>
              <w:ind w:firstLine="482"/>
              <w:rPr>
                <w:rFonts w:ascii="宋体" w:hAnsi="宋体" w:cs="宋体"/>
                <w:sz w:val="24"/>
              </w:rPr>
            </w:pPr>
            <w:r>
              <w:rPr>
                <w:rFonts w:hint="eastAsia" w:ascii="宋体" w:hAnsi="宋体" w:cs="宋体"/>
                <w:sz w:val="24"/>
              </w:rPr>
              <w:t>（三）原则同意本项目制定的复垦目标和任务，土地复垦适宜性评价过程和结果基本可信。矿山土地复垦方案服务年限为14年（2024年4月～2038年4月），方案的适用年限为5年（2024年4月至2029年4月）。规划复垦总面积</w:t>
            </w:r>
            <w:r>
              <w:rPr>
                <w:rFonts w:hint="eastAsia" w:ascii="宋体" w:hAnsi="宋体" w:cs="宋体"/>
                <w:bCs/>
                <w:sz w:val="24"/>
              </w:rPr>
              <w:t>15.292</w:t>
            </w:r>
            <w:r>
              <w:rPr>
                <w:rFonts w:hint="eastAsia" w:ascii="宋体" w:hAnsi="宋体" w:cs="宋体"/>
                <w:sz w:val="24"/>
              </w:rPr>
              <w:t>公顷（已复垦0公顷），</w:t>
            </w:r>
            <w:r>
              <w:rPr>
                <w:rFonts w:hint="eastAsia" w:ascii="宋体" w:hAnsi="宋体" w:cs="宋体"/>
                <w:bCs/>
                <w:sz w:val="24"/>
              </w:rPr>
              <w:t>其中复垦为旱地8.632</w:t>
            </w:r>
            <w:r>
              <w:rPr>
                <w:rFonts w:ascii="宋体" w:hAnsi="宋体" w:cs="宋体"/>
                <w:bCs/>
                <w:sz w:val="24"/>
              </w:rPr>
              <w:t>hm</w:t>
            </w:r>
            <w:r>
              <w:rPr>
                <w:rFonts w:ascii="宋体" w:hAnsi="宋体" w:cs="宋体"/>
                <w:bCs/>
                <w:sz w:val="24"/>
                <w:vertAlign w:val="superscript"/>
              </w:rPr>
              <w:t>2</w:t>
            </w:r>
            <w:r>
              <w:rPr>
                <w:rFonts w:hint="eastAsia" w:ascii="宋体" w:hAnsi="宋体" w:cs="宋体"/>
                <w:bCs/>
                <w:sz w:val="24"/>
              </w:rPr>
              <w:t>，乔木林地6.660</w:t>
            </w:r>
            <w:r>
              <w:rPr>
                <w:rFonts w:ascii="宋体" w:hAnsi="宋体" w:cs="宋体"/>
                <w:bCs/>
                <w:sz w:val="24"/>
              </w:rPr>
              <w:t>hm</w:t>
            </w:r>
            <w:r>
              <w:rPr>
                <w:rFonts w:ascii="宋体" w:hAnsi="宋体" w:cs="宋体"/>
                <w:bCs/>
                <w:sz w:val="24"/>
                <w:vertAlign w:val="superscript"/>
              </w:rPr>
              <w:t>2</w:t>
            </w:r>
            <w:r>
              <w:rPr>
                <w:rFonts w:hint="eastAsia" w:ascii="宋体" w:hAnsi="宋体" w:cs="宋体"/>
                <w:bCs/>
                <w:sz w:val="24"/>
              </w:rPr>
              <w:t>，土地复垦率达到91.95</w:t>
            </w:r>
            <w:r>
              <w:rPr>
                <w:rFonts w:ascii="宋体" w:hAnsi="宋体" w:cs="宋体"/>
                <w:bCs/>
                <w:sz w:val="24"/>
              </w:rPr>
              <w:t>%。</w:t>
            </w:r>
          </w:p>
          <w:p>
            <w:pPr>
              <w:spacing w:line="360" w:lineRule="auto"/>
              <w:rPr>
                <w:rFonts w:ascii="宋体" w:hAnsi="宋体" w:cs="宋体"/>
                <w:color w:val="000000"/>
                <w:sz w:val="24"/>
              </w:rPr>
            </w:pPr>
            <w:r>
              <w:rPr>
                <w:rFonts w:hint="eastAsia" w:ascii="宋体" w:hAnsi="宋体" w:cs="宋体"/>
                <w:color w:val="FF0000"/>
                <w:sz w:val="24"/>
              </w:rPr>
              <w:t xml:space="preserve">    </w:t>
            </w:r>
            <w:r>
              <w:rPr>
                <w:rFonts w:hint="eastAsia" w:ascii="宋体" w:hAnsi="宋体" w:cs="宋体"/>
                <w:color w:val="000000"/>
                <w:sz w:val="24"/>
              </w:rPr>
              <w:t>（四）原则同意《方案》中提出的预防控制措施和复垦措施。</w:t>
            </w:r>
          </w:p>
          <w:p>
            <w:pPr>
              <w:spacing w:line="360" w:lineRule="auto"/>
              <w:ind w:firstLine="600" w:firstLineChars="250"/>
              <w:rPr>
                <w:rFonts w:ascii="宋体" w:hAnsi="宋体" w:cs="宋体"/>
                <w:color w:val="000000"/>
                <w:sz w:val="24"/>
              </w:rPr>
            </w:pPr>
            <w:r>
              <w:rPr>
                <w:rFonts w:hint="eastAsia" w:ascii="宋体" w:hAnsi="宋体" w:cs="宋体"/>
                <w:color w:val="000000"/>
                <w:sz w:val="24"/>
              </w:rPr>
              <w:t>预防控制措施：（1）各种生产建设活动应严格控制在矿权范围（征地范围线）内，做好土壤和植被的保护措施，施工过程中产生的固废要及时处理。（2）合理地布置工作面及开采顺序，最大程度降低因露天开采挖损对地表土地的损毁。（3）在露天采场设置排水措施、水土保持措施等，防止</w:t>
            </w:r>
            <w:r>
              <w:rPr>
                <w:rFonts w:hint="eastAsia" w:ascii="宋体" w:hAnsi="宋体" w:cs="宋体"/>
                <w:sz w:val="24"/>
              </w:rPr>
              <w:t>坡体失稳</w:t>
            </w:r>
            <w:r>
              <w:rPr>
                <w:rFonts w:hint="eastAsia" w:ascii="宋体" w:hAnsi="宋体" w:cs="宋体"/>
                <w:color w:val="000000"/>
                <w:sz w:val="24"/>
              </w:rPr>
              <w:t>、水土流失，预防处理措施得当。（4）对露天采区布设监测措施，监控点布设基本合理，方法得当。（5）在露天采场周边设置警示</w:t>
            </w:r>
            <w:r>
              <w:rPr>
                <w:rFonts w:hint="eastAsia" w:ascii="宋体" w:hAnsi="宋体" w:cs="宋体"/>
                <w:sz w:val="24"/>
              </w:rPr>
              <w:t>标志，防止附近村民、牲畜不慎跌落，造成人员及经济损失</w:t>
            </w:r>
            <w:r>
              <w:rPr>
                <w:rFonts w:hint="eastAsia" w:ascii="宋体" w:hAnsi="宋体" w:cs="宋体"/>
                <w:color w:val="000000"/>
                <w:sz w:val="24"/>
              </w:rPr>
              <w:t>，预防处理措施得当。</w:t>
            </w:r>
          </w:p>
          <w:p>
            <w:pPr>
              <w:spacing w:line="360" w:lineRule="auto"/>
              <w:ind w:firstLine="559" w:firstLineChars="233"/>
              <w:rPr>
                <w:rFonts w:ascii="宋体" w:hAnsi="宋体" w:cs="宋体"/>
                <w:color w:val="000000"/>
                <w:sz w:val="24"/>
              </w:rPr>
            </w:pPr>
            <w:r>
              <w:rPr>
                <w:rFonts w:hint="eastAsia" w:ascii="宋体" w:hAnsi="宋体" w:cs="宋体"/>
                <w:color w:val="000000"/>
                <w:sz w:val="24"/>
              </w:rPr>
              <w:t>工程技术措施：（1）部分工业场地及露天采场底部复垦工程措施：场地停止使用后，首先对不保留的建筑及生产设施进行拆除及场地清理，并进行覆土，促进耕作条件，对复垦为旱地区域采取生物化学措施进行土壤改良。（2）矿山办公生活区、工业广场、矿山复垦工程措施：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。（3）</w:t>
            </w:r>
            <w:r>
              <w:rPr>
                <w:rFonts w:hint="eastAsia" w:ascii="宋体" w:hAnsi="宋体" w:cs="宋体"/>
                <w:bCs/>
                <w:snapToGrid w:val="0"/>
                <w:kern w:val="0"/>
                <w:sz w:val="24"/>
              </w:rPr>
              <w:t>安全平台开采边坡</w:t>
            </w:r>
            <w:r>
              <w:rPr>
                <w:rFonts w:hint="eastAsia" w:ascii="宋体" w:hAnsi="宋体" w:cs="宋体"/>
                <w:color w:val="000000"/>
                <w:sz w:val="24"/>
              </w:rPr>
              <w:t>复垦工程措施：对开采区域采取乔灌草结合方式复垦为乔木林地，边坡区域在坡脚种植藤本植物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。（4）复垦监测措施：对整个复垦过程的复垦措施、复垦效果等动态监测。</w:t>
            </w:r>
          </w:p>
          <w:p>
            <w:pPr>
              <w:spacing w:line="360" w:lineRule="auto"/>
              <w:ind w:firstLine="559" w:firstLineChars="233"/>
              <w:rPr>
                <w:rFonts w:ascii="宋体" w:hAnsi="宋体" w:cs="宋体"/>
                <w:color w:val="000000"/>
                <w:sz w:val="24"/>
              </w:rPr>
            </w:pPr>
            <w:r>
              <w:rPr>
                <w:rFonts w:hint="eastAsia" w:ascii="宋体" w:hAnsi="宋体" w:cs="宋体"/>
                <w:color w:val="000000"/>
                <w:sz w:val="24"/>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p>
          <w:p>
            <w:pPr>
              <w:spacing w:line="360" w:lineRule="auto"/>
              <w:rPr>
                <w:rFonts w:ascii="宋体" w:hAnsi="宋体" w:cs="宋体"/>
                <w:color w:val="000000"/>
                <w:sz w:val="24"/>
              </w:rPr>
            </w:pPr>
            <w:r>
              <w:rPr>
                <w:rFonts w:hint="eastAsia" w:ascii="宋体" w:hAnsi="宋体" w:cs="宋体"/>
                <w:color w:val="000000"/>
                <w:sz w:val="24"/>
              </w:rPr>
              <w:t xml:space="preserve">    （五）原则同意《方案》中提出的土地复垦标准、工程设计及工程量测算。在具体实施过程中，要进一步加强并细化复垦工程设计，明确施工过程中的具体参数，增加方案的可操作性。</w:t>
            </w:r>
          </w:p>
          <w:p>
            <w:pPr>
              <w:spacing w:line="360" w:lineRule="auto"/>
              <w:ind w:firstLine="480" w:firstLineChars="200"/>
              <w:rPr>
                <w:rFonts w:ascii="宋体" w:hAnsi="宋体" w:cs="宋体"/>
                <w:color w:val="000000"/>
                <w:sz w:val="24"/>
              </w:rPr>
            </w:pPr>
            <w:r>
              <w:rPr>
                <w:rFonts w:hint="eastAsia" w:ascii="宋体" w:hAnsi="宋体" w:cs="宋体"/>
                <w:color w:val="000000"/>
                <w:sz w:val="24"/>
              </w:rPr>
              <w:t>（六）原则同意土地复垦投资估（概）算结果。确定复垦工程静态总投资为</w:t>
            </w:r>
            <w:r>
              <w:rPr>
                <w:rFonts w:hint="eastAsia" w:ascii="宋体" w:hAnsi="宋体"/>
                <w:sz w:val="24"/>
              </w:rPr>
              <w:t>150.07</w:t>
            </w:r>
            <w:r>
              <w:rPr>
                <w:rFonts w:hint="eastAsia" w:ascii="宋体" w:hAnsi="宋体" w:cs="宋体"/>
                <w:color w:val="000000"/>
                <w:sz w:val="24"/>
              </w:rPr>
              <w:t>万元，亩均静态投资</w:t>
            </w:r>
            <w:r>
              <w:rPr>
                <w:rFonts w:hint="eastAsia" w:ascii="宋体" w:hAnsi="宋体"/>
                <w:sz w:val="24"/>
              </w:rPr>
              <w:t>6542.42</w:t>
            </w:r>
            <w:r>
              <w:rPr>
                <w:rFonts w:hint="eastAsia" w:ascii="宋体" w:hAnsi="宋体" w:cs="宋体"/>
                <w:color w:val="000000"/>
                <w:sz w:val="24"/>
              </w:rPr>
              <w:t>元。</w:t>
            </w:r>
            <w:r>
              <w:rPr>
                <w:rFonts w:hint="eastAsia" w:ascii="宋体" w:hAnsi="宋体" w:cs="宋体"/>
                <w:sz w:val="24"/>
              </w:rPr>
              <w:t>其中方案适用期（5年）内静态投资39.72万元，开采中后期静态投资110.35万元。</w:t>
            </w:r>
            <w:r>
              <w:rPr>
                <w:rFonts w:hint="eastAsia" w:ascii="宋体" w:hAnsi="宋体" w:cs="宋体"/>
                <w:color w:val="000000"/>
                <w:sz w:val="24"/>
              </w:rPr>
              <w:t>复垦工程动态总投资为</w:t>
            </w:r>
            <w:r>
              <w:rPr>
                <w:rFonts w:hint="eastAsia" w:ascii="宋体" w:hAnsi="宋体" w:cs="宋体"/>
                <w:sz w:val="24"/>
              </w:rPr>
              <w:t>183.67</w:t>
            </w:r>
            <w:r>
              <w:rPr>
                <w:rFonts w:hint="eastAsia" w:ascii="宋体" w:hAnsi="宋体" w:cs="宋体"/>
                <w:color w:val="000000"/>
                <w:sz w:val="24"/>
              </w:rPr>
              <w:t>万元，亩均投资</w:t>
            </w:r>
            <w:r>
              <w:rPr>
                <w:rFonts w:hint="eastAsia" w:ascii="宋体" w:hAnsi="宋体" w:cs="宋体"/>
                <w:kern w:val="0"/>
                <w:sz w:val="24"/>
              </w:rPr>
              <w:t>8007.24</w:t>
            </w:r>
            <w:r>
              <w:rPr>
                <w:rFonts w:hint="eastAsia" w:ascii="宋体" w:hAnsi="宋体" w:cs="宋体"/>
                <w:color w:val="000000"/>
                <w:sz w:val="24"/>
              </w:rPr>
              <w:t>元。</w:t>
            </w:r>
            <w:r>
              <w:rPr>
                <w:rFonts w:hint="eastAsia" w:ascii="宋体" w:hAnsi="宋体" w:cs="宋体"/>
                <w:sz w:val="24"/>
              </w:rPr>
              <w:t>其中方案适用期（5年）动态投资为65.71万元；开采中后期动态投资为117.96万元。</w:t>
            </w:r>
            <w:r>
              <w:rPr>
                <w:rFonts w:hint="eastAsia" w:ascii="宋体" w:hAnsi="宋体" w:cs="宋体"/>
                <w:color w:val="000000"/>
                <w:sz w:val="24"/>
                <w:lang w:val="zh-CN"/>
              </w:rPr>
              <w:t>项目复垦资金预存按复垦</w:t>
            </w:r>
            <w:r>
              <w:rPr>
                <w:rFonts w:hint="eastAsia" w:ascii="宋体" w:hAnsi="宋体" w:cs="宋体"/>
                <w:color w:val="000000"/>
                <w:sz w:val="24"/>
              </w:rPr>
              <w:t>方案服务年限进行预存，首期预存资金不低于静态总投资的20%，首期预存资金30.07万元</w:t>
            </w:r>
            <w:r>
              <w:rPr>
                <w:rFonts w:hint="eastAsia" w:ascii="宋体" w:hAnsi="宋体" w:cs="宋体"/>
                <w:color w:val="000000"/>
                <w:sz w:val="24"/>
                <w:lang w:val="zh-CN"/>
              </w:rPr>
              <w:t>。</w:t>
            </w:r>
            <w:r>
              <w:rPr>
                <w:rFonts w:hint="eastAsia" w:ascii="宋体" w:hAnsi="宋体" w:cs="宋体"/>
                <w:color w:val="000000"/>
                <w:sz w:val="24"/>
              </w:rPr>
              <w:t>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p>
          <w:p>
            <w:pPr>
              <w:spacing w:line="360" w:lineRule="auto"/>
              <w:ind w:firstLine="723" w:firstLineChars="300"/>
              <w:rPr>
                <w:rFonts w:ascii="宋体" w:hAnsi="宋体" w:cs="宋体"/>
                <w:b/>
                <w:color w:val="000000"/>
                <w:sz w:val="24"/>
              </w:rPr>
            </w:pPr>
            <w:r>
              <w:rPr>
                <w:rFonts w:hint="eastAsia" w:ascii="宋体" w:hAnsi="宋体" w:cs="宋体"/>
                <w:b/>
                <w:color w:val="000000"/>
                <w:sz w:val="24"/>
              </w:rPr>
              <w:t>四、专家组强调事项</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ascii="宋体" w:hAnsi="宋体" w:cs="宋体"/>
                <w:color w:val="000000"/>
                <w:sz w:val="24"/>
              </w:rPr>
            </w:pPr>
            <w:r>
              <w:rPr>
                <w:rFonts w:hint="eastAsia" w:ascii="宋体" w:hAnsi="宋体" w:cs="宋体"/>
                <w:color w:val="000000"/>
                <w:sz w:val="24"/>
              </w:rPr>
              <w:t>（二）工程治理措施要有针对性，特别是对废石场的治理及弃渣的管控。</w:t>
            </w:r>
          </w:p>
          <w:p>
            <w:pPr>
              <w:spacing w:line="360" w:lineRule="auto"/>
              <w:ind w:firstLine="480" w:firstLineChars="200"/>
              <w:rPr>
                <w:rFonts w:ascii="宋体" w:hAnsi="宋体" w:cs="宋体"/>
                <w:color w:val="000000"/>
                <w:sz w:val="24"/>
              </w:rPr>
            </w:pPr>
            <w:r>
              <w:rPr>
                <w:rFonts w:hint="eastAsia" w:ascii="宋体" w:hAnsi="宋体" w:cs="宋体"/>
                <w:color w:val="000000"/>
                <w:sz w:val="24"/>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pPr>
              <w:spacing w:line="360" w:lineRule="auto"/>
              <w:ind w:firstLine="480" w:firstLineChars="200"/>
              <w:rPr>
                <w:rFonts w:ascii="宋体" w:hAnsi="宋体" w:cs="宋体"/>
                <w:color w:val="000000"/>
                <w:sz w:val="24"/>
              </w:rPr>
            </w:pPr>
            <w:r>
              <w:rPr>
                <w:rFonts w:hint="eastAsia" w:ascii="宋体" w:hAnsi="宋体" w:cs="宋体"/>
                <w:color w:val="000000"/>
                <w:sz w:val="24"/>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ascii="宋体" w:hAnsi="宋体" w:cs="宋体"/>
                <w:color w:val="000000"/>
                <w:sz w:val="24"/>
              </w:rPr>
            </w:pPr>
            <w:r>
              <w:rPr>
                <w:rFonts w:hint="eastAsia" w:ascii="宋体" w:hAnsi="宋体" w:cs="宋体"/>
                <w:color w:val="000000"/>
                <w:sz w:val="24"/>
              </w:rPr>
              <w:t>（五）矿山损毁土地中未涉及基本农田。</w:t>
            </w:r>
          </w:p>
          <w:p>
            <w:pPr>
              <w:spacing w:line="360" w:lineRule="auto"/>
              <w:ind w:firstLine="480" w:firstLineChars="200"/>
              <w:rPr>
                <w:rFonts w:ascii="宋体" w:hAnsi="宋体" w:cs="宋体"/>
                <w:color w:val="000000"/>
                <w:sz w:val="24"/>
              </w:rPr>
            </w:pPr>
            <w:r>
              <w:rPr>
                <w:rFonts w:hint="eastAsia" w:ascii="宋体" w:hAnsi="宋体" w:cs="宋体"/>
                <w:color w:val="000000"/>
                <w:sz w:val="24"/>
              </w:rPr>
              <w:t>综上所述，该方案的编制基本符合有关文件及技术规范、标准的要求，相关分析依据充分，结论基本准确，采取的防治措施基本可行，投资估（概）算测算结果基本准确，拟定的工作计划实施基本合理。专家组同意该《方案》通过技术评审，请编制单位根据专家意见认真修改和补充完善后，上报备案和提供使用。</w:t>
            </w:r>
          </w:p>
          <w:p>
            <w:pPr>
              <w:spacing w:before="312" w:beforeLines="100" w:line="400" w:lineRule="exact"/>
              <w:ind w:firstLine="3158" w:firstLineChars="1316"/>
              <w:rPr>
                <w:rFonts w:ascii="宋体" w:hAnsi="宋体" w:cs="宋体"/>
                <w:color w:val="000000"/>
                <w:sz w:val="24"/>
              </w:rPr>
            </w:pPr>
          </w:p>
          <w:p>
            <w:pPr>
              <w:spacing w:before="312" w:beforeLines="100" w:line="400" w:lineRule="exact"/>
              <w:ind w:firstLine="3158" w:firstLineChars="1316"/>
              <w:rPr>
                <w:rFonts w:ascii="宋体" w:hAnsi="宋体" w:cs="宋体"/>
                <w:color w:val="000000"/>
                <w:sz w:val="24"/>
              </w:rPr>
            </w:pPr>
          </w:p>
          <w:p>
            <w:pPr>
              <w:spacing w:before="312" w:beforeLines="100" w:line="400" w:lineRule="exact"/>
              <w:ind w:firstLine="3158" w:firstLineChars="1316"/>
              <w:rPr>
                <w:rFonts w:ascii="宋体" w:hAnsi="宋体" w:cs="宋体"/>
                <w:color w:val="000000"/>
                <w:sz w:val="24"/>
              </w:rPr>
            </w:pPr>
            <w:r>
              <w:rPr>
                <w:rFonts w:hint="eastAsia" w:ascii="宋体" w:hAnsi="宋体" w:cs="宋体"/>
                <w:color w:val="000000"/>
                <w:sz w:val="24"/>
              </w:rPr>
              <w:t xml:space="preserve">专家组组长（签名）： </w:t>
            </w:r>
          </w:p>
          <w:p>
            <w:pPr>
              <w:spacing w:line="400" w:lineRule="exact"/>
              <w:rPr>
                <w:rFonts w:ascii="宋体" w:hAnsi="宋体" w:cs="宋体"/>
                <w:color w:val="000000"/>
                <w:sz w:val="24"/>
              </w:rPr>
            </w:pPr>
          </w:p>
          <w:p>
            <w:pPr>
              <w:widowControl/>
              <w:ind w:firstLine="4320" w:firstLineChars="1800"/>
              <w:jc w:val="left"/>
            </w:pPr>
            <w:r>
              <w:rPr>
                <w:rFonts w:hint="eastAsia" w:ascii="宋体" w:hAnsi="宋体"/>
                <w:color w:val="000000"/>
                <w:sz w:val="24"/>
              </w:rPr>
              <w:t>年    月    日</w:t>
            </w:r>
          </w:p>
          <w:p>
            <w:pPr>
              <w:tabs>
                <w:tab w:val="left" w:pos="3048"/>
              </w:tabs>
              <w:jc w:val="center"/>
              <w:rPr>
                <w:sz w:val="24"/>
                <w:szCs w:val="32"/>
              </w:rPr>
            </w:pPr>
          </w:p>
        </w:tc>
      </w:tr>
    </w:tbl>
    <w:p/>
    <w:p/>
    <w:p>
      <w:pPr>
        <w:jc w:val="center"/>
        <w:rPr>
          <w:b/>
          <w:sz w:val="32"/>
          <w:szCs w:val="32"/>
        </w:rPr>
      </w:pPr>
      <w:r>
        <w:br w:type="page"/>
      </w:r>
      <w:r>
        <w:rPr>
          <w:rFonts w:hint="eastAsia"/>
          <w:b/>
          <w:sz w:val="32"/>
          <w:szCs w:val="32"/>
        </w:rPr>
        <w:t>宣威市坤山富建材有限公司宣威市宝山镇张光磊石厂</w:t>
      </w:r>
    </w:p>
    <w:p>
      <w:pPr>
        <w:jc w:val="center"/>
        <w:rPr>
          <w:b/>
          <w:sz w:val="32"/>
          <w:szCs w:val="32"/>
        </w:rPr>
      </w:pPr>
      <w:r>
        <w:rPr>
          <w:rFonts w:hint="eastAsia"/>
          <w:b/>
          <w:sz w:val="32"/>
          <w:szCs w:val="32"/>
        </w:rPr>
        <w:t>矿山地质环境保护与土地复垦方案评审专家组名单</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496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Pr>
          <w:p>
            <w:pPr>
              <w:jc w:val="center"/>
              <w:rPr>
                <w:rFonts w:asciiTheme="minorEastAsia" w:hAnsiTheme="minorEastAsia" w:eastAsiaTheme="minorEastAsia"/>
                <w:sz w:val="28"/>
              </w:rPr>
            </w:pPr>
            <w:r>
              <w:rPr>
                <w:rFonts w:hint="eastAsia" w:asciiTheme="minorEastAsia" w:hAnsiTheme="minorEastAsia" w:eastAsiaTheme="minorEastAsia"/>
                <w:sz w:val="28"/>
              </w:rPr>
              <w:t>序号</w:t>
            </w:r>
          </w:p>
        </w:tc>
        <w:tc>
          <w:tcPr>
            <w:tcW w:w="1276" w:type="dxa"/>
          </w:tcPr>
          <w:p>
            <w:pPr>
              <w:jc w:val="center"/>
              <w:rPr>
                <w:rFonts w:asciiTheme="minorEastAsia" w:hAnsiTheme="minorEastAsia" w:eastAsiaTheme="minorEastAsia"/>
                <w:sz w:val="28"/>
              </w:rPr>
            </w:pPr>
            <w:r>
              <w:rPr>
                <w:rFonts w:hint="eastAsia" w:asciiTheme="minorEastAsia" w:hAnsiTheme="minorEastAsia" w:eastAsiaTheme="minorEastAsia"/>
                <w:sz w:val="28"/>
              </w:rPr>
              <w:t>姓名</w:t>
            </w:r>
          </w:p>
        </w:tc>
        <w:tc>
          <w:tcPr>
            <w:tcW w:w="4961" w:type="dxa"/>
          </w:tcPr>
          <w:p>
            <w:pPr>
              <w:jc w:val="center"/>
              <w:rPr>
                <w:rFonts w:asciiTheme="minorEastAsia" w:hAnsiTheme="minorEastAsia" w:eastAsiaTheme="minorEastAsia"/>
                <w:sz w:val="28"/>
              </w:rPr>
            </w:pPr>
            <w:r>
              <w:rPr>
                <w:rFonts w:hint="eastAsia" w:asciiTheme="minorEastAsia" w:hAnsiTheme="minorEastAsia" w:eastAsiaTheme="minorEastAsia"/>
                <w:sz w:val="28"/>
              </w:rPr>
              <w:t>工作单位</w:t>
            </w:r>
          </w:p>
        </w:tc>
        <w:tc>
          <w:tcPr>
            <w:tcW w:w="1701" w:type="dxa"/>
          </w:tcPr>
          <w:p>
            <w:pPr>
              <w:jc w:val="center"/>
              <w:rPr>
                <w:rFonts w:asciiTheme="minorEastAsia" w:hAnsiTheme="minorEastAsia" w:eastAsiaTheme="minorEastAsia"/>
                <w:sz w:val="28"/>
              </w:rPr>
            </w:pPr>
            <w:r>
              <w:rPr>
                <w:rFonts w:hint="eastAsia" w:asciiTheme="minorEastAsia" w:hAnsiTheme="minorEastAsia" w:eastAsiaTheme="minorEastAsia"/>
                <w:sz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7" w:type="dxa"/>
          </w:tcPr>
          <w:p>
            <w:pPr>
              <w:jc w:val="center"/>
              <w:rPr>
                <w:rFonts w:asciiTheme="minorEastAsia" w:hAnsiTheme="minorEastAsia" w:eastAsiaTheme="minorEastAsia"/>
                <w:sz w:val="28"/>
              </w:rPr>
            </w:pPr>
            <w:r>
              <w:rPr>
                <w:rFonts w:hint="eastAsia" w:asciiTheme="minorEastAsia" w:hAnsiTheme="minorEastAsia" w:eastAsiaTheme="minorEastAsia"/>
                <w:sz w:val="28"/>
              </w:rPr>
              <w:t>1</w:t>
            </w:r>
          </w:p>
        </w:tc>
        <w:tc>
          <w:tcPr>
            <w:tcW w:w="1276" w:type="dxa"/>
            <w:vAlign w:val="center"/>
          </w:tcPr>
          <w:p>
            <w:pPr>
              <w:jc w:val="center"/>
              <w:rPr>
                <w:rFonts w:ascii="宋体" w:hAnsi="宋体" w:cs="宋体"/>
                <w:sz w:val="24"/>
              </w:rPr>
            </w:pPr>
            <w:r>
              <w:rPr>
                <w:rFonts w:hint="eastAsia"/>
                <w:sz w:val="24"/>
              </w:rPr>
              <w:t>刘忠发</w:t>
            </w:r>
          </w:p>
        </w:tc>
        <w:tc>
          <w:tcPr>
            <w:tcW w:w="4961" w:type="dxa"/>
            <w:vAlign w:val="center"/>
          </w:tcPr>
          <w:p>
            <w:pPr>
              <w:jc w:val="center"/>
              <w:rPr>
                <w:rFonts w:ascii="宋体" w:hAnsi="宋体" w:cs="宋体"/>
                <w:sz w:val="24"/>
              </w:rPr>
            </w:pPr>
            <w:r>
              <w:rPr>
                <w:rFonts w:hint="eastAsia"/>
                <w:sz w:val="24"/>
              </w:rPr>
              <w:t>云南省地质工程勘察有限公司</w:t>
            </w:r>
          </w:p>
        </w:tc>
        <w:tc>
          <w:tcPr>
            <w:tcW w:w="1701" w:type="dxa"/>
            <w:vAlign w:val="center"/>
          </w:tcPr>
          <w:p>
            <w:pPr>
              <w:jc w:val="center"/>
              <w:rPr>
                <w:rFonts w:ascii="宋体" w:hAnsi="宋体" w:cs="宋体"/>
                <w:sz w:val="24"/>
              </w:rPr>
            </w:pPr>
            <w:r>
              <w:rPr>
                <w:rFonts w:hint="eastAsia"/>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tcPr>
          <w:p>
            <w:pPr>
              <w:jc w:val="center"/>
              <w:rPr>
                <w:rFonts w:asciiTheme="minorEastAsia" w:hAnsiTheme="minorEastAsia" w:eastAsiaTheme="minorEastAsia"/>
                <w:sz w:val="28"/>
              </w:rPr>
            </w:pPr>
            <w:r>
              <w:rPr>
                <w:rFonts w:hint="eastAsia" w:asciiTheme="minorEastAsia" w:hAnsiTheme="minorEastAsia" w:eastAsiaTheme="minorEastAsia"/>
                <w:sz w:val="28"/>
              </w:rPr>
              <w:t>2</w:t>
            </w:r>
          </w:p>
        </w:tc>
        <w:tc>
          <w:tcPr>
            <w:tcW w:w="1276" w:type="dxa"/>
            <w:vAlign w:val="center"/>
          </w:tcPr>
          <w:p>
            <w:pPr>
              <w:jc w:val="center"/>
              <w:rPr>
                <w:rFonts w:ascii="宋体" w:hAnsi="宋体" w:cs="宋体"/>
                <w:sz w:val="24"/>
              </w:rPr>
            </w:pPr>
            <w:r>
              <w:rPr>
                <w:rFonts w:hint="eastAsia"/>
                <w:sz w:val="24"/>
              </w:rPr>
              <w:t>陆锦</w:t>
            </w:r>
          </w:p>
        </w:tc>
        <w:tc>
          <w:tcPr>
            <w:tcW w:w="4961" w:type="dxa"/>
            <w:vAlign w:val="center"/>
          </w:tcPr>
          <w:p>
            <w:pPr>
              <w:jc w:val="center"/>
              <w:rPr>
                <w:rFonts w:ascii="宋体" w:hAnsi="宋体" w:cs="宋体"/>
                <w:sz w:val="24"/>
              </w:rPr>
            </w:pPr>
            <w:r>
              <w:rPr>
                <w:rFonts w:hint="eastAsia"/>
                <w:sz w:val="24"/>
              </w:rPr>
              <w:t>曲靖市生态环境局宣威分局</w:t>
            </w:r>
          </w:p>
        </w:tc>
        <w:tc>
          <w:tcPr>
            <w:tcW w:w="1701" w:type="dxa"/>
            <w:vAlign w:val="center"/>
          </w:tcPr>
          <w:p>
            <w:pPr>
              <w:jc w:val="center"/>
              <w:rPr>
                <w:rFonts w:ascii="宋体" w:hAnsi="宋体" w:cs="宋体"/>
                <w:sz w:val="24"/>
              </w:rPr>
            </w:pPr>
            <w:r>
              <w:rPr>
                <w:rFonts w:hint="eastAsia"/>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Pr>
          <w:p>
            <w:pPr>
              <w:jc w:val="center"/>
              <w:rPr>
                <w:rFonts w:asciiTheme="minorEastAsia" w:hAnsiTheme="minorEastAsia" w:eastAsiaTheme="minorEastAsia"/>
                <w:sz w:val="28"/>
              </w:rPr>
            </w:pPr>
            <w:r>
              <w:rPr>
                <w:rFonts w:hint="eastAsia" w:asciiTheme="minorEastAsia" w:hAnsiTheme="minorEastAsia" w:eastAsiaTheme="minorEastAsia"/>
                <w:sz w:val="28"/>
              </w:rPr>
              <w:t>3</w:t>
            </w:r>
          </w:p>
        </w:tc>
        <w:tc>
          <w:tcPr>
            <w:tcW w:w="1276" w:type="dxa"/>
            <w:vAlign w:val="center"/>
          </w:tcPr>
          <w:p>
            <w:pPr>
              <w:jc w:val="center"/>
              <w:rPr>
                <w:rFonts w:ascii="宋体" w:hAnsi="宋体" w:cs="宋体"/>
                <w:sz w:val="24"/>
              </w:rPr>
            </w:pPr>
            <w:r>
              <w:rPr>
                <w:rFonts w:hint="eastAsia"/>
                <w:sz w:val="24"/>
              </w:rPr>
              <w:t>孙红</w:t>
            </w:r>
          </w:p>
        </w:tc>
        <w:tc>
          <w:tcPr>
            <w:tcW w:w="4961" w:type="dxa"/>
            <w:vAlign w:val="center"/>
          </w:tcPr>
          <w:p>
            <w:pPr>
              <w:jc w:val="center"/>
              <w:rPr>
                <w:rFonts w:ascii="宋体" w:hAnsi="宋体" w:cs="宋体"/>
                <w:sz w:val="24"/>
              </w:rPr>
            </w:pPr>
            <w:r>
              <w:rPr>
                <w:rFonts w:hint="eastAsia"/>
                <w:sz w:val="24"/>
              </w:rPr>
              <w:t>宣威市自然资源局</w:t>
            </w:r>
          </w:p>
        </w:tc>
        <w:tc>
          <w:tcPr>
            <w:tcW w:w="1701" w:type="dxa"/>
            <w:vAlign w:val="center"/>
          </w:tcPr>
          <w:p>
            <w:pPr>
              <w:jc w:val="center"/>
              <w:rPr>
                <w:rFonts w:ascii="宋体" w:hAnsi="宋体" w:cs="宋体"/>
                <w:sz w:val="24"/>
              </w:rPr>
            </w:pPr>
            <w:r>
              <w:rPr>
                <w:rFonts w:hint="eastAsia"/>
                <w:sz w:val="24"/>
              </w:rPr>
              <w:t>高级经济师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tcPr>
          <w:p>
            <w:pPr>
              <w:jc w:val="center"/>
              <w:rPr>
                <w:rFonts w:asciiTheme="minorEastAsia" w:hAnsiTheme="minorEastAsia" w:eastAsiaTheme="minorEastAsia"/>
                <w:sz w:val="28"/>
              </w:rPr>
            </w:pPr>
            <w:r>
              <w:rPr>
                <w:rFonts w:hint="eastAsia" w:asciiTheme="minorEastAsia" w:hAnsiTheme="minorEastAsia" w:eastAsiaTheme="minorEastAsia"/>
                <w:sz w:val="28"/>
              </w:rPr>
              <w:t>4</w:t>
            </w:r>
          </w:p>
        </w:tc>
        <w:tc>
          <w:tcPr>
            <w:tcW w:w="1276" w:type="dxa"/>
            <w:vAlign w:val="center"/>
          </w:tcPr>
          <w:p>
            <w:pPr>
              <w:jc w:val="center"/>
              <w:rPr>
                <w:rFonts w:ascii="宋体" w:hAnsi="宋体" w:cs="宋体"/>
                <w:sz w:val="24"/>
              </w:rPr>
            </w:pPr>
            <w:r>
              <w:rPr>
                <w:rFonts w:hint="eastAsia"/>
                <w:sz w:val="24"/>
              </w:rPr>
              <w:t>朱家诺</w:t>
            </w:r>
          </w:p>
        </w:tc>
        <w:tc>
          <w:tcPr>
            <w:tcW w:w="4961" w:type="dxa"/>
            <w:vAlign w:val="center"/>
          </w:tcPr>
          <w:p>
            <w:pPr>
              <w:jc w:val="center"/>
              <w:rPr>
                <w:rFonts w:ascii="宋体" w:hAnsi="宋体" w:cs="宋体"/>
                <w:sz w:val="24"/>
              </w:rPr>
            </w:pPr>
            <w:r>
              <w:rPr>
                <w:rFonts w:hint="eastAsia"/>
                <w:sz w:val="24"/>
              </w:rPr>
              <w:t>宣威市林业和草原局</w:t>
            </w:r>
          </w:p>
        </w:tc>
        <w:tc>
          <w:tcPr>
            <w:tcW w:w="1701" w:type="dxa"/>
            <w:vAlign w:val="center"/>
          </w:tcPr>
          <w:p>
            <w:pPr>
              <w:jc w:val="center"/>
              <w:rPr>
                <w:rFonts w:ascii="宋体" w:hAnsi="宋体" w:cs="宋体"/>
                <w:sz w:val="24"/>
              </w:rPr>
            </w:pPr>
            <w:r>
              <w:rPr>
                <w:rFonts w:hint="eastAsia"/>
                <w:sz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17" w:type="dxa"/>
          </w:tcPr>
          <w:p>
            <w:pPr>
              <w:jc w:val="center"/>
              <w:rPr>
                <w:rFonts w:asciiTheme="minorEastAsia" w:hAnsiTheme="minorEastAsia" w:eastAsiaTheme="minorEastAsia"/>
                <w:sz w:val="28"/>
              </w:rPr>
            </w:pPr>
            <w:r>
              <w:rPr>
                <w:rFonts w:hint="eastAsia" w:asciiTheme="minorEastAsia" w:hAnsiTheme="minorEastAsia" w:eastAsiaTheme="minorEastAsia"/>
                <w:sz w:val="28"/>
              </w:rPr>
              <w:t>5</w:t>
            </w:r>
          </w:p>
        </w:tc>
        <w:tc>
          <w:tcPr>
            <w:tcW w:w="1276" w:type="dxa"/>
            <w:vAlign w:val="center"/>
          </w:tcPr>
          <w:p>
            <w:pPr>
              <w:jc w:val="center"/>
              <w:rPr>
                <w:rFonts w:ascii="宋体" w:hAnsi="宋体" w:cs="宋体"/>
                <w:sz w:val="24"/>
              </w:rPr>
            </w:pPr>
            <w:r>
              <w:rPr>
                <w:rFonts w:hint="eastAsia"/>
                <w:sz w:val="24"/>
              </w:rPr>
              <w:t>杨丽</w:t>
            </w:r>
          </w:p>
        </w:tc>
        <w:tc>
          <w:tcPr>
            <w:tcW w:w="4961" w:type="dxa"/>
            <w:vAlign w:val="center"/>
          </w:tcPr>
          <w:p>
            <w:pPr>
              <w:jc w:val="center"/>
              <w:rPr>
                <w:rFonts w:ascii="宋体" w:hAnsi="宋体" w:cs="宋体"/>
                <w:sz w:val="24"/>
              </w:rPr>
            </w:pPr>
            <w:r>
              <w:rPr>
                <w:rFonts w:hint="eastAsia"/>
                <w:sz w:val="24"/>
              </w:rPr>
              <w:t>宣威市水务局</w:t>
            </w:r>
          </w:p>
        </w:tc>
        <w:tc>
          <w:tcPr>
            <w:tcW w:w="1701" w:type="dxa"/>
            <w:vAlign w:val="center"/>
          </w:tcPr>
          <w:p>
            <w:pPr>
              <w:jc w:val="center"/>
              <w:rPr>
                <w:rFonts w:ascii="宋体" w:hAnsi="宋体" w:cs="宋体"/>
                <w:sz w:val="24"/>
              </w:rPr>
            </w:pPr>
            <w:r>
              <w:rPr>
                <w:rFonts w:hint="eastAsia"/>
                <w:sz w:val="24"/>
              </w:rPr>
              <w:t>高级工程师</w:t>
            </w:r>
          </w:p>
        </w:tc>
      </w:tr>
    </w:tbl>
    <w:p>
      <w:pPr>
        <w:jc w:val="center"/>
      </w:pPr>
    </w:p>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mViYmNjNDhlMTU2NmY2ODZlODY2NGI2MjQxOTljN2UifQ=="/>
  </w:docVars>
  <w:rsids>
    <w:rsidRoot w:val="00BC482A"/>
    <w:rsid w:val="00001551"/>
    <w:rsid w:val="000160A1"/>
    <w:rsid w:val="00045297"/>
    <w:rsid w:val="000519AE"/>
    <w:rsid w:val="00052275"/>
    <w:rsid w:val="000578C2"/>
    <w:rsid w:val="00082167"/>
    <w:rsid w:val="000A3972"/>
    <w:rsid w:val="000A549B"/>
    <w:rsid w:val="000A5A99"/>
    <w:rsid w:val="000A764B"/>
    <w:rsid w:val="000B60D1"/>
    <w:rsid w:val="000B70BA"/>
    <w:rsid w:val="000C2B8A"/>
    <w:rsid w:val="000C68E1"/>
    <w:rsid w:val="000D5523"/>
    <w:rsid w:val="000D6846"/>
    <w:rsid w:val="000F1B86"/>
    <w:rsid w:val="000F30EB"/>
    <w:rsid w:val="00110027"/>
    <w:rsid w:val="00112CAB"/>
    <w:rsid w:val="00116634"/>
    <w:rsid w:val="001223DC"/>
    <w:rsid w:val="00126105"/>
    <w:rsid w:val="00150A97"/>
    <w:rsid w:val="00154378"/>
    <w:rsid w:val="00165A1E"/>
    <w:rsid w:val="001831A2"/>
    <w:rsid w:val="00190B9D"/>
    <w:rsid w:val="00190F03"/>
    <w:rsid w:val="001914C5"/>
    <w:rsid w:val="00196645"/>
    <w:rsid w:val="001B56D4"/>
    <w:rsid w:val="001C015B"/>
    <w:rsid w:val="001C1E05"/>
    <w:rsid w:val="001E7541"/>
    <w:rsid w:val="0023271F"/>
    <w:rsid w:val="00244011"/>
    <w:rsid w:val="00253D0A"/>
    <w:rsid w:val="00262AD0"/>
    <w:rsid w:val="002A3C86"/>
    <w:rsid w:val="002B22D9"/>
    <w:rsid w:val="002B7620"/>
    <w:rsid w:val="002C11EB"/>
    <w:rsid w:val="002D0BD4"/>
    <w:rsid w:val="002D2E66"/>
    <w:rsid w:val="002D7615"/>
    <w:rsid w:val="002F1B07"/>
    <w:rsid w:val="003017FB"/>
    <w:rsid w:val="00320134"/>
    <w:rsid w:val="0033251E"/>
    <w:rsid w:val="003357FF"/>
    <w:rsid w:val="00344942"/>
    <w:rsid w:val="0037400E"/>
    <w:rsid w:val="003839D9"/>
    <w:rsid w:val="00395F8D"/>
    <w:rsid w:val="00397B82"/>
    <w:rsid w:val="003B2AC1"/>
    <w:rsid w:val="003B5FFE"/>
    <w:rsid w:val="003B6DC8"/>
    <w:rsid w:val="003B7B46"/>
    <w:rsid w:val="003C1A8C"/>
    <w:rsid w:val="003C61B2"/>
    <w:rsid w:val="003D3D87"/>
    <w:rsid w:val="003D40DD"/>
    <w:rsid w:val="003D47EE"/>
    <w:rsid w:val="003D4820"/>
    <w:rsid w:val="003E5141"/>
    <w:rsid w:val="003F2187"/>
    <w:rsid w:val="00444691"/>
    <w:rsid w:val="0044476A"/>
    <w:rsid w:val="00447FBE"/>
    <w:rsid w:val="0047252C"/>
    <w:rsid w:val="004777D3"/>
    <w:rsid w:val="004A3CE6"/>
    <w:rsid w:val="004A638D"/>
    <w:rsid w:val="004B3D6E"/>
    <w:rsid w:val="004B43AA"/>
    <w:rsid w:val="004B511F"/>
    <w:rsid w:val="004C04B1"/>
    <w:rsid w:val="004C245D"/>
    <w:rsid w:val="004C592F"/>
    <w:rsid w:val="004D4A9D"/>
    <w:rsid w:val="004E2FE1"/>
    <w:rsid w:val="004E5C93"/>
    <w:rsid w:val="004F60BE"/>
    <w:rsid w:val="00503280"/>
    <w:rsid w:val="005058C0"/>
    <w:rsid w:val="0054322D"/>
    <w:rsid w:val="0055212A"/>
    <w:rsid w:val="00554CC5"/>
    <w:rsid w:val="00563253"/>
    <w:rsid w:val="0056483B"/>
    <w:rsid w:val="0056650B"/>
    <w:rsid w:val="005667DD"/>
    <w:rsid w:val="00567144"/>
    <w:rsid w:val="00573AD8"/>
    <w:rsid w:val="00575653"/>
    <w:rsid w:val="00584491"/>
    <w:rsid w:val="00586C5C"/>
    <w:rsid w:val="0058733F"/>
    <w:rsid w:val="005A32E1"/>
    <w:rsid w:val="005A4EE2"/>
    <w:rsid w:val="005A6433"/>
    <w:rsid w:val="005D156C"/>
    <w:rsid w:val="005D7E55"/>
    <w:rsid w:val="005E1DC6"/>
    <w:rsid w:val="005E3978"/>
    <w:rsid w:val="005E6957"/>
    <w:rsid w:val="005F13CB"/>
    <w:rsid w:val="00602386"/>
    <w:rsid w:val="0061745E"/>
    <w:rsid w:val="006207F8"/>
    <w:rsid w:val="00630038"/>
    <w:rsid w:val="00630BA4"/>
    <w:rsid w:val="00631A65"/>
    <w:rsid w:val="006351AE"/>
    <w:rsid w:val="00641A48"/>
    <w:rsid w:val="00645450"/>
    <w:rsid w:val="00652898"/>
    <w:rsid w:val="006651E4"/>
    <w:rsid w:val="006657AA"/>
    <w:rsid w:val="006718F7"/>
    <w:rsid w:val="006D4A47"/>
    <w:rsid w:val="006D6519"/>
    <w:rsid w:val="006E12D7"/>
    <w:rsid w:val="006E1E76"/>
    <w:rsid w:val="006E32EE"/>
    <w:rsid w:val="006E6F09"/>
    <w:rsid w:val="006F35E6"/>
    <w:rsid w:val="00700CD8"/>
    <w:rsid w:val="007012EC"/>
    <w:rsid w:val="00703A41"/>
    <w:rsid w:val="00703C13"/>
    <w:rsid w:val="007070C9"/>
    <w:rsid w:val="00712E61"/>
    <w:rsid w:val="00722A22"/>
    <w:rsid w:val="00730DC1"/>
    <w:rsid w:val="007402B8"/>
    <w:rsid w:val="0075621A"/>
    <w:rsid w:val="00762E6A"/>
    <w:rsid w:val="0076723A"/>
    <w:rsid w:val="00781478"/>
    <w:rsid w:val="007833F7"/>
    <w:rsid w:val="00791ABE"/>
    <w:rsid w:val="00796F6E"/>
    <w:rsid w:val="007B0DB1"/>
    <w:rsid w:val="007B148E"/>
    <w:rsid w:val="007C0483"/>
    <w:rsid w:val="007C0F1B"/>
    <w:rsid w:val="007E2963"/>
    <w:rsid w:val="007E6E12"/>
    <w:rsid w:val="007F3F04"/>
    <w:rsid w:val="007F4491"/>
    <w:rsid w:val="00804392"/>
    <w:rsid w:val="00824C33"/>
    <w:rsid w:val="00833CE0"/>
    <w:rsid w:val="00842E86"/>
    <w:rsid w:val="0084606A"/>
    <w:rsid w:val="00861931"/>
    <w:rsid w:val="00867347"/>
    <w:rsid w:val="00875126"/>
    <w:rsid w:val="00895502"/>
    <w:rsid w:val="00895D9D"/>
    <w:rsid w:val="008A0F12"/>
    <w:rsid w:val="008A18AC"/>
    <w:rsid w:val="008A1A61"/>
    <w:rsid w:val="008B03AC"/>
    <w:rsid w:val="008B154F"/>
    <w:rsid w:val="008B2929"/>
    <w:rsid w:val="008B7DC5"/>
    <w:rsid w:val="008D0FD2"/>
    <w:rsid w:val="008D20A0"/>
    <w:rsid w:val="008D5A8E"/>
    <w:rsid w:val="008E5815"/>
    <w:rsid w:val="008E68AA"/>
    <w:rsid w:val="008E6A0F"/>
    <w:rsid w:val="00900A35"/>
    <w:rsid w:val="00913215"/>
    <w:rsid w:val="00920893"/>
    <w:rsid w:val="00920D20"/>
    <w:rsid w:val="00923DBB"/>
    <w:rsid w:val="009310D0"/>
    <w:rsid w:val="009351E2"/>
    <w:rsid w:val="0096051D"/>
    <w:rsid w:val="0096160A"/>
    <w:rsid w:val="009626E3"/>
    <w:rsid w:val="0096364D"/>
    <w:rsid w:val="00965703"/>
    <w:rsid w:val="00995854"/>
    <w:rsid w:val="009B33E4"/>
    <w:rsid w:val="009B6EFE"/>
    <w:rsid w:val="009C19E3"/>
    <w:rsid w:val="009C2309"/>
    <w:rsid w:val="009E22B9"/>
    <w:rsid w:val="009E2307"/>
    <w:rsid w:val="009F7FB3"/>
    <w:rsid w:val="00A01475"/>
    <w:rsid w:val="00A13442"/>
    <w:rsid w:val="00A245A6"/>
    <w:rsid w:val="00A36392"/>
    <w:rsid w:val="00A5395A"/>
    <w:rsid w:val="00A832DD"/>
    <w:rsid w:val="00A96F7C"/>
    <w:rsid w:val="00AA254B"/>
    <w:rsid w:val="00AA79E0"/>
    <w:rsid w:val="00AD7A40"/>
    <w:rsid w:val="00B054B5"/>
    <w:rsid w:val="00B05CBA"/>
    <w:rsid w:val="00B312B4"/>
    <w:rsid w:val="00B31856"/>
    <w:rsid w:val="00B342A8"/>
    <w:rsid w:val="00B44187"/>
    <w:rsid w:val="00B45B3C"/>
    <w:rsid w:val="00B65977"/>
    <w:rsid w:val="00BA603A"/>
    <w:rsid w:val="00BA6DB1"/>
    <w:rsid w:val="00BC1C20"/>
    <w:rsid w:val="00BC482A"/>
    <w:rsid w:val="00BC6EEC"/>
    <w:rsid w:val="00BD39B9"/>
    <w:rsid w:val="00C049C4"/>
    <w:rsid w:val="00C12F3C"/>
    <w:rsid w:val="00C15374"/>
    <w:rsid w:val="00C37400"/>
    <w:rsid w:val="00C71853"/>
    <w:rsid w:val="00C74B9A"/>
    <w:rsid w:val="00C75244"/>
    <w:rsid w:val="00C757D1"/>
    <w:rsid w:val="00C949C2"/>
    <w:rsid w:val="00C97E28"/>
    <w:rsid w:val="00CA2443"/>
    <w:rsid w:val="00CA27D3"/>
    <w:rsid w:val="00CB3A64"/>
    <w:rsid w:val="00CC2671"/>
    <w:rsid w:val="00CC5865"/>
    <w:rsid w:val="00CC7264"/>
    <w:rsid w:val="00CF7178"/>
    <w:rsid w:val="00D137DB"/>
    <w:rsid w:val="00D15A3A"/>
    <w:rsid w:val="00D2657B"/>
    <w:rsid w:val="00D41C7C"/>
    <w:rsid w:val="00D454FE"/>
    <w:rsid w:val="00D50017"/>
    <w:rsid w:val="00D5732A"/>
    <w:rsid w:val="00D662CB"/>
    <w:rsid w:val="00D6689E"/>
    <w:rsid w:val="00D67EBE"/>
    <w:rsid w:val="00D72C74"/>
    <w:rsid w:val="00D7396F"/>
    <w:rsid w:val="00D81098"/>
    <w:rsid w:val="00DA5118"/>
    <w:rsid w:val="00DA6CA9"/>
    <w:rsid w:val="00DA7B8D"/>
    <w:rsid w:val="00DB0CFF"/>
    <w:rsid w:val="00DC36F4"/>
    <w:rsid w:val="00DC6532"/>
    <w:rsid w:val="00DD1E03"/>
    <w:rsid w:val="00DD22C0"/>
    <w:rsid w:val="00DD7F71"/>
    <w:rsid w:val="00DF3391"/>
    <w:rsid w:val="00DF3637"/>
    <w:rsid w:val="00DF66E6"/>
    <w:rsid w:val="00DF6A75"/>
    <w:rsid w:val="00E0607D"/>
    <w:rsid w:val="00E132A0"/>
    <w:rsid w:val="00E14EB9"/>
    <w:rsid w:val="00E16CCC"/>
    <w:rsid w:val="00E20E15"/>
    <w:rsid w:val="00E41D90"/>
    <w:rsid w:val="00E519FF"/>
    <w:rsid w:val="00E544DB"/>
    <w:rsid w:val="00E61F4D"/>
    <w:rsid w:val="00E648C7"/>
    <w:rsid w:val="00E81F2F"/>
    <w:rsid w:val="00E96F0E"/>
    <w:rsid w:val="00EA5C7F"/>
    <w:rsid w:val="00EB3CC5"/>
    <w:rsid w:val="00EC09F2"/>
    <w:rsid w:val="00EC5C14"/>
    <w:rsid w:val="00ED7465"/>
    <w:rsid w:val="00EE5328"/>
    <w:rsid w:val="00F008ED"/>
    <w:rsid w:val="00F00B6C"/>
    <w:rsid w:val="00F1135F"/>
    <w:rsid w:val="00F3096E"/>
    <w:rsid w:val="00F4148A"/>
    <w:rsid w:val="00F460D3"/>
    <w:rsid w:val="00F524B1"/>
    <w:rsid w:val="00F677F1"/>
    <w:rsid w:val="00F838C0"/>
    <w:rsid w:val="00F9346D"/>
    <w:rsid w:val="00FA5B30"/>
    <w:rsid w:val="00FD0362"/>
    <w:rsid w:val="00FE2C18"/>
    <w:rsid w:val="00FF0931"/>
    <w:rsid w:val="00FF2EB3"/>
    <w:rsid w:val="021C6D34"/>
    <w:rsid w:val="04217035"/>
    <w:rsid w:val="05D74AAD"/>
    <w:rsid w:val="095137D2"/>
    <w:rsid w:val="0B88098A"/>
    <w:rsid w:val="0CC1684C"/>
    <w:rsid w:val="0F920E91"/>
    <w:rsid w:val="0FF75236"/>
    <w:rsid w:val="250D09F8"/>
    <w:rsid w:val="2536782E"/>
    <w:rsid w:val="25F024D6"/>
    <w:rsid w:val="28DA487B"/>
    <w:rsid w:val="300E0767"/>
    <w:rsid w:val="37D51AA8"/>
    <w:rsid w:val="3EF13CAE"/>
    <w:rsid w:val="42A45E72"/>
    <w:rsid w:val="48D94F7A"/>
    <w:rsid w:val="53BF125B"/>
    <w:rsid w:val="558C0ACF"/>
    <w:rsid w:val="561D419D"/>
    <w:rsid w:val="5BBD1B02"/>
    <w:rsid w:val="61E104D2"/>
    <w:rsid w:val="66FD2501"/>
    <w:rsid w:val="6A075932"/>
    <w:rsid w:val="6ACA0C98"/>
    <w:rsid w:val="6C1639D8"/>
    <w:rsid w:val="6CC6006C"/>
    <w:rsid w:val="6F9D2774"/>
    <w:rsid w:val="7AC24A7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link w:val="2"/>
    <w:qFormat/>
    <w:locked/>
    <w:uiPriority w:val="99"/>
    <w:rPr>
      <w:rFonts w:ascii="Times New Roman" w:hAnsi="Times New Roman" w:eastAsia="宋体" w:cs="Times New Roman"/>
      <w:sz w:val="18"/>
      <w:szCs w:val="18"/>
    </w:rPr>
  </w:style>
  <w:style w:type="character" w:customStyle="1" w:styleId="8">
    <w:name w:val="页眉 Char"/>
    <w:link w:val="3"/>
    <w:qFormat/>
    <w:locked/>
    <w:uiPriority w:val="99"/>
    <w:rPr>
      <w:rFonts w:ascii="Times New Roman" w:hAnsi="Times New Roman" w:eastAsia="宋体" w:cs="Times New Roman"/>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Char Char1 Char Char Char Char Char Char Char Char Char Char Char Char Char Char Char Char Char Char Char"/>
    <w:basedOn w:val="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662</Words>
  <Characters>3776</Characters>
  <Lines>31</Lines>
  <Paragraphs>8</Paragraphs>
  <TotalTime>1</TotalTime>
  <ScaleCrop>false</ScaleCrop>
  <LinksUpToDate>false</LinksUpToDate>
  <CharactersWithSpaces>4430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2017-10-27T08:55:00Z</dcterms:created>
  <dc:creator>Windows User</dc:creator>
  <cp:lastModifiedBy>S.Liming</cp:lastModifiedBy>
  <cp:lastPrinted>2024-03-12T14:20:00Z</cp:lastPrinted>
  <dcterms:modified xsi:type="dcterms:W3CDTF">2024-05-11T03:22:00Z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6F2E67BB37004B7DB9C80A01DCC4B0DB_12</vt:lpwstr>
  </property>
</Properties>
</file>