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9" w:line="224" w:lineRule="auto"/>
        <w:ind w:left="268"/>
        <w:rPr>
          <w:rFonts w:ascii="黑体" w:hAnsi="黑体" w:eastAsia="黑体" w:cs="黑体"/>
          <w:sz w:val="24"/>
          <w:szCs w:val="24"/>
        </w:rPr>
      </w:pPr>
      <w:r>
        <w:rPr>
          <w:rFonts w:ascii="黑体" w:hAnsi="黑体" w:eastAsia="黑体" w:cs="黑体"/>
          <w:b/>
          <w:bCs/>
          <w:spacing w:val="13"/>
          <w:sz w:val="24"/>
          <w:szCs w:val="24"/>
        </w:rPr>
        <w:t>附件2</w:t>
      </w:r>
    </w:p>
    <w:p>
      <w:pPr>
        <w:spacing w:line="275"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235" w:line="320" w:lineRule="exact"/>
        <w:jc w:val="center"/>
        <w:textAlignment w:val="baseline"/>
        <w:rPr>
          <w:rFonts w:hint="eastAsia" w:ascii="黑体" w:hAnsi="黑体" w:eastAsia="黑体" w:cs="黑体"/>
          <w:spacing w:val="24"/>
          <w:position w:val="15"/>
          <w:sz w:val="30"/>
          <w:szCs w:val="30"/>
          <w:lang w:eastAsia="zh-CN"/>
        </w:rPr>
      </w:pPr>
      <w:r>
        <w:rPr>
          <w:rFonts w:hint="eastAsia" w:ascii="黑体" w:hAnsi="黑体" w:eastAsia="黑体" w:cs="黑体"/>
          <w:spacing w:val="24"/>
          <w:position w:val="15"/>
          <w:sz w:val="30"/>
          <w:szCs w:val="30"/>
          <w:lang w:eastAsia="zh-CN"/>
        </w:rPr>
        <w:t>宣威市宏成建材有限公司宣威市热水镇大云山采石场</w:t>
      </w:r>
    </w:p>
    <w:p>
      <w:pPr>
        <w:keepNext w:val="0"/>
        <w:keepLines w:val="0"/>
        <w:pageBreakBefore w:val="0"/>
        <w:widowControl/>
        <w:kinsoku w:val="0"/>
        <w:wordWrap/>
        <w:overflowPunct/>
        <w:topLinePunct w:val="0"/>
        <w:autoSpaceDE w:val="0"/>
        <w:autoSpaceDN w:val="0"/>
        <w:bidi w:val="0"/>
        <w:adjustRightInd w:val="0"/>
        <w:snapToGrid w:val="0"/>
        <w:spacing w:before="235" w:line="320" w:lineRule="exact"/>
        <w:jc w:val="center"/>
        <w:textAlignment w:val="baseline"/>
        <w:rPr>
          <w:rFonts w:ascii="黑体" w:hAnsi="黑体" w:eastAsia="黑体" w:cs="黑体"/>
          <w:sz w:val="30"/>
          <w:szCs w:val="30"/>
        </w:rPr>
      </w:pPr>
      <w:r>
        <w:rPr>
          <w:rFonts w:ascii="黑体" w:hAnsi="黑体" w:eastAsia="黑体" w:cs="黑体"/>
          <w:spacing w:val="24"/>
          <w:position w:val="15"/>
          <w:sz w:val="30"/>
          <w:szCs w:val="30"/>
        </w:rPr>
        <w:t>矿山地质环境保护与土地复垦方案</w:t>
      </w:r>
    </w:p>
    <w:p>
      <w:pPr>
        <w:keepNext w:val="0"/>
        <w:keepLines w:val="0"/>
        <w:pageBreakBefore w:val="0"/>
        <w:widowControl/>
        <w:kinsoku w:val="0"/>
        <w:wordWrap/>
        <w:overflowPunct/>
        <w:topLinePunct w:val="0"/>
        <w:autoSpaceDE w:val="0"/>
        <w:autoSpaceDN w:val="0"/>
        <w:bidi w:val="0"/>
        <w:adjustRightInd w:val="0"/>
        <w:snapToGrid w:val="0"/>
        <w:spacing w:before="1" w:line="320" w:lineRule="exact"/>
        <w:jc w:val="center"/>
        <w:textAlignment w:val="baseline"/>
        <w:rPr>
          <w:rFonts w:ascii="黑体" w:hAnsi="黑体" w:eastAsia="黑体" w:cs="黑体"/>
          <w:sz w:val="30"/>
          <w:szCs w:val="30"/>
        </w:rPr>
      </w:pPr>
      <w:r>
        <w:rPr>
          <w:rFonts w:ascii="黑体" w:hAnsi="黑体" w:eastAsia="黑体" w:cs="黑体"/>
          <w:spacing w:val="18"/>
          <w:sz w:val="30"/>
          <w:szCs w:val="30"/>
        </w:rPr>
        <w:t>专家组评审意见</w:t>
      </w:r>
    </w:p>
    <w:p>
      <w:pPr>
        <w:spacing w:line="136" w:lineRule="exact"/>
      </w:pPr>
    </w:p>
    <w:tbl>
      <w:tblPr>
        <w:tblStyle w:val="8"/>
        <w:tblW w:w="9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8"/>
        <w:gridCol w:w="2243"/>
        <w:gridCol w:w="2078"/>
        <w:gridCol w:w="4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851" w:type="dxa"/>
            <w:gridSpan w:val="2"/>
            <w:vAlign w:val="top"/>
          </w:tcPr>
          <w:p>
            <w:pPr>
              <w:pStyle w:val="9"/>
              <w:spacing w:before="115" w:line="219" w:lineRule="auto"/>
              <w:ind w:left="3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生产(建设)项目名称</w:t>
            </w:r>
          </w:p>
        </w:tc>
        <w:tc>
          <w:tcPr>
            <w:tcW w:w="6588" w:type="dxa"/>
            <w:gridSpan w:val="2"/>
            <w:vAlign w:val="top"/>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eastAsia="zh-CN"/>
              </w:rPr>
              <w:t>宣威市宏成建材有限公司宣威市热水镇大云山采石场</w:t>
            </w:r>
            <w:r>
              <w:rPr>
                <w:rFonts w:hint="eastAsia" w:asciiTheme="minorEastAsia" w:hAnsiTheme="minorEastAsia" w:eastAsiaTheme="minorEastAsia" w:cstheme="minorEastAsia"/>
                <w:sz w:val="24"/>
                <w:szCs w:val="24"/>
                <w:highlight w:val="none"/>
              </w:rPr>
              <w:t>矿山地质环境保护与土地复垦方案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851" w:type="dxa"/>
            <w:gridSpan w:val="2"/>
            <w:vAlign w:val="top"/>
          </w:tcPr>
          <w:p>
            <w:pPr>
              <w:pStyle w:val="9"/>
              <w:spacing w:before="110" w:line="219" w:lineRule="auto"/>
              <w:ind w:left="3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生产(建设)单位名称</w:t>
            </w:r>
          </w:p>
        </w:tc>
        <w:tc>
          <w:tcPr>
            <w:tcW w:w="6588" w:type="dxa"/>
            <w:gridSpan w:val="2"/>
            <w:vAlign w:val="top"/>
          </w:tcPr>
          <w:p>
            <w:pPr>
              <w:pStyle w:val="9"/>
              <w:spacing w:before="110" w:line="220" w:lineRule="auto"/>
              <w:ind w:firstLine="1680" w:firstLineChars="7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highlight w:val="none"/>
                <w:lang w:eastAsia="zh-CN"/>
              </w:rPr>
              <w:t>宣威市宏成建材有限公司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2851" w:type="dxa"/>
            <w:gridSpan w:val="2"/>
            <w:vAlign w:val="top"/>
          </w:tcPr>
          <w:p>
            <w:pPr>
              <w:pStyle w:val="9"/>
              <w:spacing w:before="110" w:line="219" w:lineRule="auto"/>
              <w:ind w:left="4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方案编制单位名称</w:t>
            </w:r>
          </w:p>
        </w:tc>
        <w:tc>
          <w:tcPr>
            <w:tcW w:w="6588" w:type="dxa"/>
            <w:gridSpan w:val="2"/>
            <w:vAlign w:val="top"/>
          </w:tcPr>
          <w:p>
            <w:pPr>
              <w:pStyle w:val="9"/>
              <w:spacing w:before="110" w:line="219" w:lineRule="auto"/>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曲靖岩土工程勘测有限责任公司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851" w:type="dxa"/>
            <w:gridSpan w:val="2"/>
            <w:vMerge w:val="restart"/>
            <w:tcBorders>
              <w:bottom w:val="nil"/>
            </w:tcBorders>
            <w:vAlign w:val="top"/>
          </w:tcPr>
          <w:p>
            <w:pPr>
              <w:spacing w:line="262" w:lineRule="auto"/>
              <w:rPr>
                <w:rFonts w:hint="eastAsia" w:asciiTheme="minorEastAsia" w:hAnsiTheme="minorEastAsia" w:eastAsiaTheme="minorEastAsia" w:cstheme="minorEastAsia"/>
                <w:sz w:val="24"/>
                <w:szCs w:val="24"/>
              </w:rPr>
            </w:pPr>
          </w:p>
          <w:p>
            <w:pPr>
              <w:pStyle w:val="9"/>
              <w:spacing w:before="78" w:line="220" w:lineRule="auto"/>
              <w:ind w:left="3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项目用地面积(公顷)</w:t>
            </w:r>
          </w:p>
        </w:tc>
        <w:tc>
          <w:tcPr>
            <w:tcW w:w="2078" w:type="dxa"/>
            <w:vAlign w:val="top"/>
          </w:tcPr>
          <w:p>
            <w:pPr>
              <w:pStyle w:val="9"/>
              <w:spacing w:before="112" w:line="221" w:lineRule="auto"/>
              <w:ind w:left="1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永久性建设用地</w:t>
            </w:r>
          </w:p>
        </w:tc>
        <w:tc>
          <w:tcPr>
            <w:tcW w:w="4510" w:type="dxa"/>
            <w:vAlign w:val="top"/>
          </w:tcPr>
          <w:p>
            <w:pPr>
              <w:pStyle w:val="9"/>
              <w:spacing w:before="111" w:line="220" w:lineRule="auto"/>
              <w:ind w:left="1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0公顷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2851" w:type="dxa"/>
            <w:gridSpan w:val="2"/>
            <w:vMerge w:val="continue"/>
            <w:tcBorders>
              <w:top w:val="nil"/>
            </w:tcBorders>
            <w:vAlign w:val="top"/>
          </w:tcPr>
          <w:p>
            <w:pPr>
              <w:rPr>
                <w:rFonts w:hint="eastAsia" w:asciiTheme="minorEastAsia" w:hAnsiTheme="minorEastAsia" w:eastAsiaTheme="minorEastAsia" w:cstheme="minorEastAsia"/>
                <w:sz w:val="24"/>
                <w:szCs w:val="24"/>
              </w:rPr>
            </w:pPr>
          </w:p>
        </w:tc>
        <w:tc>
          <w:tcPr>
            <w:tcW w:w="2078" w:type="dxa"/>
            <w:vAlign w:val="top"/>
          </w:tcPr>
          <w:p>
            <w:pPr>
              <w:pStyle w:val="9"/>
              <w:spacing w:before="111" w:line="220" w:lineRule="auto"/>
              <w:ind w:left="3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损毁土地面积</w:t>
            </w:r>
          </w:p>
        </w:tc>
        <w:tc>
          <w:tcPr>
            <w:tcW w:w="4510" w:type="dxa"/>
            <w:vAlign w:val="top"/>
          </w:tcPr>
          <w:p>
            <w:pPr>
              <w:pStyle w:val="9"/>
              <w:spacing w:before="111" w:line="220" w:lineRule="auto"/>
              <w:ind w:left="15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8.4069</w:t>
            </w:r>
            <w:r>
              <w:rPr>
                <w:rFonts w:hint="eastAsia" w:asciiTheme="minorEastAsia" w:hAnsiTheme="minorEastAsia" w:eastAsiaTheme="minorEastAsia" w:cstheme="minorEastAsia"/>
                <w:spacing w:val="1"/>
                <w:sz w:val="24"/>
                <w:szCs w:val="24"/>
              </w:rPr>
              <w:t>公顷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2851" w:type="dxa"/>
            <w:gridSpan w:val="2"/>
            <w:vAlign w:val="top"/>
          </w:tcPr>
          <w:p>
            <w:pPr>
              <w:pStyle w:val="9"/>
              <w:spacing w:before="112" w:line="219" w:lineRule="auto"/>
              <w:ind w:left="2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生产规模(或投资规模)</w:t>
            </w:r>
          </w:p>
        </w:tc>
        <w:tc>
          <w:tcPr>
            <w:tcW w:w="6588" w:type="dxa"/>
            <w:gridSpan w:val="2"/>
            <w:vAlign w:val="top"/>
          </w:tcPr>
          <w:p>
            <w:pPr>
              <w:pStyle w:val="9"/>
              <w:spacing w:before="112" w:line="219" w:lineRule="auto"/>
              <w:ind w:left="274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rPr>
              <w:t>70</w:t>
            </w:r>
            <w:r>
              <w:rPr>
                <w:rFonts w:hint="eastAsia" w:asciiTheme="minorEastAsia" w:hAnsiTheme="minorEastAsia" w:eastAsiaTheme="minorEastAsia" w:cstheme="minorEastAsia"/>
                <w:spacing w:val="1"/>
                <w:sz w:val="24"/>
                <w:szCs w:val="24"/>
              </w:rPr>
              <w:t>万</w:t>
            </w:r>
            <w:r>
              <w:rPr>
                <w:rFonts w:hint="eastAsia" w:asciiTheme="minorEastAsia" w:hAnsiTheme="minorEastAsia" w:eastAsiaTheme="minorEastAsia" w:cstheme="minorEastAsia"/>
                <w:spacing w:val="1"/>
                <w:sz w:val="24"/>
                <w:szCs w:val="24"/>
                <w:lang w:val="en-US" w:eastAsia="zh-CN"/>
              </w:rPr>
              <w:t>t</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2851" w:type="dxa"/>
            <w:gridSpan w:val="2"/>
            <w:vAlign w:val="top"/>
          </w:tcPr>
          <w:p>
            <w:pPr>
              <w:pStyle w:val="9"/>
              <w:spacing w:before="102" w:line="219" w:lineRule="auto"/>
              <w:ind w:left="2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服务年限(或建设期限)</w:t>
            </w:r>
          </w:p>
        </w:tc>
        <w:tc>
          <w:tcPr>
            <w:tcW w:w="6588" w:type="dxa"/>
            <w:gridSpan w:val="2"/>
            <w:vAlign w:val="top"/>
          </w:tcPr>
          <w:p>
            <w:pPr>
              <w:pStyle w:val="9"/>
              <w:spacing w:before="102" w:line="219" w:lineRule="auto"/>
              <w:ind w:left="15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1"/>
                <w:sz w:val="24"/>
                <w:szCs w:val="24"/>
              </w:rPr>
              <w:t>5年(2024年</w:t>
            </w:r>
            <w:r>
              <w:rPr>
                <w:rFonts w:hint="eastAsia" w:asciiTheme="minorEastAsia" w:hAnsiTheme="minorEastAsia" w:eastAsiaTheme="minorEastAsia" w:cstheme="minorEastAsia"/>
                <w:spacing w:val="31"/>
                <w:sz w:val="24"/>
                <w:szCs w:val="24"/>
                <w:lang w:val="en-US" w:eastAsia="zh-CN"/>
              </w:rPr>
              <w:t>3</w:t>
            </w:r>
            <w:r>
              <w:rPr>
                <w:rFonts w:hint="eastAsia" w:asciiTheme="minorEastAsia" w:hAnsiTheme="minorEastAsia" w:eastAsiaTheme="minorEastAsia" w:cstheme="minorEastAsia"/>
                <w:spacing w:val="31"/>
                <w:sz w:val="24"/>
                <w:szCs w:val="24"/>
              </w:rPr>
              <w:t>月至2029年</w:t>
            </w:r>
            <w:r>
              <w:rPr>
                <w:rFonts w:hint="eastAsia" w:asciiTheme="minorEastAsia" w:hAnsiTheme="minorEastAsia" w:eastAsiaTheme="minorEastAsia" w:cstheme="minorEastAsia"/>
                <w:spacing w:val="31"/>
                <w:sz w:val="24"/>
                <w:szCs w:val="24"/>
                <w:lang w:val="en-US" w:eastAsia="zh-CN"/>
              </w:rPr>
              <w:t>3</w:t>
            </w:r>
            <w:r>
              <w:rPr>
                <w:rFonts w:hint="eastAsia" w:asciiTheme="minorEastAsia" w:hAnsiTheme="minorEastAsia" w:eastAsiaTheme="minorEastAsia" w:cstheme="minorEastAsia"/>
                <w:spacing w:val="31"/>
                <w:sz w:val="24"/>
                <w:szCs w:val="24"/>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8" w:hRule="atLeast"/>
        </w:trPr>
        <w:tc>
          <w:tcPr>
            <w:tcW w:w="608" w:type="dxa"/>
            <w:textDirection w:val="tbRlV"/>
            <w:vAlign w:val="top"/>
          </w:tcPr>
          <w:p>
            <w:pPr>
              <w:pStyle w:val="9"/>
              <w:spacing w:before="298" w:line="217" w:lineRule="auto"/>
              <w:ind w:left="2581"/>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rPr>
              <w:t>专</w:t>
            </w:r>
            <w:r>
              <w:rPr>
                <w:rFonts w:hint="eastAsia" w:asciiTheme="minorEastAsia" w:hAnsiTheme="minorEastAsia" w:eastAsiaTheme="minorEastAsia" w:cstheme="minorEastAsia"/>
                <w:spacing w:val="22"/>
                <w:sz w:val="24"/>
                <w:szCs w:val="24"/>
                <w:highlight w:val="none"/>
              </w:rPr>
              <w:t xml:space="preserve">  </w:t>
            </w:r>
            <w:r>
              <w:rPr>
                <w:rFonts w:hint="eastAsia" w:asciiTheme="minorEastAsia" w:hAnsiTheme="minorEastAsia" w:eastAsiaTheme="minorEastAsia" w:cstheme="minorEastAsia"/>
                <w:sz w:val="24"/>
                <w:szCs w:val="24"/>
                <w:highlight w:val="none"/>
              </w:rPr>
              <w:t>家</w:t>
            </w:r>
            <w:r>
              <w:rPr>
                <w:rFonts w:hint="eastAsia" w:asciiTheme="minorEastAsia" w:hAnsiTheme="minorEastAsia" w:eastAsiaTheme="minorEastAsia" w:cstheme="minorEastAsia"/>
                <w:spacing w:val="22"/>
                <w:sz w:val="24"/>
                <w:szCs w:val="24"/>
                <w:highlight w:val="none"/>
              </w:rPr>
              <w:t xml:space="preserve">  </w:t>
            </w:r>
            <w:r>
              <w:rPr>
                <w:rFonts w:hint="eastAsia" w:asciiTheme="minorEastAsia" w:hAnsiTheme="minorEastAsia" w:eastAsiaTheme="minorEastAsia" w:cstheme="minorEastAsia"/>
                <w:sz w:val="24"/>
                <w:szCs w:val="24"/>
                <w:highlight w:val="none"/>
              </w:rPr>
              <w:t>评</w:t>
            </w:r>
            <w:r>
              <w:rPr>
                <w:rFonts w:hint="eastAsia" w:asciiTheme="minorEastAsia" w:hAnsiTheme="minorEastAsia" w:eastAsiaTheme="minorEastAsia" w:cstheme="minorEastAsia"/>
                <w:spacing w:val="23"/>
                <w:sz w:val="24"/>
                <w:szCs w:val="24"/>
                <w:highlight w:val="none"/>
              </w:rPr>
              <w:t xml:space="preserve">  </w:t>
            </w:r>
            <w:r>
              <w:rPr>
                <w:rFonts w:hint="eastAsia" w:asciiTheme="minorEastAsia" w:hAnsiTheme="minorEastAsia" w:eastAsiaTheme="minorEastAsia" w:cstheme="minorEastAsia"/>
                <w:sz w:val="24"/>
                <w:szCs w:val="24"/>
                <w:highlight w:val="none"/>
              </w:rPr>
              <w:t>审</w:t>
            </w:r>
            <w:r>
              <w:rPr>
                <w:rFonts w:hint="eastAsia" w:asciiTheme="minorEastAsia" w:hAnsiTheme="minorEastAsia" w:eastAsiaTheme="minorEastAsia" w:cstheme="minorEastAsia"/>
                <w:spacing w:val="22"/>
                <w:sz w:val="24"/>
                <w:szCs w:val="24"/>
                <w:highlight w:val="none"/>
              </w:rPr>
              <w:t xml:space="preserve">  </w:t>
            </w:r>
            <w:r>
              <w:rPr>
                <w:rFonts w:hint="eastAsia" w:asciiTheme="minorEastAsia" w:hAnsiTheme="minorEastAsia" w:eastAsiaTheme="minorEastAsia" w:cstheme="minorEastAsia"/>
                <w:sz w:val="24"/>
                <w:szCs w:val="24"/>
                <w:highlight w:val="none"/>
              </w:rPr>
              <w:t>结</w:t>
            </w:r>
            <w:r>
              <w:rPr>
                <w:rFonts w:hint="eastAsia" w:asciiTheme="minorEastAsia" w:hAnsiTheme="minorEastAsia" w:eastAsiaTheme="minorEastAsia" w:cstheme="minorEastAsia"/>
                <w:spacing w:val="23"/>
                <w:sz w:val="24"/>
                <w:szCs w:val="24"/>
                <w:highlight w:val="none"/>
              </w:rPr>
              <w:t xml:space="preserve">  </w:t>
            </w:r>
            <w:r>
              <w:rPr>
                <w:rFonts w:hint="eastAsia" w:asciiTheme="minorEastAsia" w:hAnsiTheme="minorEastAsia" w:eastAsiaTheme="minorEastAsia" w:cstheme="minorEastAsia"/>
                <w:sz w:val="24"/>
                <w:szCs w:val="24"/>
                <w:highlight w:val="none"/>
              </w:rPr>
              <w:t>论</w:t>
            </w:r>
          </w:p>
        </w:tc>
        <w:tc>
          <w:tcPr>
            <w:tcW w:w="8831" w:type="dxa"/>
            <w:gridSpan w:val="3"/>
            <w:vAlign w:val="top"/>
          </w:tcPr>
          <w:p>
            <w:pPr>
              <w:spacing w:line="360" w:lineRule="auto"/>
              <w:ind w:firstLine="480" w:firstLineChars="20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2024年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4"/>
                <w:szCs w:val="24"/>
                <w14:textFill>
                  <w14:solidFill>
                    <w14:schemeClr w14:val="tx1"/>
                  </w14:solidFill>
                </w14:textFill>
              </w:rPr>
              <w:t>日，受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宣威市自然资源局</w:t>
            </w:r>
            <w:r>
              <w:rPr>
                <w:rFonts w:hint="eastAsia" w:asciiTheme="minorEastAsia" w:hAnsiTheme="minorEastAsia" w:eastAsiaTheme="minorEastAsia" w:cstheme="minorEastAsia"/>
                <w:color w:val="000000" w:themeColor="text1"/>
                <w:sz w:val="24"/>
                <w:szCs w:val="24"/>
                <w14:textFill>
                  <w14:solidFill>
                    <w14:schemeClr w14:val="tx1"/>
                  </w14:solidFill>
                </w14:textFill>
              </w:rPr>
              <w:t>委托，云南省有色地质局三一七队组织专家对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曲靖岩土工程勘测有限责任公司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编制的《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宣威市宏成建材有限公司宣威市热水镇大云山采石场</w:t>
            </w:r>
            <w:r>
              <w:rPr>
                <w:rFonts w:hint="eastAsia" w:asciiTheme="minorEastAsia" w:hAnsiTheme="minorEastAsia" w:eastAsiaTheme="minorEastAsia" w:cstheme="minorEastAsia"/>
                <w:color w:val="000000" w:themeColor="text1"/>
                <w:sz w:val="24"/>
                <w:szCs w:val="24"/>
                <w14:textFill>
                  <w14:solidFill>
                    <w14:schemeClr w14:val="tx1"/>
                  </w14:solidFill>
                </w14:textFill>
              </w:rPr>
              <w:t>地质环境保护与土地复垦方案》（以下简称《方案》）进行了评审。专家在会前认真审阅了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方案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及相关资料。与会专家听取编制单位的介绍，经会上提问、答疑、讨论的基础上，专家组对《方案》中存在的问题提出修改建议和意见，编制单位根据专家提出修改建议和意见进行了认真的修改，经专家复核，认为基本达到技术规范要求，专家组合议后，形成如下专家组评审意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spacing w:line="360" w:lineRule="auto"/>
              <w:ind w:firstLine="482" w:firstLineChars="200"/>
              <w:jc w:val="lef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一、项目基本情况</w:t>
            </w:r>
          </w:p>
          <w:p>
            <w:pPr>
              <w:spacing w:line="360" w:lineRule="auto"/>
              <w:ind w:firstLine="48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宣威市热水镇大云山采石场</w:t>
            </w:r>
            <w:r>
              <w:rPr>
                <w:rFonts w:hint="eastAsia" w:ascii="宋体" w:hAnsi="宋体" w:eastAsia="宋体" w:cs="宋体"/>
                <w:color w:val="000000" w:themeColor="text1"/>
                <w:sz w:val="24"/>
                <w14:textFill>
                  <w14:solidFill>
                    <w14:schemeClr w14:val="tx1"/>
                  </w14:solidFill>
                </w14:textFill>
              </w:rPr>
              <w:t>位于宣威市</w:t>
            </w:r>
            <w:r>
              <w:rPr>
                <w:rFonts w:hint="eastAsia" w:ascii="宋体" w:hAnsi="宋体" w:cs="宋体"/>
                <w:color w:val="000000" w:themeColor="text1"/>
                <w:spacing w:val="-4"/>
                <w:sz w:val="24"/>
                <w14:textFill>
                  <w14:solidFill>
                    <w14:schemeClr w14:val="tx1"/>
                  </w14:solidFill>
                </w14:textFill>
              </w:rPr>
              <w:t>233°</w:t>
            </w:r>
            <w:r>
              <w:rPr>
                <w:rFonts w:hint="eastAsia" w:ascii="宋体" w:hAnsi="宋体" w:eastAsia="宋体" w:cs="宋体"/>
                <w:color w:val="000000" w:themeColor="text1"/>
                <w:sz w:val="24"/>
                <w14:textFill>
                  <w14:solidFill>
                    <w14:schemeClr w14:val="tx1"/>
                  </w14:solidFill>
                </w14:textFill>
              </w:rPr>
              <w:t>方向，</w:t>
            </w:r>
            <w:r>
              <w:rPr>
                <w:rFonts w:hint="eastAsia" w:ascii="宋体" w:hAnsi="宋体" w:eastAsia="宋体" w:cs="宋体"/>
                <w:color w:val="000000" w:themeColor="text1"/>
                <w:sz w:val="24"/>
                <w:lang w:eastAsia="zh-CN"/>
                <w14:textFill>
                  <w14:solidFill>
                    <w14:schemeClr w14:val="tx1"/>
                  </w14:solidFill>
                </w14:textFill>
              </w:rPr>
              <w:t>平均</w:t>
            </w:r>
            <w:r>
              <w:rPr>
                <w:rFonts w:hint="eastAsia" w:ascii="宋体" w:hAnsi="宋体" w:eastAsia="宋体" w:cs="宋体"/>
                <w:color w:val="000000" w:themeColor="text1"/>
                <w:sz w:val="24"/>
                <w14:textFill>
                  <w14:solidFill>
                    <w14:schemeClr w14:val="tx1"/>
                  </w14:solidFill>
                </w14:textFill>
              </w:rPr>
              <w:t>距约34km，行政区划属宣威市热水镇管辖。</w:t>
            </w:r>
            <w:r>
              <w:rPr>
                <w:rFonts w:hint="eastAsia" w:ascii="宋体" w:hAnsi="宋体" w:eastAsia="宋体" w:cs="宋体"/>
                <w:color w:val="000000" w:themeColor="text1"/>
                <w:sz w:val="24"/>
                <w:lang w:val="en-US" w:eastAsia="zh-CN"/>
                <w14:textFill>
                  <w14:solidFill>
                    <w14:schemeClr w14:val="tx1"/>
                  </w14:solidFill>
                </w14:textFill>
              </w:rPr>
              <w:t>项目</w:t>
            </w:r>
            <w:r>
              <w:rPr>
                <w:rFonts w:hint="eastAsia" w:ascii="宋体" w:hAnsi="宋体" w:eastAsia="宋体" w:cs="宋体"/>
                <w:color w:val="000000" w:themeColor="text1"/>
                <w:sz w:val="24"/>
                <w14:textFill>
                  <w14:solidFill>
                    <w14:schemeClr w14:val="tx1"/>
                  </w14:solidFill>
                </w14:textFill>
              </w:rPr>
              <w:t>区地理坐标（2000国家大地坐标系极值)：东经103°51′14.115"～103°51′27.829",北纬26°06′07.761"～26°06′21.500"</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宣威市热水镇大云山采石场</w:t>
            </w:r>
            <w:r>
              <w:rPr>
                <w:rFonts w:hint="eastAsia" w:ascii="宋体" w:hAnsi="宋体" w:cs="宋体"/>
                <w:color w:val="000000" w:themeColor="text1"/>
                <w:sz w:val="24"/>
                <w14:textFill>
                  <w14:solidFill>
                    <w14:schemeClr w14:val="tx1"/>
                  </w14:solidFill>
                </w14:textFill>
              </w:rPr>
              <w:t>为</w:t>
            </w:r>
            <w:r>
              <w:rPr>
                <w:rFonts w:hint="eastAsia" w:ascii="宋体" w:hAnsi="宋体" w:cs="宋体"/>
                <w:color w:val="000000" w:themeColor="text1"/>
                <w:sz w:val="24"/>
                <w:lang w:val="en-US" w:eastAsia="zh-CN"/>
                <w14:textFill>
                  <w14:solidFill>
                    <w14:schemeClr w14:val="tx1"/>
                  </w14:solidFill>
                </w14:textFill>
              </w:rPr>
              <w:t>变更矿区</w:t>
            </w:r>
            <w:r>
              <w:rPr>
                <w:rFonts w:hint="eastAsia" w:ascii="宋体" w:hAnsi="宋体" w:cs="宋体"/>
                <w:color w:val="000000" w:themeColor="text1"/>
                <w:sz w:val="24"/>
                <w14:textFill>
                  <w14:solidFill>
                    <w14:schemeClr w14:val="tx1"/>
                  </w14:solidFill>
                </w14:textFill>
              </w:rPr>
              <w:t>，矿区面积</w:t>
            </w:r>
            <w:r>
              <w:rPr>
                <w:rFonts w:hint="eastAsia" w:ascii="宋体" w:hAnsi="宋体" w:eastAsia="宋体" w:cs="宋体"/>
                <w:color w:val="000000" w:themeColor="text1"/>
                <w:sz w:val="24"/>
                <w:lang w:eastAsia="zh-CN"/>
                <w14:textFill>
                  <w14:solidFill>
                    <w14:schemeClr w14:val="tx1"/>
                  </w14:solidFill>
                </w14:textFill>
              </w:rPr>
              <w:t>0.0718</w:t>
            </w:r>
            <w:r>
              <w:rPr>
                <w:rFonts w:hint="eastAsia" w:ascii="宋体" w:hAnsi="宋体" w:cs="宋体"/>
                <w:color w:val="000000" w:themeColor="text1"/>
                <w:sz w:val="24"/>
                <w14:textFill>
                  <w14:solidFill>
                    <w14:schemeClr w14:val="tx1"/>
                  </w14:solidFill>
                </w14:textFill>
              </w:rPr>
              <w:t>km</w:t>
            </w:r>
            <w:r>
              <w:rPr>
                <w:rFonts w:hint="eastAsia" w:ascii="宋体" w:hAnsi="宋体" w:cs="宋体"/>
                <w:color w:val="000000" w:themeColor="text1"/>
                <w:sz w:val="24"/>
                <w:vertAlign w:val="super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，由</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个拐点圈定，开采标高</w:t>
            </w:r>
            <w:r>
              <w:rPr>
                <w:rFonts w:hint="eastAsia" w:ascii="宋体" w:hAnsi="宋体" w:eastAsia="宋体" w:cs="宋体"/>
                <w:color w:val="000000" w:themeColor="text1"/>
                <w:kern w:val="0"/>
                <w:sz w:val="24"/>
                <w:lang w:eastAsia="zh-CN"/>
                <w14:textFill>
                  <w14:solidFill>
                    <w14:schemeClr w14:val="tx1"/>
                  </w14:solidFill>
                </w14:textFill>
              </w:rPr>
              <w:t>2120</w:t>
            </w:r>
            <w:r>
              <w:rPr>
                <w:rFonts w:hint="eastAsia" w:ascii="宋体" w:hAnsi="宋体" w:eastAsia="宋体" w:cs="宋体"/>
                <w:color w:val="000000" w:themeColor="text1"/>
                <w:sz w:val="24"/>
                <w14:textFill>
                  <w14:solidFill>
                    <w14:schemeClr w14:val="tx1"/>
                  </w14:solidFill>
                </w14:textFill>
              </w:rPr>
              <w:t>m</w:t>
            </w:r>
            <w:r>
              <w:rPr>
                <w:rFonts w:hint="eastAsia" w:ascii="宋体" w:hAnsi="宋体" w:eastAsia="宋体" w:cs="宋体"/>
                <w:color w:val="000000" w:themeColor="text1"/>
                <w:kern w:val="0"/>
                <w:sz w:val="24"/>
                <w:lang w:eastAsia="zh-CN"/>
                <w14:textFill>
                  <w14:solidFill>
                    <w14:schemeClr w14:val="tx1"/>
                  </w14:solidFill>
                </w14:textFill>
              </w:rPr>
              <w:t>-2020</w:t>
            </w:r>
            <w:r>
              <w:rPr>
                <w:rFonts w:hint="eastAsia" w:ascii="宋体" w:hAnsi="宋体" w:eastAsia="宋体" w:cs="宋体"/>
                <w:color w:val="000000" w:themeColor="text1"/>
                <w:sz w:val="24"/>
                <w14:textFill>
                  <w14:solidFill>
                    <w14:schemeClr w14:val="tx1"/>
                  </w14:solidFill>
                </w14:textFill>
              </w:rPr>
              <w:t>m</w:t>
            </w:r>
            <w:r>
              <w:rPr>
                <w:rFonts w:hint="eastAsia" w:ascii="宋体" w:hAnsi="宋体" w:cs="宋体"/>
                <w:color w:val="000000" w:themeColor="text1"/>
                <w:sz w:val="24"/>
                <w14:textFill>
                  <w14:solidFill>
                    <w14:schemeClr w14:val="tx1"/>
                  </w14:solidFill>
                </w14:textFill>
              </w:rPr>
              <w:t>，规划开采规模70万t/a，开采矿种为</w:t>
            </w:r>
            <w:r>
              <w:rPr>
                <w:rFonts w:hint="eastAsia" w:ascii="宋体" w:hAnsi="宋体" w:cs="宋体"/>
                <w:bCs/>
                <w:iCs/>
                <w:color w:val="000000" w:themeColor="text1"/>
                <w:sz w:val="24"/>
                <w:lang w:val="en-US" w:eastAsia="zh-CN"/>
                <w14:textFill>
                  <w14:solidFill>
                    <w14:schemeClr w14:val="tx1"/>
                  </w14:solidFill>
                </w14:textFill>
              </w:rPr>
              <w:t>建筑石料用灰</w:t>
            </w:r>
            <w:r>
              <w:rPr>
                <w:rFonts w:hint="eastAsia" w:ascii="宋体" w:hAnsi="宋体" w:cs="宋体"/>
                <w:bCs/>
                <w:iCs/>
                <w:color w:val="000000" w:themeColor="text1"/>
                <w:sz w:val="24"/>
                <w14:textFill>
                  <w14:solidFill>
                    <w14:schemeClr w14:val="tx1"/>
                  </w14:solidFill>
                </w14:textFill>
              </w:rPr>
              <w:t>岩</w:t>
            </w:r>
            <w:r>
              <w:rPr>
                <w:rFonts w:hint="eastAsia" w:ascii="宋体" w:hAnsi="宋体" w:cs="宋体"/>
                <w:color w:val="000000" w:themeColor="text1"/>
                <w:sz w:val="24"/>
                <w14:textFill>
                  <w14:solidFill>
                    <w14:schemeClr w14:val="tx1"/>
                  </w14:solidFill>
                </w14:textFill>
              </w:rPr>
              <w:t>，矿山规模为中型，开采方式为露天开采</w:t>
            </w:r>
            <w:r>
              <w:rPr>
                <w:rFonts w:hint="eastAsia" w:asciiTheme="minorEastAsia" w:hAnsiTheme="minorEastAsia" w:eastAsiaTheme="minorEastAsia" w:cstheme="minorEastAsia"/>
                <w:color w:val="000000" w:themeColor="text1"/>
                <w:sz w:val="24"/>
                <w:szCs w:val="24"/>
                <w14:textFill>
                  <w14:solidFill>
                    <w14:schemeClr w14:val="tx1"/>
                  </w14:solidFill>
                </w14:textFill>
              </w:rPr>
              <w:t>。本次编制方案的目的为办理采矿权的登记手续。</w:t>
            </w:r>
          </w:p>
          <w:p>
            <w:pPr>
              <w:spacing w:line="360" w:lineRule="auto"/>
              <w:ind w:firstLine="723" w:firstLineChars="30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二、矿山地质环境保护与恢复治理部分</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（一）《方案》由</w:t>
            </w:r>
            <w:r>
              <w:rPr>
                <w:rFonts w:hint="eastAsia" w:asciiTheme="minorEastAsia" w:hAnsiTheme="minorEastAsia" w:eastAsiaTheme="minorEastAsia" w:cstheme="minorEastAsia"/>
                <w:color w:val="000000"/>
                <w:sz w:val="24"/>
                <w:szCs w:val="24"/>
                <w:lang w:val="en-US" w:eastAsia="zh-CN"/>
              </w:rPr>
              <w:t>曲靖岩土工程勘测有限责任公司</w:t>
            </w:r>
            <w:r>
              <w:rPr>
                <w:rFonts w:hint="eastAsia" w:asciiTheme="minorEastAsia" w:hAnsiTheme="minorEastAsia" w:eastAsiaTheme="minorEastAsia" w:cstheme="minorEastAsia"/>
                <w:color w:val="000000"/>
                <w:sz w:val="24"/>
                <w:szCs w:val="24"/>
              </w:rPr>
              <w:t>编制，符合云自然资修复</w:t>
            </w:r>
            <w:r>
              <w:rPr>
                <w:rFonts w:hint="eastAsia" w:ascii="宋体" w:hAnsi="宋体" w:eastAsia="宋体" w:cs="宋体"/>
                <w:i w:val="0"/>
                <w:iCs w:val="0"/>
                <w:caps w:val="0"/>
                <w:color w:val="000000"/>
                <w:spacing w:val="0"/>
                <w:sz w:val="24"/>
                <w:szCs w:val="24"/>
                <w:shd w:val="clear" w:fill="FFFFFF"/>
              </w:rPr>
              <w:t>〔2023〕</w:t>
            </w:r>
            <w:bookmarkStart w:id="0" w:name="_GoBack"/>
            <w:bookmarkEnd w:id="0"/>
            <w:r>
              <w:rPr>
                <w:rFonts w:hint="eastAsia" w:asciiTheme="minorEastAsia" w:hAnsiTheme="minorEastAsia" w:eastAsiaTheme="minorEastAsia" w:cstheme="minorEastAsia"/>
                <w:color w:val="000000"/>
                <w:sz w:val="24"/>
                <w:szCs w:val="24"/>
              </w:rPr>
              <w:t>321号文相关规定。</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方案对区内自然地理、地质环境条件进行了调查，对矿山开发利用方案、矿山生产现状、矿山地质环境保护与治理恢复现状和评估区地质环境条件进行了介绍，介绍较全面，可作为方案编制的基础。野外地质调查工作较翔实，能基本满足方案编制工作所需。方案编制工作程序合规，方案要件齐全。附图比例尺1:</w:t>
            </w: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000，精度满足要求。</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（三）评估区地质环境条件复杂程度为中等类型；矿山地质环境影响程度为重要，</w:t>
            </w:r>
            <w:r>
              <w:rPr>
                <w:rFonts w:hint="eastAsia" w:asciiTheme="minorEastAsia" w:hAnsiTheme="minorEastAsia" w:eastAsiaTheme="minorEastAsia" w:cstheme="minorEastAsia"/>
                <w:bCs/>
                <w:sz w:val="24"/>
                <w:szCs w:val="24"/>
              </w:rPr>
              <w:t>按一级精度进行评价，符合规范要求</w:t>
            </w:r>
            <w:r>
              <w:rPr>
                <w:rFonts w:hint="eastAsia" w:asciiTheme="minorEastAsia" w:hAnsiTheme="minorEastAsia" w:eastAsiaTheme="minorEastAsia" w:cstheme="minorEastAsia"/>
                <w:bCs/>
                <w:color w:val="auto"/>
                <w:sz w:val="24"/>
                <w:szCs w:val="24"/>
              </w:rPr>
              <w:t>，评估面积</w:t>
            </w:r>
            <w:r>
              <w:rPr>
                <w:rFonts w:hint="eastAsia" w:ascii="宋体" w:hAnsi="宋体" w:cs="宋体"/>
                <w:color w:val="000000"/>
                <w:sz w:val="24"/>
              </w:rPr>
              <w:t>0.2540</w:t>
            </w:r>
            <w:r>
              <w:rPr>
                <w:rFonts w:hint="eastAsia" w:asciiTheme="minorEastAsia" w:hAnsiTheme="minorEastAsia" w:eastAsiaTheme="minorEastAsia" w:cstheme="minorEastAsia"/>
                <w:bCs/>
                <w:color w:val="auto"/>
                <w:sz w:val="24"/>
                <w:szCs w:val="24"/>
              </w:rPr>
              <w:t>km</w:t>
            </w:r>
            <w:r>
              <w:rPr>
                <w:rFonts w:hint="eastAsia" w:asciiTheme="minorEastAsia" w:hAnsiTheme="minorEastAsia" w:eastAsiaTheme="minorEastAsia" w:cstheme="minorEastAsia"/>
                <w:bCs/>
                <w:color w:val="auto"/>
                <w:sz w:val="24"/>
                <w:szCs w:val="24"/>
                <w:vertAlign w:val="superscript"/>
              </w:rPr>
              <w:t>2</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sz w:val="24"/>
                <w:szCs w:val="24"/>
              </w:rPr>
              <w:t>基本满足评价工作的需要。</w:t>
            </w:r>
          </w:p>
          <w:p>
            <w:pPr>
              <w:spacing w:line="360" w:lineRule="auto"/>
              <w:ind w:firstLine="465"/>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sz w:val="24"/>
                <w:szCs w:val="24"/>
              </w:rPr>
              <w:t>（四）经过实地调查，现状条件下未发现崩塌、滑坡、泥石流、地面沉降、地裂缝、地面塌陷等地质灾害；该矿属</w:t>
            </w:r>
            <w:r>
              <w:rPr>
                <w:rFonts w:hint="eastAsia" w:asciiTheme="minorEastAsia" w:hAnsiTheme="minorEastAsia" w:eastAsiaTheme="minorEastAsia" w:cstheme="minorEastAsia"/>
                <w:color w:val="auto"/>
                <w:sz w:val="24"/>
                <w:szCs w:val="24"/>
                <w:lang w:val="en-US" w:eastAsia="zh-CN"/>
              </w:rPr>
              <w:t>开采</w:t>
            </w:r>
            <w:r>
              <w:rPr>
                <w:rFonts w:hint="eastAsia" w:asciiTheme="minorEastAsia" w:hAnsiTheme="minorEastAsia" w:eastAsiaTheme="minorEastAsia" w:cstheme="minorEastAsia"/>
                <w:color w:val="auto"/>
                <w:sz w:val="24"/>
                <w:szCs w:val="24"/>
              </w:rPr>
              <w:t>矿山。</w:t>
            </w:r>
            <w:r>
              <w:rPr>
                <w:rFonts w:hint="eastAsia" w:asciiTheme="minorEastAsia" w:hAnsiTheme="minorEastAsia" w:eastAsiaTheme="minorEastAsia" w:cstheme="minorEastAsia"/>
                <w:sz w:val="24"/>
                <w:szCs w:val="24"/>
              </w:rPr>
              <w:t>矿山生产建设和生产过程应引起高度重视，矿山建设适宜性为基本适宜。现状评估较客观，基本符合矿山实际。</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（五）预测评估认为，矿山闭坑后将消除或减轻地质灾害隐患，最突出的地质环境问题一是严重破坏矿区地形地貌景观，二是大量压占土地资源。预测评估基本符合矿山实际。</w:t>
            </w:r>
          </w:p>
          <w:p>
            <w:pPr>
              <w:spacing w:line="360" w:lineRule="auto"/>
              <w:ind w:firstLine="4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本方案在现状评估和预测评估的基础上，将评估区划分为矿山地质环境严重区（i）、影响一般区（iii）二级二区，分级分区基本合理；将评估区划分为重点防治区（A）和一般防治区（C），分级分区基本合理；矿山地质环境保护方案</w:t>
            </w:r>
            <w:r>
              <w:rPr>
                <w:rFonts w:hint="eastAsia" w:asciiTheme="minorEastAsia" w:hAnsiTheme="minorEastAsia" w:eastAsiaTheme="minorEastAsia" w:cstheme="minorEastAsia"/>
                <w:color w:val="auto"/>
                <w:sz w:val="24"/>
                <w:szCs w:val="24"/>
                <w:lang w:val="en-US" w:eastAsia="zh-CN"/>
              </w:rPr>
              <w:t>编制</w:t>
            </w:r>
            <w:r>
              <w:rPr>
                <w:rFonts w:hint="eastAsia" w:asciiTheme="minorEastAsia" w:hAnsiTheme="minorEastAsia" w:eastAsiaTheme="minorEastAsia" w:cstheme="minorEastAsia"/>
                <w:color w:val="auto"/>
                <w:sz w:val="24"/>
                <w:szCs w:val="24"/>
              </w:rPr>
              <w:t>年限为</w:t>
            </w:r>
            <w:r>
              <w:rPr>
                <w:rFonts w:hint="eastAsia" w:asciiTheme="minorEastAsia" w:hAnsiTheme="minorEastAsia" w:eastAsiaTheme="minorEastAsia" w:cstheme="minorEastAsia"/>
                <w:color w:val="auto"/>
                <w:sz w:val="24"/>
                <w:szCs w:val="24"/>
                <w:lang w:val="en-US" w:eastAsia="zh-CN"/>
              </w:rPr>
              <w:t>13.8</w:t>
            </w:r>
            <w:r>
              <w:rPr>
                <w:rFonts w:hint="eastAsia" w:asciiTheme="minorEastAsia" w:hAnsiTheme="minorEastAsia" w:eastAsiaTheme="minorEastAsia" w:cstheme="minorEastAsia"/>
                <w:color w:val="auto"/>
                <w:sz w:val="24"/>
                <w:szCs w:val="24"/>
              </w:rPr>
              <w:t>年（2024年03月～20</w:t>
            </w:r>
            <w:r>
              <w:rPr>
                <w:rFonts w:hint="eastAsia" w:asciiTheme="minorEastAsia" w:hAnsiTheme="minorEastAsia" w:eastAsiaTheme="minorEastAsia" w:cstheme="minorEastAsia"/>
                <w:color w:val="auto"/>
                <w:sz w:val="24"/>
                <w:szCs w:val="24"/>
                <w:lang w:val="en-US" w:eastAsia="zh-CN"/>
              </w:rPr>
              <w:t>37</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月），方案的适用年限为</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年（2024年03月至20</w:t>
            </w:r>
            <w:r>
              <w:rPr>
                <w:rFonts w:hint="eastAsia" w:asciiTheme="minorEastAsia" w:hAnsiTheme="minorEastAsia" w:eastAsiaTheme="minorEastAsia" w:cstheme="minorEastAsia"/>
                <w:color w:val="auto"/>
                <w:sz w:val="24"/>
                <w:szCs w:val="24"/>
                <w:lang w:val="en-US" w:eastAsia="zh-CN"/>
              </w:rPr>
              <w:t>29</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03</w:t>
            </w:r>
            <w:r>
              <w:rPr>
                <w:rFonts w:hint="eastAsia" w:asciiTheme="minorEastAsia" w:hAnsiTheme="minorEastAsia" w:eastAsiaTheme="minorEastAsia" w:cstheme="minorEastAsia"/>
                <w:color w:val="auto"/>
                <w:sz w:val="24"/>
                <w:szCs w:val="24"/>
              </w:rPr>
              <w:t>月）是恰当的。综合评估结论客观。</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（七）本方案制定的矿山地质环境保护方案包括工程措施、监测措施和管理措施，措施设计有一定针对性和可实施性。</w:t>
            </w:r>
          </w:p>
          <w:p>
            <w:pPr>
              <w:keepNext w:val="0"/>
              <w:keepLines w:val="0"/>
              <w:pageBreakBefore w:val="0"/>
              <w:kinsoku/>
              <w:wordWrap/>
              <w:overflowPunct/>
              <w:topLinePunct w:val="0"/>
              <w:autoSpaceDE/>
              <w:autoSpaceDN/>
              <w:bidi w:val="0"/>
              <w:spacing w:line="360" w:lineRule="auto"/>
              <w:ind w:left="174" w:leftChars="83" w:firstLine="396" w:firstLineChars="165"/>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sz w:val="24"/>
                <w:szCs w:val="24"/>
              </w:rPr>
              <w:t>（八）《方案》中矿山地质环境保护与治理恢复方案投资估算编制有据，计价计费基本合规，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方案编制年限</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13.8</w:t>
            </w:r>
            <w:r>
              <w:rPr>
                <w:rFonts w:hint="eastAsia" w:ascii="宋体" w:hAnsi="宋体" w:eastAsia="宋体" w:cs="宋体"/>
                <w:color w:val="000000" w:themeColor="text1"/>
                <w:sz w:val="24"/>
                <w:szCs w:val="24"/>
                <w:highlight w:val="none"/>
                <w14:textFill>
                  <w14:solidFill>
                    <w14:schemeClr w14:val="tx1"/>
                  </w14:solidFill>
                </w14:textFill>
              </w:rPr>
              <w:t>年）内估算静态总投资</w:t>
            </w:r>
            <w:r>
              <w:rPr>
                <w:rFonts w:hint="eastAsia" w:ascii="宋体" w:hAnsi="宋体" w:eastAsia="宋体" w:cs="宋体"/>
                <w:color w:val="000000" w:themeColor="text1"/>
                <w:sz w:val="24"/>
                <w:szCs w:val="24"/>
                <w:lang w:val="en-US" w:eastAsia="zh-CN"/>
                <w14:textFill>
                  <w14:solidFill>
                    <w14:schemeClr w14:val="tx1"/>
                  </w14:solidFill>
                </w14:textFill>
              </w:rPr>
              <w:t>68.11</w:t>
            </w:r>
            <w:r>
              <w:rPr>
                <w:rFonts w:hint="eastAsia" w:ascii="宋体" w:hAnsi="宋体" w:eastAsia="宋体" w:cs="宋体"/>
                <w:color w:val="000000" w:themeColor="text1"/>
                <w:sz w:val="24"/>
                <w:szCs w:val="24"/>
                <w:highlight w:val="none"/>
                <w14:textFill>
                  <w14:solidFill>
                    <w14:schemeClr w14:val="tx1"/>
                  </w14:solidFill>
                </w14:textFill>
              </w:rPr>
              <w:t>万元。其中方案适用年限（即开采近期5年）内估算静态总投资</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47.45</w:t>
            </w:r>
            <w:r>
              <w:rPr>
                <w:rFonts w:hint="eastAsia" w:ascii="宋体" w:hAnsi="宋体" w:eastAsia="宋体" w:cs="宋体"/>
                <w:color w:val="000000" w:themeColor="text1"/>
                <w:sz w:val="24"/>
                <w:szCs w:val="24"/>
                <w:highlight w:val="none"/>
                <w14:textFill>
                  <w14:solidFill>
                    <w14:schemeClr w14:val="tx1"/>
                  </w14:solidFill>
                </w14:textFill>
              </w:rPr>
              <w:t>元，含工程</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施工费</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32.6</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万元，临时工程措施费</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0.82</w:t>
            </w:r>
            <w:r>
              <w:rPr>
                <w:rFonts w:hint="eastAsia" w:ascii="宋体" w:hAnsi="宋体" w:eastAsia="宋体" w:cs="宋体"/>
                <w:color w:val="000000" w:themeColor="text1"/>
                <w:sz w:val="24"/>
                <w:szCs w:val="24"/>
                <w:highlight w:val="none"/>
                <w14:textFill>
                  <w14:solidFill>
                    <w14:schemeClr w14:val="tx1"/>
                  </w14:solidFill>
                </w14:textFill>
              </w:rPr>
              <w:t>万元，独立费用</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6.84</w:t>
            </w:r>
            <w:r>
              <w:rPr>
                <w:rFonts w:hint="eastAsia" w:ascii="宋体" w:hAnsi="宋体" w:eastAsia="宋体" w:cs="宋体"/>
                <w:color w:val="000000" w:themeColor="text1"/>
                <w:sz w:val="24"/>
                <w:szCs w:val="24"/>
                <w:highlight w:val="none"/>
                <w14:textFill>
                  <w14:solidFill>
                    <w14:schemeClr w14:val="tx1"/>
                  </w14:solidFill>
                </w14:textFill>
              </w:rPr>
              <w:t>万元，预备费</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2.69</w:t>
            </w:r>
            <w:r>
              <w:rPr>
                <w:rFonts w:hint="eastAsia" w:ascii="宋体" w:hAnsi="宋体" w:eastAsia="宋体" w:cs="宋体"/>
                <w:color w:val="000000" w:themeColor="text1"/>
                <w:sz w:val="24"/>
                <w:szCs w:val="24"/>
                <w:highlight w:val="none"/>
                <w14:textFill>
                  <w14:solidFill>
                    <w14:schemeClr w14:val="tx1"/>
                  </w14:solidFill>
                </w14:textFill>
              </w:rPr>
              <w:t>万元，环境监测费</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4.5</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万元；开采中期</w:t>
            </w:r>
            <w:r>
              <w:rPr>
                <w:rFonts w:hint="eastAsia" w:ascii="宋体" w:hAnsi="宋体" w:cs="宋体"/>
                <w:color w:val="000000" w:themeColor="text1"/>
                <w:sz w:val="24"/>
                <w:szCs w:val="24"/>
                <w:highlight w:val="none"/>
                <w:lang w:val="en-US" w:eastAsia="zh-CN"/>
                <w14:textFill>
                  <w14:solidFill>
                    <w14:schemeClr w14:val="tx1"/>
                  </w14:solidFill>
                </w14:textFill>
              </w:rPr>
              <w:t>5.8</w:t>
            </w:r>
            <w:r>
              <w:rPr>
                <w:rFonts w:hint="eastAsia" w:ascii="宋体" w:hAnsi="宋体" w:eastAsia="宋体" w:cs="宋体"/>
                <w:color w:val="000000" w:themeColor="text1"/>
                <w:sz w:val="24"/>
                <w:szCs w:val="24"/>
                <w:highlight w:val="none"/>
                <w14:textFill>
                  <w14:solidFill>
                    <w14:schemeClr w14:val="tx1"/>
                  </w14:solidFill>
                </w14:textFill>
              </w:rPr>
              <w:t>年+闭坑期3年估算总投资</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20.66</w:t>
            </w:r>
            <w:r>
              <w:rPr>
                <w:rFonts w:hint="eastAsia" w:ascii="宋体" w:hAnsi="宋体" w:eastAsia="宋体" w:cs="宋体"/>
                <w:color w:val="000000" w:themeColor="text1"/>
                <w:sz w:val="24"/>
                <w:szCs w:val="24"/>
                <w:highlight w:val="none"/>
                <w14:textFill>
                  <w14:solidFill>
                    <w14:schemeClr w14:val="tx1"/>
                  </w14:solidFill>
                </w14:textFill>
              </w:rPr>
              <w:t>万元，含工程措施费</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7.56</w:t>
            </w:r>
            <w:r>
              <w:rPr>
                <w:rFonts w:hint="eastAsia" w:ascii="宋体" w:hAnsi="宋体" w:eastAsia="宋体" w:cs="宋体"/>
                <w:color w:val="000000" w:themeColor="text1"/>
                <w:sz w:val="24"/>
                <w:szCs w:val="24"/>
                <w:highlight w:val="none"/>
                <w14:textFill>
                  <w14:solidFill>
                    <w14:schemeClr w14:val="tx1"/>
                  </w14:solidFill>
                </w14:textFill>
              </w:rPr>
              <w:t>万元，临时工程措施费</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0.19</w:t>
            </w:r>
            <w:r>
              <w:rPr>
                <w:rFonts w:hint="eastAsia" w:ascii="宋体" w:hAnsi="宋体" w:eastAsia="宋体" w:cs="宋体"/>
                <w:color w:val="000000" w:themeColor="text1"/>
                <w:sz w:val="24"/>
                <w:szCs w:val="24"/>
                <w:highlight w:val="none"/>
                <w14:textFill>
                  <w14:solidFill>
                    <w14:schemeClr w14:val="tx1"/>
                  </w14:solidFill>
                </w14:textFill>
              </w:rPr>
              <w:t>万元，独立费用</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3.13</w:t>
            </w:r>
            <w:r>
              <w:rPr>
                <w:rFonts w:hint="eastAsia" w:ascii="宋体" w:hAnsi="宋体" w:eastAsia="宋体" w:cs="宋体"/>
                <w:color w:val="000000" w:themeColor="text1"/>
                <w:sz w:val="24"/>
                <w:szCs w:val="24"/>
                <w:highlight w:val="none"/>
                <w14:textFill>
                  <w14:solidFill>
                    <w14:schemeClr w14:val="tx1"/>
                  </w14:solidFill>
                </w14:textFill>
              </w:rPr>
              <w:t>万元，预备费</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1.17</w:t>
            </w:r>
            <w:r>
              <w:rPr>
                <w:rFonts w:hint="eastAsia" w:ascii="宋体" w:hAnsi="宋体" w:eastAsia="宋体" w:cs="宋体"/>
                <w:color w:val="000000" w:themeColor="text1"/>
                <w:sz w:val="24"/>
                <w:szCs w:val="24"/>
                <w:highlight w:val="none"/>
                <w14:textFill>
                  <w14:solidFill>
                    <w14:schemeClr w14:val="tx1"/>
                  </w14:solidFill>
                </w14:textFill>
              </w:rPr>
              <w:t>万元，监测措施费</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8.61</w:t>
            </w:r>
            <w:r>
              <w:rPr>
                <w:rFonts w:hint="eastAsia" w:ascii="宋体" w:hAnsi="宋体" w:eastAsia="宋体" w:cs="宋体"/>
                <w:color w:val="000000" w:themeColor="text1"/>
                <w:sz w:val="24"/>
                <w:szCs w:val="24"/>
                <w:highlight w:val="none"/>
                <w14:textFill>
                  <w14:solidFill>
                    <w14:schemeClr w14:val="tx1"/>
                  </w14:solidFill>
                </w14:textFill>
              </w:rPr>
              <w:t>万元。动态总投资</w:t>
            </w:r>
            <w:r>
              <w:rPr>
                <w:rFonts w:hint="eastAsia" w:ascii="宋体" w:hAnsi="宋体" w:eastAsia="宋体" w:cs="宋体"/>
                <w:color w:val="000000" w:themeColor="text1"/>
                <w:sz w:val="24"/>
                <w:szCs w:val="24"/>
                <w:lang w:val="en-US" w:eastAsia="zh-CN"/>
                <w14:textFill>
                  <w14:solidFill>
                    <w14:schemeClr w14:val="tx1"/>
                  </w14:solidFill>
                </w14:textFill>
              </w:rPr>
              <w:t>82.32</w:t>
            </w:r>
            <w:r>
              <w:rPr>
                <w:rFonts w:hint="eastAsia" w:ascii="宋体" w:hAnsi="宋体" w:eastAsia="宋体" w:cs="宋体"/>
                <w:color w:val="000000" w:themeColor="text1"/>
                <w:sz w:val="24"/>
                <w:szCs w:val="24"/>
                <w:highlight w:val="none"/>
                <w14:textFill>
                  <w14:solidFill>
                    <w14:schemeClr w14:val="tx1"/>
                  </w14:solidFill>
                </w14:textFill>
              </w:rPr>
              <w:t>万元。其中方案适用年限（即开采近期5年）内估算动态总投资</w:t>
            </w:r>
            <w:r>
              <w:rPr>
                <w:rFonts w:hint="eastAsia" w:ascii="宋体" w:hAnsi="宋体" w:eastAsia="宋体" w:cs="宋体"/>
                <w:color w:val="000000" w:themeColor="text1"/>
                <w:sz w:val="24"/>
                <w:szCs w:val="24"/>
                <w:lang w:val="en-US" w:eastAsia="zh-CN"/>
                <w14:textFill>
                  <w14:solidFill>
                    <w14:schemeClr w14:val="tx1"/>
                  </w14:solidFill>
                </w14:textFill>
              </w:rPr>
              <w:t>51.63</w:t>
            </w:r>
            <w:r>
              <w:rPr>
                <w:rFonts w:hint="eastAsia" w:ascii="宋体" w:hAnsi="宋体" w:eastAsia="宋体" w:cs="宋体"/>
                <w:color w:val="000000" w:themeColor="text1"/>
                <w:sz w:val="24"/>
                <w:szCs w:val="24"/>
                <w:highlight w:val="none"/>
                <w14:textFill>
                  <w14:solidFill>
                    <w14:schemeClr w14:val="tx1"/>
                  </w14:solidFill>
                </w14:textFill>
              </w:rPr>
              <w:t>万元；开采中期</w:t>
            </w:r>
            <w:r>
              <w:rPr>
                <w:rFonts w:hint="eastAsia" w:ascii="宋体" w:hAnsi="宋体" w:cs="宋体"/>
                <w:color w:val="000000" w:themeColor="text1"/>
                <w:sz w:val="24"/>
                <w:szCs w:val="24"/>
                <w:highlight w:val="none"/>
                <w:lang w:val="en-US" w:eastAsia="zh-CN"/>
                <w14:textFill>
                  <w14:solidFill>
                    <w14:schemeClr w14:val="tx1"/>
                  </w14:solidFill>
                </w14:textFill>
              </w:rPr>
              <w:t>5.8</w:t>
            </w:r>
            <w:r>
              <w:rPr>
                <w:rFonts w:hint="eastAsia" w:ascii="宋体" w:hAnsi="宋体" w:eastAsia="宋体" w:cs="宋体"/>
                <w:color w:val="000000" w:themeColor="text1"/>
                <w:sz w:val="24"/>
                <w:szCs w:val="24"/>
                <w:highlight w:val="none"/>
                <w14:textFill>
                  <w14:solidFill>
                    <w14:schemeClr w14:val="tx1"/>
                  </w14:solidFill>
                </w14:textFill>
              </w:rPr>
              <w:t>年+闭坑期3年估算动态总投资</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30.69</w:t>
            </w:r>
            <w:r>
              <w:rPr>
                <w:rFonts w:hint="eastAsia" w:ascii="宋体" w:hAnsi="宋体" w:eastAsia="宋体" w:cs="宋体"/>
                <w:color w:val="000000" w:themeColor="text1"/>
                <w:sz w:val="24"/>
                <w:szCs w:val="24"/>
                <w:highlight w:val="none"/>
                <w14:textFill>
                  <w14:solidFill>
                    <w14:schemeClr w14:val="tx1"/>
                  </w14:solidFill>
                </w14:textFill>
              </w:rPr>
              <w:t>万元</w:t>
            </w:r>
            <w:r>
              <w:rPr>
                <w:rFonts w:hint="eastAsia" w:asciiTheme="minorEastAsia" w:hAnsiTheme="minorEastAsia" w:eastAsiaTheme="minorEastAsia" w:cstheme="minorEastAsia"/>
                <w:color w:val="auto"/>
                <w:sz w:val="24"/>
                <w:szCs w:val="24"/>
              </w:rPr>
              <w:t>。估算</w:t>
            </w:r>
            <w:r>
              <w:rPr>
                <w:rFonts w:hint="eastAsia" w:asciiTheme="minorEastAsia" w:hAnsiTheme="minorEastAsia" w:eastAsiaTheme="minorEastAsia" w:cstheme="minorEastAsia"/>
                <w:color w:val="000000"/>
                <w:sz w:val="24"/>
                <w:szCs w:val="24"/>
              </w:rPr>
              <w:t>结果较合理。</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综上所述：该《方案》编制基本符合有关文件及技术规范、标准的要求，相关分析依据充分，结论基本准确，采用方法、手段及完成实物工作量基本满足评估要求。采取的预防措施、工程措施基本可行，投资估（概）算结果基本准确，拟定的工作计划实施基本合理，基本达到了规范要求，专家组同意《方案》通过评审。编制单位已按专家组意见认真作了修改完善，可以按规定程序上报备案和提供使用。</w:t>
            </w:r>
          </w:p>
          <w:p>
            <w:pPr>
              <w:spacing w:line="360" w:lineRule="auto"/>
              <w:ind w:firstLine="600" w:firstLineChars="249"/>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三、土地复垦部分</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本《方案》编制格式符合要求，内容较为齐全；调查研究与数据处理方法正确，数据基本可信；提出的土地复垦工程措施和生物措施基本可行；复垦费用估（概）算依据较充分，测算基本合理，可作为指导企业开展土地复垦工作的依据。</w:t>
            </w:r>
          </w:p>
          <w:p>
            <w:pPr>
              <w:widowControl/>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（二）原则同意《方案》中关于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宣威市宏成建材有限公司宣威市热水镇大云山采石场</w:t>
            </w:r>
            <w:r>
              <w:rPr>
                <w:rFonts w:hint="eastAsia" w:asciiTheme="minorEastAsia" w:hAnsiTheme="minorEastAsia" w:eastAsiaTheme="minorEastAsia" w:cstheme="minorEastAsia"/>
                <w:sz w:val="24"/>
                <w:szCs w:val="24"/>
              </w:rPr>
              <w:t>矿山地质环境保护与土地复垦方案损</w:t>
            </w:r>
            <w:r>
              <w:rPr>
                <w:rFonts w:hint="eastAsia" w:asciiTheme="minorEastAsia" w:hAnsiTheme="minorEastAsia" w:eastAsiaTheme="minorEastAsia" w:cstheme="minorEastAsia"/>
                <w:color w:val="auto"/>
                <w:sz w:val="24"/>
                <w:szCs w:val="24"/>
              </w:rPr>
              <w:t>毁土地的预测和分析。</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为生产矿山，现状下部分区域已经损毁，</w:t>
            </w:r>
            <w:r>
              <w:rPr>
                <w:rFonts w:hint="eastAsia" w:ascii="宋体" w:hAnsi="宋体" w:eastAsia="宋体" w:cs="宋体"/>
                <w:color w:val="000000" w:themeColor="text1"/>
                <w:sz w:val="24"/>
                <w14:textFill>
                  <w14:solidFill>
                    <w14:schemeClr w14:val="tx1"/>
                  </w14:solidFill>
                </w14:textFill>
              </w:rPr>
              <w:t>拟损毁土地总面积为</w:t>
            </w:r>
            <w:r>
              <w:rPr>
                <w:rFonts w:hint="eastAsia" w:ascii="宋体" w:hAnsi="宋体" w:eastAsia="宋体"/>
                <w:color w:val="000000" w:themeColor="text1"/>
                <w:sz w:val="24"/>
                <w:lang w:eastAsia="zh-CN"/>
                <w14:textFill>
                  <w14:solidFill>
                    <w14:schemeClr w14:val="tx1"/>
                  </w14:solidFill>
                </w14:textFill>
              </w:rPr>
              <w:t>8.4069</w:t>
            </w:r>
            <w:r>
              <w:rPr>
                <w:rFonts w:ascii="宋体" w:hAnsi="宋体" w:eastAsia="宋体"/>
                <w:color w:val="000000" w:themeColor="text1"/>
                <w:sz w:val="24"/>
                <w14:textFill>
                  <w14:solidFill>
                    <w14:schemeClr w14:val="tx1"/>
                  </w14:solidFill>
                </w14:textFill>
              </w:rPr>
              <w:t>h</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w:t>
            </w:r>
            <w:r>
              <w:rPr>
                <w:rFonts w:hint="eastAsia" w:ascii="宋体" w:hAnsi="宋体" w:eastAsia="宋体" w:cs="宋体"/>
                <w:color w:val="000000" w:themeColor="text1"/>
                <w:sz w:val="24"/>
                <w:lang w:val="pl-PL"/>
                <w14:textFill>
                  <w14:solidFill>
                    <w14:schemeClr w14:val="tx1"/>
                  </w14:solidFill>
                </w14:textFill>
              </w:rPr>
              <w:t>现阶段</w:t>
            </w:r>
            <w:r>
              <w:rPr>
                <w:rFonts w:hint="eastAsia" w:ascii="宋体" w:hAnsi="宋体" w:eastAsia="宋体"/>
                <w:color w:val="000000" w:themeColor="text1"/>
                <w:sz w:val="24"/>
                <w14:textFill>
                  <w14:solidFill>
                    <w14:schemeClr w14:val="tx1"/>
                  </w14:solidFill>
                </w14:textFill>
              </w:rPr>
              <w:t>已损毁土地面积</w:t>
            </w:r>
            <w:r>
              <w:rPr>
                <w:rFonts w:hint="eastAsia" w:ascii="宋体" w:hAnsi="宋体" w:eastAsia="宋体"/>
                <w:color w:val="000000" w:themeColor="text1"/>
                <w:sz w:val="24"/>
                <w:lang w:val="en-US" w:eastAsia="zh-CN"/>
                <w14:textFill>
                  <w14:solidFill>
                    <w14:schemeClr w14:val="tx1"/>
                  </w14:solidFill>
                </w14:textFill>
              </w:rPr>
              <w:t>4.0690</w:t>
            </w:r>
            <w:r>
              <w:rPr>
                <w:rFonts w:hint="eastAsia" w:ascii="宋体" w:hAnsi="宋体" w:eastAsia="宋体" w:cs="宋体"/>
                <w:color w:val="000000" w:themeColor="text1"/>
                <w:sz w:val="24"/>
                <w14:textFill>
                  <w14:solidFill>
                    <w14:schemeClr w14:val="tx1"/>
                  </w14:solidFill>
                </w14:textFill>
              </w:rPr>
              <w:t>h㎡</w:t>
            </w:r>
            <w:r>
              <w:rPr>
                <w:rFonts w:hint="eastAsia" w:ascii="宋体" w:hAnsi="宋体" w:eastAsia="宋体"/>
                <w:color w:val="000000" w:themeColor="text1"/>
                <w:sz w:val="24"/>
                <w14:textFill>
                  <w14:solidFill>
                    <w14:schemeClr w14:val="tx1"/>
                  </w14:solidFill>
                </w14:textFill>
              </w:rPr>
              <w:t>，其中</w:t>
            </w:r>
            <w:r>
              <w:rPr>
                <w:rFonts w:hint="eastAsia" w:ascii="宋体" w:hAnsi="宋体" w:eastAsia="宋体" w:cs="宋体"/>
                <w:color w:val="000000" w:themeColor="text1"/>
                <w:sz w:val="24"/>
                <w14:textFill>
                  <w14:solidFill>
                    <w14:schemeClr w14:val="tx1"/>
                  </w14:solidFill>
                </w14:textFill>
              </w:rPr>
              <w:t>旱地（0103）</w:t>
            </w:r>
            <w:r>
              <w:rPr>
                <w:rFonts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1419</w:t>
            </w:r>
            <w:r>
              <w:rPr>
                <w:rFonts w:hint="eastAsia" w:ascii="宋体" w:hAnsi="宋体" w:eastAsia="宋体" w:cs="宋体"/>
                <w:color w:val="000000" w:themeColor="text1"/>
                <w:sz w:val="24"/>
                <w14:textFill>
                  <w14:solidFill>
                    <w14:schemeClr w14:val="tx1"/>
                  </w14:solidFill>
                </w14:textFill>
              </w:rPr>
              <w:t>h㎡、灌木林地（0305）</w:t>
            </w:r>
            <w:r>
              <w:rPr>
                <w:rFonts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0570</w:t>
            </w:r>
            <w:r>
              <w:rPr>
                <w:rFonts w:hint="eastAsia" w:ascii="宋体" w:hAnsi="宋体" w:eastAsia="宋体" w:cs="宋体"/>
                <w:color w:val="000000" w:themeColor="text1"/>
                <w:sz w:val="24"/>
                <w14:textFill>
                  <w14:solidFill>
                    <w14:schemeClr w14:val="tx1"/>
                  </w14:solidFill>
                </w14:textFill>
              </w:rPr>
              <w:t>h㎡</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工业用地</w:t>
            </w:r>
            <w:r>
              <w:rPr>
                <w:rFonts w:hint="eastAsia"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601</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0.0</w:t>
            </w:r>
            <w:r>
              <w:rPr>
                <w:rFonts w:hint="eastAsia" w:ascii="宋体" w:hAnsi="宋体" w:eastAsia="宋体" w:cs="宋体"/>
                <w:color w:val="000000" w:themeColor="text1"/>
                <w:sz w:val="24"/>
                <w:lang w:val="en-US" w:eastAsia="zh-CN"/>
                <w14:textFill>
                  <w14:solidFill>
                    <w14:schemeClr w14:val="tx1"/>
                  </w14:solidFill>
                </w14:textFill>
              </w:rPr>
              <w:t>012</w:t>
            </w:r>
            <w:r>
              <w:rPr>
                <w:rFonts w:hint="eastAsia" w:ascii="宋体" w:hAnsi="宋体" w:eastAsia="宋体" w:cs="宋体"/>
                <w:color w:val="000000" w:themeColor="text1"/>
                <w:sz w:val="24"/>
                <w14:textFill>
                  <w14:solidFill>
                    <w14:schemeClr w14:val="tx1"/>
                  </w14:solidFill>
                </w14:textFill>
              </w:rPr>
              <w:t>h㎡</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采矿用地（0602）</w:t>
            </w:r>
            <w:r>
              <w:rPr>
                <w:rFonts w:hint="eastAsia" w:ascii="宋体" w:hAnsi="宋体" w:eastAsia="宋体" w:cs="宋体"/>
                <w:color w:val="000000" w:themeColor="text1"/>
                <w:sz w:val="24"/>
                <w:lang w:val="en-US" w:eastAsia="zh-CN"/>
                <w14:textFill>
                  <w14:solidFill>
                    <w14:schemeClr w14:val="tx1"/>
                  </w14:solidFill>
                </w14:textFill>
              </w:rPr>
              <w:t>4.0232</w:t>
            </w:r>
            <w:r>
              <w:rPr>
                <w:rFonts w:hint="eastAsia" w:ascii="宋体" w:hAnsi="宋体" w:eastAsia="宋体" w:cs="宋体"/>
                <w:color w:val="000000" w:themeColor="text1"/>
                <w:sz w:val="24"/>
                <w14:textFill>
                  <w14:solidFill>
                    <w14:schemeClr w14:val="tx1"/>
                  </w14:solidFill>
                </w14:textFill>
              </w:rPr>
              <w:t>h㎡</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设施农用地</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1202</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0360</w:t>
            </w:r>
            <w:r>
              <w:rPr>
                <w:rFonts w:hint="eastAsia" w:ascii="宋体" w:hAnsi="宋体" w:eastAsia="宋体" w:cs="宋体"/>
                <w:color w:val="000000" w:themeColor="text1"/>
                <w:sz w:val="24"/>
                <w14:textFill>
                  <w14:solidFill>
                    <w14:schemeClr w14:val="tx1"/>
                  </w14:solidFill>
                </w14:textFill>
              </w:rPr>
              <w:t>h㎡</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裸岩石砾地</w:t>
            </w: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207</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lang w:val="en-US" w:eastAsia="zh-CN"/>
                <w14:textFill>
                  <w14:solidFill>
                    <w14:schemeClr w14:val="tx1"/>
                  </w14:solidFill>
                </w14:textFill>
              </w:rPr>
              <w:t>1802</w:t>
            </w:r>
            <w:r>
              <w:rPr>
                <w:rFonts w:hint="eastAsia" w:ascii="宋体" w:hAnsi="宋体" w:eastAsia="宋体" w:cs="宋体"/>
                <w:color w:val="000000" w:themeColor="text1"/>
                <w:sz w:val="24"/>
                <w14:textFill>
                  <w14:solidFill>
                    <w14:schemeClr w14:val="tx1"/>
                  </w14:solidFill>
                </w14:textFill>
              </w:rPr>
              <w:t>h㎡</w:t>
            </w:r>
            <w:r>
              <w:rPr>
                <w:rFonts w:hint="eastAsia" w:ascii="宋体" w:hAnsi="宋体" w:eastAsia="宋体"/>
                <w:color w:val="000000" w:themeColor="text1"/>
                <w:sz w:val="24"/>
                <w14:textFill>
                  <w14:solidFill>
                    <w14:schemeClr w14:val="tx1"/>
                  </w14:solidFill>
                </w14:textFill>
              </w:rPr>
              <w:t>；损毁土地方式为压占和挖损，</w:t>
            </w:r>
            <w:r>
              <w:rPr>
                <w:rFonts w:hint="eastAsia" w:ascii="宋体" w:hAnsi="宋体" w:eastAsia="宋体" w:cs="宋体"/>
                <w:color w:val="000000" w:themeColor="text1"/>
                <w:sz w:val="24"/>
                <w14:textFill>
                  <w14:solidFill>
                    <w14:schemeClr w14:val="tx1"/>
                  </w14:solidFill>
                </w14:textFill>
              </w:rPr>
              <w:t>按损毁土地方式统计，</w:t>
            </w:r>
            <w:r>
              <w:rPr>
                <w:rFonts w:hint="eastAsia" w:ascii="宋体" w:hAnsi="宋体" w:eastAsia="宋体"/>
                <w:color w:val="000000" w:themeColor="text1"/>
                <w:sz w:val="24"/>
                <w14:textFill>
                  <w14:solidFill>
                    <w14:schemeClr w14:val="tx1"/>
                  </w14:solidFill>
                </w14:textFill>
              </w:rPr>
              <w:t>压占损毁土地面积</w:t>
            </w:r>
            <w:r>
              <w:rPr>
                <w:rFonts w:hint="eastAsia" w:ascii="宋体" w:hAnsi="宋体" w:eastAsia="宋体"/>
                <w:color w:val="000000" w:themeColor="text1"/>
                <w:sz w:val="24"/>
                <w:lang w:val="en-US" w:eastAsia="zh-CN"/>
                <w14:textFill>
                  <w14:solidFill>
                    <w14:schemeClr w14:val="tx1"/>
                  </w14:solidFill>
                </w14:textFill>
              </w:rPr>
              <w:t>1.318</w:t>
            </w:r>
            <w:r>
              <w:rPr>
                <w:rFonts w:hint="eastAsia" w:ascii="宋体" w:hAnsi="宋体" w:eastAsia="宋体" w:cs="宋体"/>
                <w:color w:val="000000" w:themeColor="text1"/>
                <w:sz w:val="24"/>
                <w14:textFill>
                  <w14:solidFill>
                    <w14:schemeClr w14:val="tx1"/>
                  </w14:solidFill>
                </w14:textFill>
              </w:rPr>
              <w:t>h㎡、挖损损毁土地面积</w:t>
            </w:r>
            <w:r>
              <w:rPr>
                <w:rFonts w:hint="eastAsia" w:ascii="宋体" w:hAnsi="宋体" w:eastAsia="宋体" w:cs="宋体"/>
                <w:color w:val="000000" w:themeColor="text1"/>
                <w:sz w:val="24"/>
                <w:lang w:eastAsia="zh-CN"/>
                <w14:textFill>
                  <w14:solidFill>
                    <w14:schemeClr w14:val="tx1"/>
                  </w14:solidFill>
                </w14:textFill>
              </w:rPr>
              <w:t>2.7506</w:t>
            </w:r>
            <w:r>
              <w:rPr>
                <w:rFonts w:hint="eastAsia" w:ascii="宋体" w:hAnsi="宋体" w:eastAsia="宋体" w:cs="宋体"/>
                <w:color w:val="000000" w:themeColor="text1"/>
                <w:sz w:val="24"/>
                <w14:textFill>
                  <w14:solidFill>
                    <w14:schemeClr w14:val="tx1"/>
                  </w14:solidFill>
                </w14:textFill>
              </w:rPr>
              <w:t>h㎡</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按损毁土地程度统计，</w:t>
            </w:r>
            <w:r>
              <w:rPr>
                <w:rFonts w:hint="eastAsia" w:ascii="宋体" w:hAnsi="宋体" w:eastAsia="宋体"/>
                <w:color w:val="000000" w:themeColor="text1"/>
                <w:sz w:val="24"/>
                <w14:textFill>
                  <w14:solidFill>
                    <w14:schemeClr w14:val="tx1"/>
                  </w14:solidFill>
                </w14:textFill>
              </w:rPr>
              <w:t>轻度损毁土地面积</w:t>
            </w:r>
            <w:r>
              <w:rPr>
                <w:rFonts w:hint="eastAsia" w:ascii="宋体" w:hAnsi="宋体" w:eastAsia="宋体"/>
                <w:color w:val="000000" w:themeColor="text1"/>
                <w:sz w:val="24"/>
                <w:lang w:val="en-US" w:eastAsia="zh-CN"/>
                <w14:textFill>
                  <w14:solidFill>
                    <w14:schemeClr w14:val="tx1"/>
                  </w14:solidFill>
                </w14:textFill>
              </w:rPr>
              <w:t>0.8165</w:t>
            </w:r>
            <w:r>
              <w:rPr>
                <w:rFonts w:hint="eastAsia" w:ascii="宋体" w:hAnsi="宋体" w:eastAsia="宋体" w:cs="宋体"/>
                <w:color w:val="000000" w:themeColor="text1"/>
                <w:sz w:val="24"/>
                <w14:textFill>
                  <w14:solidFill>
                    <w14:schemeClr w14:val="tx1"/>
                  </w14:solidFill>
                </w14:textFill>
              </w:rPr>
              <w:t>h㎡、中度损毁土地面积0.</w:t>
            </w:r>
            <w:r>
              <w:rPr>
                <w:rFonts w:hint="eastAsia" w:ascii="宋体" w:hAnsi="宋体" w:eastAsia="宋体" w:cs="宋体"/>
                <w:color w:val="000000" w:themeColor="text1"/>
                <w:sz w:val="24"/>
                <w:lang w:val="en-US" w:eastAsia="zh-CN"/>
                <w14:textFill>
                  <w14:solidFill>
                    <w14:schemeClr w14:val="tx1"/>
                  </w14:solidFill>
                </w14:textFill>
              </w:rPr>
              <w:t>5019</w:t>
            </w:r>
            <w:r>
              <w:rPr>
                <w:rFonts w:hint="eastAsia" w:ascii="宋体" w:hAnsi="宋体" w:eastAsia="宋体" w:cs="宋体"/>
                <w:color w:val="000000" w:themeColor="text1"/>
                <w:sz w:val="24"/>
                <w14:textFill>
                  <w14:solidFill>
                    <w14:schemeClr w14:val="tx1"/>
                  </w14:solidFill>
                </w14:textFill>
              </w:rPr>
              <w:t>h㎡、重度损毁土地面积</w:t>
            </w:r>
            <w:r>
              <w:rPr>
                <w:rFonts w:hint="eastAsia" w:ascii="宋体" w:hAnsi="宋体" w:eastAsia="宋体" w:cs="宋体"/>
                <w:color w:val="000000" w:themeColor="text1"/>
                <w:sz w:val="24"/>
                <w:lang w:val="en-US" w:eastAsia="zh-CN"/>
                <w14:textFill>
                  <w14:solidFill>
                    <w14:schemeClr w14:val="tx1"/>
                  </w14:solidFill>
                </w14:textFill>
              </w:rPr>
              <w:t>2.7506</w:t>
            </w:r>
            <w:r>
              <w:rPr>
                <w:rFonts w:hint="eastAsia" w:ascii="宋体" w:hAnsi="宋体" w:eastAsia="宋体" w:cs="宋体"/>
                <w:color w:val="000000" w:themeColor="text1"/>
                <w:sz w:val="24"/>
                <w14:textFill>
                  <w14:solidFill>
                    <w14:schemeClr w14:val="tx1"/>
                  </w14:solidFill>
                </w14:textFill>
              </w:rPr>
              <w:t>h㎡</w:t>
            </w:r>
            <w:r>
              <w:rPr>
                <w:rFonts w:hint="eastAsia" w:ascii="宋体" w:hAnsi="宋体" w:eastAsia="宋体"/>
                <w:color w:val="000000" w:themeColor="text1"/>
                <w:sz w:val="24"/>
                <w14:textFill>
                  <w14:solidFill>
                    <w14:schemeClr w14:val="tx1"/>
                  </w14:solidFill>
                </w14:textFill>
              </w:rPr>
              <w:t>。涉及土地权属</w:t>
            </w:r>
            <w:r>
              <w:rPr>
                <w:rFonts w:hint="eastAsia" w:ascii="宋体" w:hAnsi="宋体" w:eastAsia="宋体"/>
                <w:color w:val="000000" w:themeColor="text1"/>
                <w:sz w:val="24"/>
                <w:lang w:val="en-US" w:eastAsia="zh-CN"/>
                <w14:textFill>
                  <w14:solidFill>
                    <w14:schemeClr w14:val="tx1"/>
                  </w14:solidFill>
                </w14:textFill>
              </w:rPr>
              <w:t>均</w:t>
            </w:r>
            <w:r>
              <w:rPr>
                <w:rFonts w:hint="eastAsia" w:ascii="宋体" w:hAnsi="宋体" w:eastAsia="宋体"/>
                <w:color w:val="000000" w:themeColor="text1"/>
                <w:sz w:val="24"/>
                <w14:textFill>
                  <w14:solidFill>
                    <w14:schemeClr w14:val="tx1"/>
                  </w14:solidFill>
                </w14:textFill>
              </w:rPr>
              <w:t>为</w:t>
            </w:r>
            <w:r>
              <w:rPr>
                <w:rFonts w:hint="eastAsia" w:ascii="宋体" w:hAnsi="宋体" w:eastAsia="宋体"/>
                <w:color w:val="000000" w:themeColor="text1"/>
                <w:sz w:val="24"/>
                <w:lang w:val="en-US" w:eastAsia="zh-CN"/>
                <w14:textFill>
                  <w14:solidFill>
                    <w14:schemeClr w14:val="tx1"/>
                  </w14:solidFill>
                </w14:textFill>
              </w:rPr>
              <w:t>响宗</w:t>
            </w:r>
            <w:r>
              <w:rPr>
                <w:rFonts w:hint="eastAsia" w:ascii="宋体" w:hAnsi="宋体" w:eastAsia="宋体"/>
                <w:color w:val="000000" w:themeColor="text1"/>
                <w:sz w:val="24"/>
                <w14:textFill>
                  <w14:solidFill>
                    <w14:schemeClr w14:val="tx1"/>
                  </w14:solidFill>
                </w14:textFill>
              </w:rPr>
              <w:t>村民委员会</w:t>
            </w:r>
            <w:r>
              <w:rPr>
                <w:rFonts w:hint="eastAsia" w:ascii="宋体" w:hAnsi="宋体" w:eastAsia="宋体"/>
                <w:color w:val="000000" w:themeColor="text1"/>
                <w:sz w:val="24"/>
                <w:lang w:val="en-US" w:eastAsia="zh-CN"/>
                <w14:textFill>
                  <w14:solidFill>
                    <w14:schemeClr w14:val="tx1"/>
                  </w14:solidFill>
                </w14:textFill>
              </w:rPr>
              <w:t>一</w:t>
            </w:r>
            <w:r>
              <w:rPr>
                <w:rFonts w:hint="eastAsia" w:ascii="宋体" w:hAnsi="宋体" w:eastAsia="宋体"/>
                <w:color w:val="000000" w:themeColor="text1"/>
                <w:sz w:val="24"/>
                <w14:textFill>
                  <w14:solidFill>
                    <w14:schemeClr w14:val="tx1"/>
                  </w14:solidFill>
                </w14:textFill>
              </w:rPr>
              <w:t>组</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拟损毁土地</w:t>
            </w:r>
            <w:r>
              <w:rPr>
                <w:rFonts w:hint="eastAsia" w:ascii="宋体" w:hAnsi="宋体" w:eastAsia="宋体"/>
                <w:color w:val="000000" w:themeColor="text1"/>
                <w:sz w:val="24"/>
                <w:lang w:val="en-US" w:eastAsia="zh-CN"/>
                <w14:textFill>
                  <w14:solidFill>
                    <w14:schemeClr w14:val="tx1"/>
                  </w14:solidFill>
                </w14:textFill>
              </w:rPr>
              <w:t>4.3379</w:t>
            </w:r>
            <w:r>
              <w:rPr>
                <w:rFonts w:hint="eastAsia" w:ascii="宋体" w:hAnsi="宋体" w:eastAsia="宋体"/>
                <w:color w:val="000000" w:themeColor="text1"/>
                <w:sz w:val="24"/>
                <w14:textFill>
                  <w14:solidFill>
                    <w14:schemeClr w14:val="tx1"/>
                  </w14:solidFill>
                </w14:textFill>
              </w:rPr>
              <w:t>h㎡，按土地利用现状类型统计，其中旱地（0103）0.0</w:t>
            </w:r>
            <w:r>
              <w:rPr>
                <w:rFonts w:hint="eastAsia" w:ascii="宋体" w:hAnsi="宋体" w:eastAsia="宋体"/>
                <w:color w:val="000000" w:themeColor="text1"/>
                <w:sz w:val="24"/>
                <w:lang w:val="en-US" w:eastAsia="zh-CN"/>
                <w14:textFill>
                  <w14:solidFill>
                    <w14:schemeClr w14:val="tx1"/>
                  </w14:solidFill>
                </w14:textFill>
              </w:rPr>
              <w:t>454</w:t>
            </w:r>
            <w:r>
              <w:rPr>
                <w:rFonts w:hint="eastAsia" w:ascii="宋体" w:hAnsi="宋体" w:eastAsia="宋体"/>
                <w:color w:val="000000" w:themeColor="text1"/>
                <w:sz w:val="24"/>
                <w14:textFill>
                  <w14:solidFill>
                    <w14:schemeClr w14:val="tx1"/>
                  </w14:solidFill>
                </w14:textFill>
              </w:rPr>
              <w:t>h㎡</w:t>
            </w: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灌木</w:t>
            </w:r>
            <w:r>
              <w:rPr>
                <w:rFonts w:hint="eastAsia" w:ascii="宋体" w:hAnsi="宋体" w:eastAsia="宋体"/>
                <w:color w:val="000000" w:themeColor="text1"/>
                <w:sz w:val="24"/>
                <w14:textFill>
                  <w14:solidFill>
                    <w14:schemeClr w14:val="tx1"/>
                  </w14:solidFill>
                </w14:textFill>
              </w:rPr>
              <w:t>林地（030</w:t>
            </w:r>
            <w:r>
              <w:rPr>
                <w:rFonts w:hint="eastAsia" w:ascii="宋体" w:hAnsi="宋体" w:eastAsia="宋体"/>
                <w:color w:val="000000" w:themeColor="text1"/>
                <w:sz w:val="24"/>
                <w:lang w:val="en-US" w:eastAsia="zh-CN"/>
                <w14:textFill>
                  <w14:solidFill>
                    <w14:schemeClr w14:val="tx1"/>
                  </w14:solidFill>
                </w14:textFill>
              </w:rPr>
              <w:t>5</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0.3791</w:t>
            </w:r>
            <w:r>
              <w:rPr>
                <w:rFonts w:hint="eastAsia" w:ascii="宋体" w:hAnsi="宋体" w:eastAsia="宋体"/>
                <w:color w:val="000000" w:themeColor="text1"/>
                <w:sz w:val="24"/>
                <w14:textFill>
                  <w14:solidFill>
                    <w14:schemeClr w14:val="tx1"/>
                  </w14:solidFill>
                </w14:textFill>
              </w:rPr>
              <w:t>h㎡</w:t>
            </w: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其他草地</w:t>
            </w:r>
            <w:r>
              <w:rPr>
                <w:rFonts w:hint="eastAsia" w:ascii="宋体" w:hAnsi="宋体" w:eastAsia="宋体"/>
                <w:color w:val="000000" w:themeColor="text1"/>
                <w:sz w:val="24"/>
                <w14:textFill>
                  <w14:solidFill>
                    <w14:schemeClr w14:val="tx1"/>
                  </w14:solidFill>
                </w14:textFill>
              </w:rPr>
              <w:t>（0</w:t>
            </w:r>
            <w:r>
              <w:rPr>
                <w:rFonts w:hint="eastAsia" w:ascii="宋体" w:hAnsi="宋体" w:eastAsia="宋体"/>
                <w:color w:val="000000" w:themeColor="text1"/>
                <w:sz w:val="24"/>
                <w:lang w:val="en-US" w:eastAsia="zh-CN"/>
                <w14:textFill>
                  <w14:solidFill>
                    <w14:schemeClr w14:val="tx1"/>
                  </w14:solidFill>
                </w14:textFill>
              </w:rPr>
              <w:t>404</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0.0550</w:t>
            </w:r>
            <w:r>
              <w:rPr>
                <w:rFonts w:hint="eastAsia" w:ascii="宋体" w:hAnsi="宋体" w:eastAsia="宋体"/>
                <w:color w:val="000000" w:themeColor="text1"/>
                <w:sz w:val="24"/>
                <w14:textFill>
                  <w14:solidFill>
                    <w14:schemeClr w14:val="tx1"/>
                  </w14:solidFill>
                </w14:textFill>
              </w:rPr>
              <w:t>h㎡</w:t>
            </w:r>
            <w:r>
              <w:rPr>
                <w:rFonts w:hint="eastAsia" w:ascii="宋体" w:hAnsi="宋体" w:eastAsia="宋体"/>
                <w:color w:val="000000" w:themeColor="text1"/>
                <w:sz w:val="24"/>
                <w:lang w:eastAsia="zh-CN"/>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工业用地（0601）0.0908</w:t>
            </w:r>
            <w:r>
              <w:rPr>
                <w:rFonts w:hint="eastAsia" w:ascii="宋体" w:hAnsi="宋体" w:eastAsia="宋体"/>
                <w:color w:val="000000" w:themeColor="text1"/>
                <w:sz w:val="24"/>
                <w14:textFill>
                  <w14:solidFill>
                    <w14:schemeClr w14:val="tx1"/>
                  </w14:solidFill>
                </w14:textFill>
              </w:rPr>
              <w:t>h㎡；采矿用地（0602）</w:t>
            </w:r>
            <w:r>
              <w:rPr>
                <w:rFonts w:hint="eastAsia" w:ascii="宋体" w:hAnsi="宋体" w:eastAsia="宋体"/>
                <w:color w:val="000000" w:themeColor="text1"/>
                <w:sz w:val="24"/>
                <w:lang w:val="en-US" w:eastAsia="zh-CN"/>
                <w14:textFill>
                  <w14:solidFill>
                    <w14:schemeClr w14:val="tx1"/>
                  </w14:solidFill>
                </w14:textFill>
              </w:rPr>
              <w:t>0.4609</w:t>
            </w:r>
            <w:r>
              <w:rPr>
                <w:rFonts w:hint="eastAsia" w:ascii="宋体" w:hAnsi="宋体" w:eastAsia="宋体"/>
                <w:color w:val="000000" w:themeColor="text1"/>
                <w:sz w:val="24"/>
                <w14:textFill>
                  <w14:solidFill>
                    <w14:schemeClr w14:val="tx1"/>
                  </w14:solidFill>
                </w14:textFill>
              </w:rPr>
              <w:t>h㎡；</w:t>
            </w:r>
            <w:r>
              <w:rPr>
                <w:rFonts w:hint="eastAsia" w:ascii="宋体" w:hAnsi="宋体" w:eastAsia="宋体"/>
                <w:color w:val="000000" w:themeColor="text1"/>
                <w:sz w:val="24"/>
                <w:lang w:val="en-US" w:eastAsia="zh-CN"/>
                <w14:textFill>
                  <w14:solidFill>
                    <w14:schemeClr w14:val="tx1"/>
                  </w14:solidFill>
                </w14:textFill>
              </w:rPr>
              <w:t>设施农用地</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1202</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0.0041</w:t>
            </w:r>
            <w:r>
              <w:rPr>
                <w:rFonts w:hint="eastAsia" w:ascii="宋体" w:hAnsi="宋体" w:eastAsia="宋体"/>
                <w:color w:val="000000" w:themeColor="text1"/>
                <w:sz w:val="24"/>
                <w14:textFill>
                  <w14:solidFill>
                    <w14:schemeClr w14:val="tx1"/>
                  </w14:solidFill>
                </w14:textFill>
              </w:rPr>
              <w:t>h㎡；</w:t>
            </w:r>
            <w:r>
              <w:rPr>
                <w:rFonts w:hint="eastAsia" w:ascii="宋体" w:hAnsi="宋体" w:eastAsia="宋体"/>
                <w:color w:val="000000" w:themeColor="text1"/>
                <w:sz w:val="24"/>
                <w:lang w:val="en-US" w:eastAsia="zh-CN"/>
                <w14:textFill>
                  <w14:solidFill>
                    <w14:schemeClr w14:val="tx1"/>
                  </w14:solidFill>
                </w14:textFill>
              </w:rPr>
              <w:t>裸岩石砾地</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1207</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lang w:val="en-US" w:eastAsia="zh-CN"/>
                <w14:textFill>
                  <w14:solidFill>
                    <w14:schemeClr w14:val="tx1"/>
                  </w14:solidFill>
                </w14:textFill>
              </w:rPr>
              <w:t>2.9321</w:t>
            </w:r>
            <w:r>
              <w:rPr>
                <w:rFonts w:hint="eastAsia" w:ascii="宋体" w:hAnsi="宋体" w:eastAsia="宋体"/>
                <w:color w:val="000000" w:themeColor="text1"/>
                <w:sz w:val="24"/>
                <w14:textFill>
                  <w14:solidFill>
                    <w14:schemeClr w14:val="tx1"/>
                  </w14:solidFill>
                </w14:textFill>
              </w:rPr>
              <w:t>h㎡；损毁方式为挖损，损毁程度为重度，涉及土地权属为</w:t>
            </w:r>
            <w:r>
              <w:rPr>
                <w:rFonts w:hint="eastAsia" w:ascii="宋体" w:hAnsi="宋体" w:eastAsia="宋体"/>
                <w:color w:val="000000" w:themeColor="text1"/>
                <w:sz w:val="24"/>
                <w:lang w:val="en-US" w:eastAsia="zh-CN"/>
                <w14:textFill>
                  <w14:solidFill>
                    <w14:schemeClr w14:val="tx1"/>
                  </w14:solidFill>
                </w14:textFill>
              </w:rPr>
              <w:t>响宗</w:t>
            </w:r>
            <w:r>
              <w:rPr>
                <w:rFonts w:hint="eastAsia" w:ascii="宋体" w:hAnsi="宋体" w:eastAsia="宋体"/>
                <w:color w:val="000000" w:themeColor="text1"/>
                <w:sz w:val="24"/>
                <w14:textFill>
                  <w14:solidFill>
                    <w14:schemeClr w14:val="tx1"/>
                  </w14:solidFill>
                </w14:textFill>
              </w:rPr>
              <w:t>村民委员会</w:t>
            </w:r>
            <w:r>
              <w:rPr>
                <w:rFonts w:hint="eastAsia" w:ascii="宋体" w:hAnsi="宋体" w:eastAsia="宋体"/>
                <w:color w:val="000000" w:themeColor="text1"/>
                <w:sz w:val="24"/>
                <w:lang w:val="en-US" w:eastAsia="zh-CN"/>
                <w14:textFill>
                  <w14:solidFill>
                    <w14:schemeClr w14:val="tx1"/>
                  </w14:solidFill>
                </w14:textFill>
              </w:rPr>
              <w:t>一</w:t>
            </w:r>
            <w:r>
              <w:rPr>
                <w:rFonts w:hint="eastAsia" w:ascii="宋体" w:hAnsi="宋体" w:eastAsia="宋体"/>
                <w:color w:val="000000" w:themeColor="text1"/>
                <w:sz w:val="24"/>
                <w14:textFill>
                  <w14:solidFill>
                    <w14:schemeClr w14:val="tx1"/>
                  </w14:solidFill>
                </w14:textFill>
              </w:rPr>
              <w:t>组</w:t>
            </w:r>
            <w:r>
              <w:rPr>
                <w:rFonts w:hint="eastAsia" w:asciiTheme="minorEastAsia" w:hAnsiTheme="minorEastAsia" w:eastAsiaTheme="minorEastAsia" w:cstheme="minorEastAsia"/>
                <w:color w:val="auto"/>
                <w:sz w:val="24"/>
                <w:szCs w:val="24"/>
              </w:rPr>
              <w:t>。</w:t>
            </w:r>
          </w:p>
          <w:p>
            <w:pPr>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本方案</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拟</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损毁</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土地面积</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8.4069h</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均复垦为旱地和乔木林地。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因此，</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最终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复垦责任范围面积为</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8.4069</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h</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vertAlign w:val="baseli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复垦为</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旱地和</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乔木林地，</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其中复垦为旱地区域面积</w:t>
            </w:r>
            <w:r>
              <w:rPr>
                <w:rFonts w:hint="eastAsia" w:ascii="宋体" w:hAnsi="宋体" w:eastAsia="宋体" w:cs="宋体"/>
                <w:snapToGrid w:val="0"/>
                <w:color w:val="000000" w:themeColor="text1"/>
                <w:kern w:val="0"/>
                <w:sz w:val="24"/>
                <w14:textFill>
                  <w14:solidFill>
                    <w14:schemeClr w14:val="tx1"/>
                  </w14:solidFill>
                </w14:textFill>
              </w:rPr>
              <w:t>5.</w:t>
            </w:r>
            <w:r>
              <w:rPr>
                <w:rFonts w:hint="eastAsia" w:ascii="宋体" w:hAnsi="宋体" w:eastAsia="宋体" w:cs="宋体"/>
                <w:snapToGrid w:val="0"/>
                <w:color w:val="000000" w:themeColor="text1"/>
                <w:kern w:val="0"/>
                <w:sz w:val="24"/>
                <w:lang w:val="en-US" w:eastAsia="zh-CN"/>
                <w14:textFill>
                  <w14:solidFill>
                    <w14:schemeClr w14:val="tx1"/>
                  </w14:solidFill>
                </w14:textFill>
              </w:rPr>
              <w:t>2647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，复垦为乔木林地区域面积</w:t>
            </w:r>
            <w:r>
              <w:rPr>
                <w:rFonts w:hint="eastAsia" w:ascii="宋体" w:hAnsi="宋体" w:eastAsia="宋体" w:cs="宋体"/>
                <w:snapToGrid w:val="0"/>
                <w:color w:val="000000" w:themeColor="text1"/>
                <w:kern w:val="0"/>
                <w:sz w:val="24"/>
                <w14:textFill>
                  <w14:solidFill>
                    <w14:schemeClr w14:val="tx1"/>
                  </w14:solidFill>
                </w14:textFill>
              </w:rPr>
              <w:t>3.1422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土地复垦率达到</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auto"/>
                <w:sz w:val="24"/>
                <w:szCs w:val="24"/>
              </w:rPr>
              <w:t>。</w:t>
            </w:r>
          </w:p>
          <w:p>
            <w:pPr>
              <w:spacing w:line="360" w:lineRule="auto"/>
              <w:ind w:firstLine="4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（三）原则同意本项目制定的复垦目标和任务，土地复垦适宜性评价过程和结果基本可信。矿山土地复垦方案</w:t>
            </w:r>
            <w:r>
              <w:rPr>
                <w:rFonts w:hint="eastAsia" w:asciiTheme="minorEastAsia" w:hAnsiTheme="minorEastAsia" w:eastAsiaTheme="minorEastAsia" w:cstheme="minorEastAsia"/>
                <w:color w:val="auto"/>
                <w:sz w:val="24"/>
                <w:szCs w:val="24"/>
                <w:lang w:val="en-US" w:eastAsia="zh-CN"/>
              </w:rPr>
              <w:t>编制</w:t>
            </w:r>
            <w:r>
              <w:rPr>
                <w:rFonts w:hint="eastAsia" w:asciiTheme="minorEastAsia" w:hAnsiTheme="minorEastAsia" w:eastAsiaTheme="minorEastAsia" w:cstheme="minorEastAsia"/>
                <w:color w:val="auto"/>
                <w:sz w:val="24"/>
                <w:szCs w:val="24"/>
              </w:rPr>
              <w:t>年限为</w:t>
            </w:r>
            <w:r>
              <w:rPr>
                <w:rFonts w:hint="eastAsia" w:asciiTheme="minorEastAsia" w:hAnsiTheme="minorEastAsia" w:eastAsiaTheme="minorEastAsia" w:cstheme="minorEastAsia"/>
                <w:color w:val="auto"/>
                <w:sz w:val="24"/>
                <w:szCs w:val="24"/>
                <w:lang w:val="en-US" w:eastAsia="zh-CN"/>
              </w:rPr>
              <w:t>13.8</w:t>
            </w:r>
            <w:r>
              <w:rPr>
                <w:rFonts w:hint="eastAsia" w:asciiTheme="minorEastAsia" w:hAnsiTheme="minorEastAsia" w:eastAsiaTheme="minorEastAsia" w:cstheme="minorEastAsia"/>
                <w:color w:val="auto"/>
                <w:sz w:val="24"/>
                <w:szCs w:val="24"/>
              </w:rPr>
              <w:t>年（2024年0</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月－20</w:t>
            </w:r>
            <w:r>
              <w:rPr>
                <w:rFonts w:hint="eastAsia" w:asciiTheme="minorEastAsia" w:hAnsiTheme="minorEastAsia" w:eastAsiaTheme="minorEastAsia" w:cstheme="minorEastAsia"/>
                <w:color w:val="auto"/>
                <w:sz w:val="24"/>
                <w:szCs w:val="24"/>
                <w:lang w:val="en-US" w:eastAsia="zh-CN"/>
              </w:rPr>
              <w:t>37</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月），方案的适用年限为</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年（2024年03月至20</w:t>
            </w:r>
            <w:r>
              <w:rPr>
                <w:rFonts w:hint="eastAsia" w:asciiTheme="minorEastAsia" w:hAnsiTheme="minorEastAsia" w:eastAsiaTheme="minorEastAsia" w:cstheme="minorEastAsia"/>
                <w:color w:val="auto"/>
                <w:sz w:val="24"/>
                <w:szCs w:val="24"/>
                <w:lang w:val="en-US" w:eastAsia="zh-CN"/>
              </w:rPr>
              <w:t>29</w:t>
            </w:r>
            <w:r>
              <w:rPr>
                <w:rFonts w:hint="eastAsia" w:asciiTheme="minorEastAsia" w:hAnsiTheme="minorEastAsia" w:eastAsiaTheme="minorEastAsia" w:cstheme="minorEastAsia"/>
                <w:color w:val="auto"/>
                <w:sz w:val="24"/>
                <w:szCs w:val="24"/>
              </w:rPr>
              <w:t>年0</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月）。规划复垦总面积</w:t>
            </w:r>
            <w:r>
              <w:rPr>
                <w:rFonts w:hint="eastAsia" w:asciiTheme="minorEastAsia" w:hAnsiTheme="minorEastAsia" w:eastAsiaTheme="minorEastAsia" w:cstheme="minorEastAsia"/>
                <w:bCs/>
                <w:color w:val="auto"/>
                <w:sz w:val="24"/>
                <w:szCs w:val="24"/>
                <w:lang w:val="en-US" w:eastAsia="zh-CN"/>
              </w:rPr>
              <w:t>8.4069</w:t>
            </w:r>
            <w:r>
              <w:rPr>
                <w:rFonts w:hint="eastAsia" w:asciiTheme="minorEastAsia" w:hAnsiTheme="minorEastAsia" w:eastAsiaTheme="minorEastAsia" w:cstheme="minorEastAsia"/>
                <w:color w:val="auto"/>
                <w:sz w:val="24"/>
                <w:szCs w:val="24"/>
              </w:rPr>
              <w:t>公顷（已复垦0公顷），复垦为旱地</w:t>
            </w:r>
            <w:r>
              <w:rPr>
                <w:rFonts w:hint="eastAsia" w:ascii="宋体" w:hAnsi="宋体" w:eastAsia="宋体" w:cs="宋体"/>
                <w:snapToGrid w:val="0"/>
                <w:color w:val="000000" w:themeColor="text1"/>
                <w:kern w:val="0"/>
                <w:sz w:val="24"/>
                <w14:textFill>
                  <w14:solidFill>
                    <w14:schemeClr w14:val="tx1"/>
                  </w14:solidFill>
                </w14:textFill>
              </w:rPr>
              <w:t>5.</w:t>
            </w:r>
            <w:r>
              <w:rPr>
                <w:rFonts w:hint="eastAsia" w:ascii="宋体" w:hAnsi="宋体" w:eastAsia="宋体" w:cs="宋体"/>
                <w:snapToGrid w:val="0"/>
                <w:color w:val="000000" w:themeColor="text1"/>
                <w:kern w:val="0"/>
                <w:sz w:val="24"/>
                <w:lang w:val="en-US" w:eastAsia="zh-CN"/>
                <w14:textFill>
                  <w14:solidFill>
                    <w14:schemeClr w14:val="tx1"/>
                  </w14:solidFill>
                </w14:textFill>
              </w:rPr>
              <w:t>2647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，复垦为乔木林地区域面积</w:t>
            </w:r>
            <w:r>
              <w:rPr>
                <w:rFonts w:hint="eastAsia" w:ascii="宋体" w:hAnsi="宋体" w:eastAsia="宋体" w:cs="宋体"/>
                <w:snapToGrid w:val="0"/>
                <w:color w:val="000000" w:themeColor="text1"/>
                <w:kern w:val="0"/>
                <w:sz w:val="24"/>
                <w14:textFill>
                  <w14:solidFill>
                    <w14:schemeClr w14:val="tx1"/>
                  </w14:solidFill>
                </w14:textFill>
              </w:rPr>
              <w:t>3.1422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w:t>
            </w:r>
            <w:r>
              <w:rPr>
                <w:rFonts w:hint="eastAsia" w:asciiTheme="minorEastAsia" w:hAnsiTheme="minorEastAsia" w:eastAsiaTheme="minorEastAsia" w:cstheme="minorEastAsia"/>
                <w:bCs/>
                <w:color w:val="auto"/>
                <w:sz w:val="24"/>
                <w:szCs w:val="24"/>
                <w:lang w:val="zh-CN"/>
              </w:rPr>
              <w:t>土地复垦率为</w:t>
            </w:r>
            <w:r>
              <w:rPr>
                <w:rFonts w:hint="eastAsia" w:asciiTheme="minorEastAsia" w:hAnsiTheme="minorEastAsia" w:eastAsiaTheme="minorEastAsia" w:cstheme="minorEastAsia"/>
                <w:bCs/>
                <w:color w:val="auto"/>
                <w:sz w:val="24"/>
                <w:szCs w:val="24"/>
                <w:lang w:val="en-US" w:eastAsia="zh-CN"/>
              </w:rPr>
              <w:t>100</w:t>
            </w:r>
            <w:r>
              <w:rPr>
                <w:rFonts w:hint="eastAsia" w:asciiTheme="minorEastAsia" w:hAnsiTheme="minorEastAsia" w:eastAsiaTheme="minorEastAsia" w:cstheme="minorEastAsia"/>
                <w:bCs/>
                <w:color w:val="auto"/>
                <w:sz w:val="24"/>
                <w:szCs w:val="24"/>
                <w:lang w:val="zh-CN"/>
              </w:rPr>
              <w:t>%。</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FF0000"/>
                <w:sz w:val="24"/>
                <w:szCs w:val="24"/>
              </w:rPr>
              <w:t xml:space="preserve">    </w:t>
            </w:r>
            <w:r>
              <w:rPr>
                <w:rFonts w:hint="eastAsia" w:asciiTheme="minorEastAsia" w:hAnsiTheme="minorEastAsia" w:eastAsiaTheme="minorEastAsia" w:cstheme="minorEastAsia"/>
                <w:color w:val="000000"/>
                <w:sz w:val="24"/>
                <w:szCs w:val="24"/>
              </w:rPr>
              <w:t>（四）原则同意《方案》中提出的预防控制措施和复垦措施。</w:t>
            </w:r>
          </w:p>
          <w:p>
            <w:pPr>
              <w:spacing w:line="360" w:lineRule="auto"/>
              <w:ind w:firstLine="600" w:firstLineChars="2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防控制措施：（1）各种生产建设活动应严格控制在矿权范围（征地范围线）内，做好土壤和植被的保护措施，施工过程中产生的固废要及时处理。（2）合理地布置工作面及开采顺序，最大程度降低因露天开采挖损对地表土地的损毁。（3）在露天采场设置排水措施、水土保持措施等，防止</w:t>
            </w:r>
            <w:r>
              <w:rPr>
                <w:rFonts w:hint="eastAsia" w:asciiTheme="minorEastAsia" w:hAnsiTheme="minorEastAsia" w:eastAsiaTheme="minorEastAsia" w:cstheme="minorEastAsia"/>
                <w:sz w:val="24"/>
                <w:szCs w:val="24"/>
              </w:rPr>
              <w:t>坡体失稳</w:t>
            </w:r>
            <w:r>
              <w:rPr>
                <w:rFonts w:hint="eastAsia" w:asciiTheme="minorEastAsia" w:hAnsiTheme="minorEastAsia" w:eastAsiaTheme="minorEastAsia" w:cstheme="minorEastAsia"/>
                <w:color w:val="000000"/>
                <w:sz w:val="24"/>
                <w:szCs w:val="24"/>
              </w:rPr>
              <w:t>、水土流失，预防处理措施得当。（4）对露天采区布设监测措施，监控点布设基本合理，方法得当。（5）在露天采场周边设置警示</w:t>
            </w:r>
            <w:r>
              <w:rPr>
                <w:rFonts w:hint="eastAsia" w:asciiTheme="minorEastAsia" w:hAnsiTheme="minorEastAsia" w:eastAsiaTheme="minorEastAsia" w:cstheme="minorEastAsia"/>
                <w:sz w:val="24"/>
                <w:szCs w:val="24"/>
              </w:rPr>
              <w:t>标志，防止附近村民、牲畜不慎跌落，造成人员及经济损失</w:t>
            </w:r>
            <w:r>
              <w:rPr>
                <w:rFonts w:hint="eastAsia" w:asciiTheme="minorEastAsia" w:hAnsiTheme="minorEastAsia" w:eastAsiaTheme="minorEastAsia" w:cstheme="minorEastAsia"/>
                <w:color w:val="000000"/>
                <w:sz w:val="24"/>
                <w:szCs w:val="24"/>
              </w:rPr>
              <w:t>，预防处理措施得当。</w:t>
            </w:r>
          </w:p>
          <w:p>
            <w:pPr>
              <w:spacing w:line="360" w:lineRule="auto"/>
              <w:ind w:firstLine="559" w:firstLineChars="233"/>
              <w:rPr>
                <w:rFonts w:hint="eastAsia" w:asciiTheme="minorEastAsia" w:hAnsiTheme="minorEastAsia" w:eastAsiaTheme="minorEastAsia" w:cstheme="minorEastAsia"/>
                <w:color w:val="000000"/>
                <w:sz w:val="24"/>
                <w:szCs w:val="24"/>
                <w:highlight w:val="yellow"/>
              </w:rPr>
            </w:pPr>
            <w:r>
              <w:rPr>
                <w:rFonts w:hint="eastAsia" w:asciiTheme="minorEastAsia" w:hAnsiTheme="minorEastAsia" w:eastAsiaTheme="minorEastAsia" w:cstheme="minorEastAsia"/>
                <w:color w:val="000000"/>
                <w:sz w:val="24"/>
                <w:szCs w:val="24"/>
              </w:rPr>
              <w:t>工程技术措施：</w:t>
            </w:r>
            <w:r>
              <w:rPr>
                <w:rFonts w:hint="eastAsia" w:ascii="宋体" w:hAnsi="宋体" w:cs="宋体"/>
                <w:color w:val="000000"/>
                <w:sz w:val="24"/>
              </w:rPr>
              <w:t>（1）</w:t>
            </w:r>
            <w:r>
              <w:rPr>
                <w:rFonts w:hint="eastAsia" w:ascii="宋体" w:hAnsi="宋体" w:cs="宋体"/>
                <w:color w:val="000000"/>
                <w:sz w:val="24"/>
                <w:lang w:val="en-US" w:eastAsia="zh-CN"/>
              </w:rPr>
              <w:t>办公生活区和工业广场</w:t>
            </w:r>
            <w:r>
              <w:rPr>
                <w:rFonts w:hint="eastAsia" w:ascii="宋体" w:hAnsi="宋体" w:cs="宋体"/>
                <w:color w:val="000000"/>
                <w:sz w:val="24"/>
              </w:rPr>
              <w:t>复垦工程措施：场地停止使用后，首先对不保留的建筑及生产设施进行拆除及场地清理，并进行覆土，促进耕作条件，对复垦为旱地区域采取生物化学措施进行土壤改良。（2）</w:t>
            </w:r>
            <w:r>
              <w:rPr>
                <w:rFonts w:hint="eastAsia" w:ascii="宋体" w:hAnsi="宋体" w:cs="宋体"/>
                <w:color w:val="000000"/>
                <w:sz w:val="24"/>
                <w:lang w:val="en-US" w:eastAsia="zh-CN"/>
              </w:rPr>
              <w:t>露天采场斜坡区域和修理区</w:t>
            </w:r>
            <w:r>
              <w:rPr>
                <w:rFonts w:hint="eastAsia" w:ascii="宋体" w:hAnsi="宋体" w:cs="宋体"/>
                <w:color w:val="000000"/>
                <w:sz w:val="24"/>
              </w:rPr>
              <w:t>复垦工程措施：采取乔灌草结合方式复垦为乔木林地，边坡区域在坡脚种植藤本植物</w:t>
            </w:r>
            <w:r>
              <w:rPr>
                <w:rFonts w:hint="eastAsia" w:ascii="宋体" w:hAnsi="宋体" w:cs="宋体"/>
                <w:snapToGrid w:val="0"/>
                <w:kern w:val="0"/>
                <w:sz w:val="24"/>
              </w:rPr>
              <w:t>以保持水土，增加绿化</w:t>
            </w:r>
            <w:r>
              <w:rPr>
                <w:rFonts w:hint="eastAsia" w:ascii="宋体" w:hAnsi="宋体" w:cs="宋体"/>
                <w:color w:val="000000"/>
                <w:sz w:val="24"/>
              </w:rPr>
              <w:t>。（3）</w:t>
            </w:r>
            <w:r>
              <w:rPr>
                <w:rFonts w:hint="eastAsia" w:ascii="宋体" w:hAnsi="宋体" w:cs="宋体"/>
                <w:color w:val="000000"/>
                <w:sz w:val="24"/>
                <w:lang w:val="en-US" w:eastAsia="zh-CN"/>
              </w:rPr>
              <w:t>露天采场底部平台和工业广场区域</w:t>
            </w:r>
            <w:r>
              <w:rPr>
                <w:rFonts w:hint="eastAsia" w:ascii="宋体" w:hAnsi="宋体" w:cs="宋体"/>
                <w:color w:val="000000"/>
                <w:sz w:val="24"/>
              </w:rPr>
              <w:t>复垦工程措施：对开采区域采取乔灌草结合方式复垦为乔木林地，边坡区域在坡脚种植藤本植物</w:t>
            </w:r>
            <w:r>
              <w:rPr>
                <w:rFonts w:hint="eastAsia" w:ascii="宋体" w:hAnsi="宋体" w:cs="宋体"/>
                <w:snapToGrid w:val="0"/>
                <w:kern w:val="0"/>
                <w:sz w:val="24"/>
              </w:rPr>
              <w:t>以保持水土，增加绿化</w:t>
            </w:r>
            <w:r>
              <w:rPr>
                <w:rFonts w:hint="eastAsia" w:ascii="宋体" w:hAnsi="宋体" w:cs="宋体"/>
                <w:color w:val="000000"/>
                <w:sz w:val="24"/>
              </w:rPr>
              <w:t>。（4）复垦监测措施：对整个复垦过程的复垦措施、复垦效果等动态监测</w:t>
            </w:r>
            <w:r>
              <w:rPr>
                <w:rFonts w:hint="eastAsia" w:asciiTheme="minorEastAsia" w:hAnsiTheme="minorEastAsia" w:eastAsiaTheme="minorEastAsia" w:cstheme="minorEastAsia"/>
                <w:color w:val="000000"/>
                <w:sz w:val="24"/>
                <w:szCs w:val="24"/>
              </w:rPr>
              <w:t>。</w:t>
            </w:r>
          </w:p>
          <w:p>
            <w:pPr>
              <w:spacing w:line="360" w:lineRule="auto"/>
              <w:ind w:firstLine="559" w:firstLineChars="2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物化学措施：（1）对于绿化新增的林、草地，优选当地优势树种，进行科学种植和精心管理。（2）对林地进行适时管理，包括浇水、施肥、除草、除虫等，同时淘汰劣质树种。（3）土壤改良，采用客土法、绿肥法等方法，对复垦后的土层进行改良，提高土体有机质含量。</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（五）原则同意《方案》中提出的土地复垦标准、工程设计及工程量测算。在具体实施过程中，要进一步加强并细化复垦工程设计，明确施工过程中的具体参数，增加方案的可操作性。</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sz w:val="24"/>
                <w:szCs w:val="24"/>
              </w:rPr>
              <w:t>（六）原则同意土地复垦投资估（概）算结果。确定复垦工程静态总投资为</w:t>
            </w:r>
            <w:r>
              <w:rPr>
                <w:rFonts w:hint="eastAsia" w:ascii="宋体" w:hAnsi="宋体" w:eastAsia="宋体" w:cs="宋体"/>
                <w:color w:val="000000" w:themeColor="text1"/>
                <w:sz w:val="24"/>
                <w:szCs w:val="24"/>
                <w:lang w:val="en-US" w:eastAsia="zh-CN"/>
                <w14:textFill>
                  <w14:solidFill>
                    <w14:schemeClr w14:val="tx1"/>
                  </w14:solidFill>
                </w14:textFill>
              </w:rPr>
              <w:t>81.39</w:t>
            </w:r>
            <w:r>
              <w:rPr>
                <w:rFonts w:hint="eastAsia" w:ascii="宋体" w:hAnsi="宋体" w:eastAsia="宋体" w:cs="宋体"/>
                <w:color w:val="000000" w:themeColor="text1"/>
                <w:sz w:val="24"/>
                <w:szCs w:val="24"/>
                <w:highlight w:val="none"/>
                <w:lang w:val="en-US" w:eastAsia="zh-CN"/>
                <w14:textFill>
                  <w14:solidFill>
                    <w14:schemeClr w14:val="tx1"/>
                  </w14:solidFill>
                </w14:textFill>
              </w:rPr>
              <w:t>万</w:t>
            </w:r>
            <w:r>
              <w:rPr>
                <w:rFonts w:hint="eastAsia" w:ascii="宋体" w:hAnsi="宋体" w:eastAsia="宋体" w:cs="宋体"/>
                <w:color w:val="000000" w:themeColor="text1"/>
                <w:sz w:val="24"/>
                <w:szCs w:val="24"/>
                <w:highlight w:val="none"/>
                <w14:textFill>
                  <w14:solidFill>
                    <w14:schemeClr w14:val="tx1"/>
                  </w14:solidFill>
                </w14:textFill>
              </w:rPr>
              <w:t>元，亩均静态投资</w:t>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454.40</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土地复垦工程动态总投资为</w:t>
            </w:r>
            <w:r>
              <w:rPr>
                <w:rFonts w:hint="eastAsia" w:ascii="宋体" w:hAnsi="宋体" w:eastAsia="宋体" w:cs="宋体"/>
                <w:color w:val="000000" w:themeColor="text1"/>
                <w:sz w:val="24"/>
                <w:szCs w:val="24"/>
                <w:lang w:val="en-US" w:eastAsia="zh-CN"/>
                <w14:textFill>
                  <w14:solidFill>
                    <w14:schemeClr w14:val="tx1"/>
                  </w14:solidFill>
                </w14:textFill>
              </w:rPr>
              <w:t>98.37</w:t>
            </w:r>
            <w:r>
              <w:rPr>
                <w:rFonts w:hint="eastAsia" w:ascii="宋体" w:hAnsi="宋体" w:eastAsia="宋体" w:cs="宋体"/>
                <w:color w:val="000000" w:themeColor="text1"/>
                <w:sz w:val="24"/>
                <w:szCs w:val="24"/>
                <w:highlight w:val="none"/>
                <w14:textFill>
                  <w14:solidFill>
                    <w14:schemeClr w14:val="tx1"/>
                  </w14:solidFill>
                </w14:textFill>
              </w:rPr>
              <w:t>万元，其中价差预备费</w:t>
            </w:r>
            <w:r>
              <w:rPr>
                <w:rFonts w:hint="eastAsia" w:ascii="宋体" w:hAnsi="宋体" w:eastAsia="宋体" w:cs="宋体"/>
                <w:color w:val="000000" w:themeColor="text1"/>
                <w:sz w:val="24"/>
                <w:szCs w:val="24"/>
                <w:lang w:val="en-US" w:eastAsia="zh-CN"/>
                <w14:textFill>
                  <w14:solidFill>
                    <w14:schemeClr w14:val="tx1"/>
                  </w14:solidFill>
                </w14:textFill>
              </w:rPr>
              <w:t>16.98</w:t>
            </w:r>
            <w:r>
              <w:rPr>
                <w:rFonts w:hint="eastAsia" w:ascii="宋体" w:hAnsi="宋体" w:eastAsia="宋体" w:cs="宋体"/>
                <w:color w:val="000000" w:themeColor="text1"/>
                <w:sz w:val="24"/>
                <w:szCs w:val="24"/>
                <w:highlight w:val="none"/>
                <w14:textFill>
                  <w14:solidFill>
                    <w14:schemeClr w14:val="tx1"/>
                  </w14:solidFill>
                </w14:textFill>
              </w:rPr>
              <w:t>万元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亩均</w:t>
            </w:r>
            <w:r>
              <w:rPr>
                <w:rFonts w:hint="eastAsia" w:ascii="宋体" w:hAnsi="宋体" w:eastAsia="宋体" w:cs="宋体"/>
                <w:color w:val="000000" w:themeColor="text1"/>
                <w:sz w:val="24"/>
                <w:szCs w:val="24"/>
                <w:highlight w:val="none"/>
                <w:lang w:eastAsia="zh-CN"/>
                <w14:textFill>
                  <w14:solidFill>
                    <w14:schemeClr w14:val="tx1"/>
                  </w14:solidFill>
                </w14:textFill>
              </w:rPr>
              <w:t>动态</w:t>
            </w:r>
            <w:r>
              <w:rPr>
                <w:rFonts w:hint="eastAsia" w:ascii="宋体" w:hAnsi="宋体" w:eastAsia="宋体" w:cs="宋体"/>
                <w:color w:val="000000" w:themeColor="text1"/>
                <w:sz w:val="24"/>
                <w:szCs w:val="24"/>
                <w:highlight w:val="none"/>
                <w14:textFill>
                  <w14:solidFill>
                    <w14:schemeClr w14:val="tx1"/>
                  </w14:solidFill>
                </w14:textFill>
              </w:rPr>
              <w:t>投资</w:t>
            </w:r>
            <w:r>
              <w:rPr>
                <w:rFonts w:hint="eastAsia" w:ascii="宋体" w:hAnsi="宋体" w:eastAsia="宋体" w:cs="宋体"/>
                <w:color w:val="000000" w:themeColor="text1"/>
                <w:sz w:val="24"/>
                <w:szCs w:val="24"/>
                <w:lang w:val="en-US" w:eastAsia="zh-CN"/>
                <w14:textFill>
                  <w14:solidFill>
                    <w14:schemeClr w14:val="tx1"/>
                  </w14:solidFill>
                </w14:textFill>
              </w:rPr>
              <w:t>7800.74</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cs="宋体"/>
                <w:color w:val="auto"/>
                <w:sz w:val="24"/>
                <w:szCs w:val="24"/>
              </w:rPr>
              <w:t>。</w:t>
            </w:r>
            <w:r>
              <w:rPr>
                <w:rFonts w:hint="eastAsia" w:ascii="宋体" w:hAnsi="宋体" w:cs="宋体"/>
                <w:color w:val="auto"/>
                <w:sz w:val="24"/>
                <w:szCs w:val="24"/>
                <w:lang w:val="zh-CN"/>
              </w:rPr>
              <w:t>项目复垦资金预存按复垦</w:t>
            </w:r>
            <w:r>
              <w:rPr>
                <w:rFonts w:hint="eastAsia" w:ascii="宋体" w:hAnsi="宋体" w:cs="宋体"/>
                <w:color w:val="auto"/>
                <w:sz w:val="24"/>
                <w:szCs w:val="24"/>
              </w:rPr>
              <w:t>方案服务年限进行预存，首期预存资金不低于静态总投资的20%，首期预存资金</w:t>
            </w:r>
            <w:r>
              <w:rPr>
                <w:rFonts w:hint="eastAsia" w:ascii="等线" w:hAnsi="等线" w:eastAsia="等线" w:cs="等线"/>
                <w:i w:val="0"/>
                <w:iCs w:val="0"/>
                <w:color w:val="000000" w:themeColor="text1"/>
                <w:kern w:val="0"/>
                <w:sz w:val="24"/>
                <w:szCs w:val="24"/>
                <w:u w:val="none"/>
                <w:lang w:val="en-US" w:eastAsia="zh-CN" w:bidi="ar"/>
                <w14:textFill>
                  <w14:solidFill>
                    <w14:schemeClr w14:val="tx1"/>
                  </w14:solidFill>
                </w14:textFill>
              </w:rPr>
              <w:t>16.28</w:t>
            </w:r>
            <w:r>
              <w:rPr>
                <w:rFonts w:hint="eastAsia" w:ascii="宋体" w:hAnsi="宋体" w:cs="宋体"/>
                <w:color w:val="auto"/>
                <w:sz w:val="24"/>
                <w:szCs w:val="24"/>
              </w:rPr>
              <w:t>万元</w:t>
            </w:r>
            <w:r>
              <w:rPr>
                <w:rFonts w:hint="eastAsia" w:asciiTheme="minorEastAsia" w:hAnsiTheme="minorEastAsia" w:eastAsiaTheme="minorEastAsia" w:cstheme="minorEastAsia"/>
                <w:color w:val="auto"/>
                <w:sz w:val="24"/>
                <w:szCs w:val="24"/>
                <w:lang w:val="zh-CN"/>
              </w:rPr>
              <w:t>。</w:t>
            </w:r>
            <w:r>
              <w:rPr>
                <w:rFonts w:hint="eastAsia" w:asciiTheme="minorEastAsia" w:hAnsiTheme="minorEastAsia" w:eastAsiaTheme="minorEastAsia" w:cstheme="minorEastAsia"/>
                <w:color w:val="000000"/>
                <w:sz w:val="24"/>
                <w:szCs w:val="24"/>
              </w:rPr>
              <w:t>业主单位要进一步明确土地复垦费用从建设或生产成本中提取，加大土地复垦前期提取额度，并根据复垦工作安排制定土地复垦计划，采取有效措施保障复垦费专款专用。费用不足的，要及时足额追加投资，确保土地复垦工作的顺利进行。</w:t>
            </w:r>
          </w:p>
          <w:p>
            <w:pPr>
              <w:numPr>
                <w:ilvl w:val="0"/>
                <w:numId w:val="1"/>
              </w:numPr>
              <w:spacing w:line="360" w:lineRule="auto"/>
              <w:ind w:firstLine="723"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专家组强调事项</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（一）评估区无崩塌、滑坡、泥石流、地面塌陷、地面沉降、地裂缝等现状地质灾害分布，但开采边坡问题突出，随着矿山开采可能出现崩塌或滑坡，危及矿山开采机械和人员安全，应加强监测、做好防范。</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（二）工程治理措施要有针对性，特别是对废石场的治理及弃渣的管控。</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请项目业主单位与项目所在地国土资源管理部门签订土地复垦资金监管协议，落实双方责任关系，明确土地复垦资金提取计划、开展土地复垦工作计划，并按要求定期向上级国土资源主管部门报告土地复垦资金提取使用和土地复垦实施情况，接受各级国土资源管理部门的监督和检查。</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如项目地点、矿区范围、生产规模、生产工艺、开采方式、开采矿种或工业及建筑场地、废石场等发生重大变化以及申请延续、转让采矿权时方案时效性已过期的，需按相关规定和要求重新组织编报或修编矿山地质环境保护与土地复垦方案，并及时报原审查单位审查并备案。</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综上所述，该方案的编制基本符合有关文件及技术规范、标准的要求，相关分析依据充分，结论基本准确，采取的防治措施基本可行，投资估（概）算测算结果基本准确，拟定的工作计划实施基本合理。专家组同意该《方案》通过技术评审，请编制单位根据专家意见认真修改和补充完善后，上报备案和提供使用。</w:t>
            </w:r>
          </w:p>
          <w:p>
            <w:pPr>
              <w:pStyle w:val="9"/>
              <w:spacing w:before="202" w:line="360" w:lineRule="auto"/>
              <w:ind w:left="73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2"/>
                <w:sz w:val="24"/>
                <w:szCs w:val="24"/>
                <w:highlight w:val="none"/>
              </w:rPr>
              <w:t>五、评审结果</w:t>
            </w:r>
          </w:p>
          <w:p>
            <w:pPr>
              <w:pStyle w:val="2"/>
              <w:ind w:left="0" w:leftChars="0" w:firstLine="44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highlight w:val="none"/>
              </w:rPr>
              <w:t>综上所述，《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宣威市宏成建材有限公司宣威市热水镇大云山采石场</w:t>
            </w:r>
            <w:r>
              <w:rPr>
                <w:rFonts w:hint="eastAsia" w:asciiTheme="minorEastAsia" w:hAnsiTheme="minorEastAsia" w:eastAsiaTheme="minorEastAsia" w:cstheme="minorEastAsia"/>
                <w:color w:val="000000" w:themeColor="text1"/>
                <w:sz w:val="24"/>
                <w:szCs w:val="24"/>
                <w14:textFill>
                  <w14:solidFill>
                    <w14:schemeClr w14:val="tx1"/>
                  </w14:solidFill>
                </w14:textFill>
              </w:rPr>
              <w:t>地质环境保护与土地复垦方案</w:t>
            </w:r>
            <w:r>
              <w:rPr>
                <w:rFonts w:hint="eastAsia" w:asciiTheme="minorEastAsia" w:hAnsiTheme="minorEastAsia" w:eastAsiaTheme="minorEastAsia" w:cstheme="minorEastAsia"/>
                <w:spacing w:val="-6"/>
                <w:sz w:val="24"/>
                <w:szCs w:val="24"/>
                <w:highlight w:val="none"/>
              </w:rPr>
              <w:t>》的编制基本符合有关文件及技术规范、标准的要求，相关分析依据充分，</w:t>
            </w:r>
            <w:r>
              <w:rPr>
                <w:rFonts w:hint="eastAsia" w:asciiTheme="minorEastAsia" w:hAnsiTheme="minorEastAsia" w:eastAsiaTheme="minorEastAsia" w:cstheme="minorEastAsia"/>
                <w:spacing w:val="-3"/>
                <w:sz w:val="24"/>
                <w:szCs w:val="24"/>
                <w:highlight w:val="none"/>
              </w:rPr>
              <w:t>结论基本准确，采取的预防措施、工程技术措施基本可行，投资估算结果基本准确，拟定的工作计划实施基本合理。专家组同意通过评审，编制</w:t>
            </w:r>
            <w:r>
              <w:rPr>
                <w:rFonts w:hint="eastAsia" w:asciiTheme="minorEastAsia" w:hAnsiTheme="minorEastAsia" w:eastAsiaTheme="minorEastAsia" w:cstheme="minorEastAsia"/>
                <w:spacing w:val="-4"/>
                <w:sz w:val="24"/>
                <w:szCs w:val="24"/>
                <w:highlight w:val="none"/>
              </w:rPr>
              <w:t>单位已按专家组</w:t>
            </w:r>
            <w:r>
              <w:rPr>
                <w:rFonts w:hint="eastAsia" w:asciiTheme="minorEastAsia" w:hAnsiTheme="minorEastAsia" w:eastAsiaTheme="minorEastAsia" w:cstheme="minorEastAsia"/>
                <w:spacing w:val="-3"/>
                <w:sz w:val="24"/>
                <w:szCs w:val="24"/>
                <w:highlight w:val="none"/>
              </w:rPr>
              <w:t>意见修改完善并报专家组长复核，可按规定程序上报备案</w:t>
            </w:r>
            <w:r>
              <w:rPr>
                <w:rFonts w:hint="eastAsia" w:asciiTheme="minorEastAsia" w:hAnsiTheme="minorEastAsia" w:eastAsiaTheme="minorEastAsia" w:cstheme="minorEastAsia"/>
                <w:spacing w:val="-4"/>
                <w:sz w:val="24"/>
                <w:szCs w:val="24"/>
                <w:highlight w:val="none"/>
              </w:rPr>
              <w:t>和提供使用。</w:t>
            </w:r>
          </w:p>
          <w:p>
            <w:pPr>
              <w:pStyle w:val="9"/>
              <w:spacing w:before="78" w:line="509" w:lineRule="exact"/>
              <w:ind w:right="56"/>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position w:val="20"/>
                <w:sz w:val="24"/>
                <w:szCs w:val="24"/>
                <w:highlight w:val="none"/>
                <w:lang w:val="en-US" w:eastAsia="zh-CN"/>
              </w:rPr>
              <w:t xml:space="preserve">                        </w:t>
            </w:r>
            <w:r>
              <w:rPr>
                <w:rFonts w:hint="eastAsia" w:asciiTheme="minorEastAsia" w:hAnsiTheme="minorEastAsia" w:eastAsiaTheme="minorEastAsia" w:cstheme="minorEastAsia"/>
                <w:spacing w:val="4"/>
                <w:position w:val="20"/>
                <w:sz w:val="24"/>
                <w:szCs w:val="24"/>
                <w:highlight w:val="none"/>
              </w:rPr>
              <w:t>专家组组长(签名):</w:t>
            </w:r>
          </w:p>
          <w:p>
            <w:pPr>
              <w:pStyle w:val="9"/>
              <w:spacing w:before="229" w:line="213" w:lineRule="auto"/>
              <w:ind w:left="720" w:firstLine="4674" w:firstLineChars="1900"/>
              <w:rPr>
                <w:rFonts w:hint="eastAsia" w:asciiTheme="minorEastAsia" w:hAnsiTheme="minorEastAsia" w:eastAsiaTheme="minorEastAsia" w:cstheme="minorEastAsia"/>
                <w:spacing w:val="-4"/>
                <w:sz w:val="24"/>
                <w:szCs w:val="24"/>
                <w:highlight w:val="yellow"/>
              </w:rPr>
            </w:pPr>
            <w:r>
              <w:rPr>
                <w:rFonts w:hint="eastAsia" w:asciiTheme="minorEastAsia" w:hAnsiTheme="minorEastAsia" w:eastAsiaTheme="minorEastAsia" w:cstheme="minorEastAsia"/>
                <w:spacing w:val="3"/>
                <w:sz w:val="24"/>
                <w:szCs w:val="24"/>
                <w:highlight w:val="none"/>
              </w:rPr>
              <w:t>年</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月</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日</w:t>
            </w:r>
          </w:p>
        </w:tc>
      </w:tr>
    </w:tbl>
    <w:p>
      <w:pPr>
        <w:rPr>
          <w:rFonts w:ascii="Arial" w:hAnsi="Arial" w:eastAsia="Arial" w:cs="Arial"/>
          <w:sz w:val="21"/>
          <w:szCs w:val="21"/>
          <w:highlight w:val="yellow"/>
        </w:rPr>
        <w:sectPr>
          <w:footerReference r:id="rId5" w:type="default"/>
          <w:pgSz w:w="11910" w:h="16850"/>
          <w:pgMar w:top="1410" w:right="1054" w:bottom="1248" w:left="1405" w:header="0" w:footer="1109" w:gutter="0"/>
          <w:pgNumType w:fmt="decimal"/>
          <w:cols w:space="720" w:num="1"/>
        </w:sectPr>
      </w:pPr>
    </w:p>
    <w:p>
      <w:pPr>
        <w:rPr>
          <w:rFonts w:ascii="Arial"/>
          <w:sz w:val="21"/>
          <w:highlight w:val="yellow"/>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204" w:line="219" w:lineRule="auto"/>
        <w:jc w:val="center"/>
        <w:rPr>
          <w:rFonts w:hint="eastAsia" w:ascii="宋体" w:hAnsi="宋体" w:eastAsia="宋体" w:cs="宋体"/>
          <w:b/>
          <w:bCs/>
          <w:spacing w:val="20"/>
          <w:sz w:val="36"/>
          <w:szCs w:val="36"/>
          <w:lang w:eastAsia="zh-CN"/>
        </w:rPr>
      </w:pPr>
      <w:r>
        <w:rPr>
          <w:rFonts w:hint="eastAsia" w:ascii="宋体" w:hAnsi="宋体" w:eastAsia="宋体" w:cs="宋体"/>
          <w:b/>
          <w:bCs/>
          <w:spacing w:val="20"/>
          <w:sz w:val="36"/>
          <w:szCs w:val="36"/>
          <w:lang w:eastAsia="zh-CN"/>
        </w:rPr>
        <w:t>宣威市宏成建材有限公司宣威市热水镇大云山采石场</w:t>
      </w:r>
    </w:p>
    <w:p>
      <w:pPr>
        <w:spacing w:before="204" w:line="219" w:lineRule="auto"/>
        <w:jc w:val="center"/>
        <w:rPr>
          <w:rFonts w:hint="eastAsia" w:ascii="宋体" w:hAnsi="宋体" w:eastAsia="宋体" w:cs="宋体"/>
          <w:sz w:val="36"/>
          <w:szCs w:val="36"/>
        </w:rPr>
      </w:pPr>
      <w:r>
        <w:rPr>
          <w:rFonts w:hint="eastAsia" w:ascii="宋体" w:hAnsi="宋体" w:eastAsia="宋体" w:cs="宋体"/>
          <w:b/>
          <w:bCs/>
          <w:spacing w:val="20"/>
          <w:sz w:val="36"/>
          <w:szCs w:val="36"/>
        </w:rPr>
        <w:t>矿山地质环境保护与土地复垦方案评审专家组名单</w:t>
      </w:r>
    </w:p>
    <w:tbl>
      <w:tblPr>
        <w:tblStyle w:val="8"/>
        <w:tblW w:w="127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1409"/>
        <w:gridCol w:w="7864"/>
        <w:gridCol w:w="2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4" w:type="dxa"/>
            <w:vAlign w:val="top"/>
          </w:tcPr>
          <w:p>
            <w:pPr>
              <w:pStyle w:val="9"/>
              <w:spacing w:before="165" w:line="221" w:lineRule="auto"/>
              <w:ind w:left="239"/>
              <w:rPr>
                <w:rFonts w:hint="eastAsia" w:ascii="宋体" w:hAnsi="宋体" w:eastAsia="宋体" w:cs="宋体"/>
                <w:sz w:val="36"/>
                <w:szCs w:val="36"/>
                <w:highlight w:val="none"/>
              </w:rPr>
            </w:pPr>
            <w:r>
              <w:rPr>
                <w:rFonts w:hint="eastAsia" w:ascii="宋体" w:hAnsi="宋体" w:eastAsia="宋体" w:cs="宋体"/>
                <w:b/>
                <w:bCs/>
                <w:spacing w:val="1"/>
                <w:sz w:val="36"/>
                <w:szCs w:val="36"/>
                <w:highlight w:val="none"/>
              </w:rPr>
              <w:t>序号</w:t>
            </w:r>
          </w:p>
        </w:tc>
        <w:tc>
          <w:tcPr>
            <w:tcW w:w="1409" w:type="dxa"/>
            <w:vAlign w:val="top"/>
          </w:tcPr>
          <w:p>
            <w:pPr>
              <w:pStyle w:val="9"/>
              <w:spacing w:before="163" w:line="219" w:lineRule="auto"/>
              <w:ind w:left="385"/>
              <w:rPr>
                <w:rFonts w:hint="eastAsia" w:ascii="宋体" w:hAnsi="宋体" w:eastAsia="宋体" w:cs="宋体"/>
                <w:sz w:val="36"/>
                <w:szCs w:val="36"/>
                <w:highlight w:val="none"/>
              </w:rPr>
            </w:pPr>
            <w:r>
              <w:rPr>
                <w:rFonts w:hint="eastAsia" w:ascii="宋体" w:hAnsi="宋体" w:eastAsia="宋体" w:cs="宋体"/>
                <w:b/>
                <w:bCs/>
                <w:spacing w:val="12"/>
                <w:sz w:val="36"/>
                <w:szCs w:val="36"/>
                <w:highlight w:val="none"/>
              </w:rPr>
              <w:t>姓名</w:t>
            </w:r>
          </w:p>
        </w:tc>
        <w:tc>
          <w:tcPr>
            <w:tcW w:w="7864" w:type="dxa"/>
            <w:vAlign w:val="top"/>
          </w:tcPr>
          <w:p>
            <w:pPr>
              <w:pStyle w:val="9"/>
              <w:spacing w:before="164" w:line="220" w:lineRule="auto"/>
              <w:ind w:left="3306"/>
              <w:rPr>
                <w:rFonts w:hint="eastAsia" w:ascii="宋体" w:hAnsi="宋体" w:eastAsia="宋体" w:cs="宋体"/>
                <w:sz w:val="36"/>
                <w:szCs w:val="36"/>
                <w:highlight w:val="none"/>
              </w:rPr>
            </w:pPr>
            <w:r>
              <w:rPr>
                <w:rFonts w:hint="eastAsia" w:ascii="宋体" w:hAnsi="宋体" w:eastAsia="宋体" w:cs="宋体"/>
                <w:b/>
                <w:bCs/>
                <w:spacing w:val="-7"/>
                <w:sz w:val="36"/>
                <w:szCs w:val="36"/>
                <w:highlight w:val="none"/>
              </w:rPr>
              <w:t>工作单位</w:t>
            </w:r>
          </w:p>
        </w:tc>
        <w:tc>
          <w:tcPr>
            <w:tcW w:w="2343" w:type="dxa"/>
            <w:vAlign w:val="top"/>
          </w:tcPr>
          <w:p>
            <w:pPr>
              <w:pStyle w:val="9"/>
              <w:spacing w:before="167" w:line="221" w:lineRule="auto"/>
              <w:ind w:left="862"/>
              <w:rPr>
                <w:rFonts w:hint="eastAsia" w:ascii="宋体" w:hAnsi="宋体" w:eastAsia="宋体" w:cs="宋体"/>
                <w:sz w:val="36"/>
                <w:szCs w:val="36"/>
                <w:highlight w:val="none"/>
              </w:rPr>
            </w:pPr>
            <w:r>
              <w:rPr>
                <w:rFonts w:hint="eastAsia" w:ascii="宋体" w:hAnsi="宋体" w:eastAsia="宋体" w:cs="宋体"/>
                <w:b/>
                <w:bCs/>
                <w:sz w:val="36"/>
                <w:szCs w:val="36"/>
                <w:highlight w:val="none"/>
              </w:rPr>
              <w:t>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14" w:type="dxa"/>
            <w:vAlign w:val="top"/>
          </w:tcPr>
          <w:p>
            <w:pPr>
              <w:pStyle w:val="9"/>
              <w:spacing w:before="243" w:line="184"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1</w:t>
            </w:r>
          </w:p>
        </w:tc>
        <w:tc>
          <w:tcPr>
            <w:tcW w:w="1409" w:type="dxa"/>
            <w:vAlign w:val="center"/>
          </w:tcPr>
          <w:p>
            <w:pPr>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刘忠发</w:t>
            </w:r>
          </w:p>
        </w:tc>
        <w:tc>
          <w:tcPr>
            <w:tcW w:w="7864" w:type="dxa"/>
            <w:vAlign w:val="center"/>
          </w:tcPr>
          <w:p>
            <w:pPr>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云南省地质工程勘察有限公司</w:t>
            </w:r>
          </w:p>
        </w:tc>
        <w:tc>
          <w:tcPr>
            <w:tcW w:w="2343" w:type="dxa"/>
            <w:vAlign w:val="center"/>
          </w:tcPr>
          <w:p>
            <w:pPr>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vAlign w:val="top"/>
          </w:tcPr>
          <w:p>
            <w:pPr>
              <w:pStyle w:val="9"/>
              <w:spacing w:before="245" w:line="183" w:lineRule="auto"/>
              <w:ind w:left="464"/>
              <w:rPr>
                <w:rFonts w:hint="eastAsia" w:ascii="宋体" w:hAnsi="宋体" w:eastAsia="宋体" w:cs="宋体"/>
                <w:snapToGrid w:val="0"/>
                <w:color w:val="000000"/>
                <w:kern w:val="0"/>
                <w:sz w:val="36"/>
                <w:szCs w:val="36"/>
                <w:highlight w:val="none"/>
                <w:lang w:val="en-US" w:eastAsia="en-US" w:bidi="ar-SA"/>
              </w:rPr>
            </w:pPr>
            <w:r>
              <w:rPr>
                <w:rFonts w:hint="eastAsia" w:ascii="宋体" w:hAnsi="宋体" w:eastAsia="宋体" w:cs="宋体"/>
                <w:snapToGrid w:val="0"/>
                <w:color w:val="000000"/>
                <w:kern w:val="0"/>
                <w:sz w:val="36"/>
                <w:szCs w:val="36"/>
                <w:highlight w:val="none"/>
                <w:lang w:val="en-US" w:eastAsia="en-US" w:bidi="ar-SA"/>
              </w:rPr>
              <w:t>2</w:t>
            </w:r>
          </w:p>
        </w:tc>
        <w:tc>
          <w:tcPr>
            <w:tcW w:w="1409" w:type="dxa"/>
            <w:vAlign w:val="center"/>
          </w:tcPr>
          <w:p>
            <w:pPr>
              <w:widowControl/>
              <w:jc w:val="center"/>
              <w:textAlignment w:val="center"/>
              <w:rPr>
                <w:rFonts w:hint="eastAsia" w:ascii="宋体" w:hAnsi="宋体" w:eastAsia="宋体" w:cs="宋体"/>
                <w:snapToGrid w:val="0"/>
                <w:color w:val="000000"/>
                <w:kern w:val="0"/>
                <w:sz w:val="36"/>
                <w:szCs w:val="36"/>
                <w:highlight w:val="none"/>
                <w:lang w:val="en-US" w:eastAsia="zh-CN" w:bidi="ar-SA"/>
              </w:rPr>
            </w:pPr>
            <w:r>
              <w:rPr>
                <w:rFonts w:hint="eastAsia" w:ascii="宋体" w:hAnsi="宋体" w:eastAsia="宋体" w:cs="宋体"/>
                <w:snapToGrid w:val="0"/>
                <w:color w:val="000000"/>
                <w:kern w:val="0"/>
                <w:sz w:val="36"/>
                <w:szCs w:val="36"/>
                <w:highlight w:val="none"/>
                <w:lang w:val="en-US" w:eastAsia="zh-CN" w:bidi="ar-SA"/>
              </w:rPr>
              <w:t>杨丽</w:t>
            </w:r>
          </w:p>
        </w:tc>
        <w:tc>
          <w:tcPr>
            <w:tcW w:w="7864" w:type="dxa"/>
            <w:vAlign w:val="center"/>
          </w:tcPr>
          <w:p>
            <w:pPr>
              <w:widowControl/>
              <w:jc w:val="center"/>
              <w:textAlignment w:val="center"/>
              <w:rPr>
                <w:rFonts w:hint="eastAsia" w:ascii="宋体" w:hAnsi="宋体" w:eastAsia="宋体" w:cs="宋体"/>
                <w:snapToGrid w:val="0"/>
                <w:color w:val="000000"/>
                <w:kern w:val="0"/>
                <w:sz w:val="36"/>
                <w:szCs w:val="36"/>
                <w:highlight w:val="none"/>
                <w:lang w:val="en-US" w:eastAsia="en-US" w:bidi="ar-SA"/>
              </w:rPr>
            </w:pPr>
            <w:r>
              <w:rPr>
                <w:rFonts w:hint="eastAsia" w:ascii="宋体" w:hAnsi="宋体" w:eastAsia="宋体" w:cs="宋体"/>
                <w:snapToGrid w:val="0"/>
                <w:color w:val="000000"/>
                <w:kern w:val="0"/>
                <w:sz w:val="36"/>
                <w:szCs w:val="36"/>
                <w:highlight w:val="none"/>
                <w:lang w:val="en-US" w:eastAsia="en-US" w:bidi="ar-SA"/>
              </w:rPr>
              <w:t>宣威市水务局</w:t>
            </w:r>
          </w:p>
        </w:tc>
        <w:tc>
          <w:tcPr>
            <w:tcW w:w="2343"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vAlign w:val="top"/>
          </w:tcPr>
          <w:p>
            <w:pPr>
              <w:pStyle w:val="9"/>
              <w:spacing w:before="247" w:line="183" w:lineRule="auto"/>
              <w:ind w:left="464"/>
              <w:rPr>
                <w:rFonts w:hint="eastAsia" w:ascii="宋体" w:hAnsi="宋体" w:eastAsia="宋体" w:cs="宋体"/>
                <w:snapToGrid w:val="0"/>
                <w:color w:val="000000"/>
                <w:kern w:val="0"/>
                <w:sz w:val="36"/>
                <w:szCs w:val="36"/>
                <w:highlight w:val="none"/>
                <w:lang w:val="en-US" w:eastAsia="en-US" w:bidi="ar-SA"/>
              </w:rPr>
            </w:pPr>
            <w:r>
              <w:rPr>
                <w:rFonts w:hint="eastAsia" w:ascii="宋体" w:hAnsi="宋体" w:eastAsia="宋体" w:cs="宋体"/>
                <w:snapToGrid w:val="0"/>
                <w:color w:val="000000"/>
                <w:kern w:val="0"/>
                <w:sz w:val="36"/>
                <w:szCs w:val="36"/>
                <w:highlight w:val="none"/>
                <w:lang w:val="en-US" w:eastAsia="en-US" w:bidi="ar-SA"/>
              </w:rPr>
              <w:t>3</w:t>
            </w:r>
          </w:p>
        </w:tc>
        <w:tc>
          <w:tcPr>
            <w:tcW w:w="1409" w:type="dxa"/>
            <w:vAlign w:val="center"/>
          </w:tcPr>
          <w:p>
            <w:pPr>
              <w:widowControl/>
              <w:jc w:val="center"/>
              <w:textAlignment w:val="center"/>
              <w:rPr>
                <w:rFonts w:hint="eastAsia" w:ascii="宋体" w:hAnsi="宋体" w:eastAsia="宋体" w:cs="宋体"/>
                <w:snapToGrid w:val="0"/>
                <w:color w:val="000000"/>
                <w:kern w:val="0"/>
                <w:sz w:val="36"/>
                <w:szCs w:val="36"/>
                <w:highlight w:val="none"/>
                <w:lang w:val="en-US" w:eastAsia="en-US" w:bidi="ar-SA"/>
              </w:rPr>
            </w:pPr>
            <w:r>
              <w:rPr>
                <w:rFonts w:hint="eastAsia" w:ascii="宋体" w:hAnsi="宋体" w:eastAsia="宋体" w:cs="宋体"/>
                <w:snapToGrid w:val="0"/>
                <w:color w:val="000000"/>
                <w:kern w:val="0"/>
                <w:sz w:val="36"/>
                <w:szCs w:val="36"/>
                <w:highlight w:val="none"/>
                <w:lang w:val="en-US" w:eastAsia="zh-CN" w:bidi="ar-SA"/>
              </w:rPr>
              <w:t>陆锦</w:t>
            </w:r>
          </w:p>
        </w:tc>
        <w:tc>
          <w:tcPr>
            <w:tcW w:w="7864" w:type="dxa"/>
            <w:vAlign w:val="center"/>
          </w:tcPr>
          <w:p>
            <w:pPr>
              <w:widowControl/>
              <w:jc w:val="center"/>
              <w:textAlignment w:val="center"/>
              <w:rPr>
                <w:rFonts w:hint="eastAsia" w:ascii="宋体" w:hAnsi="宋体" w:eastAsia="宋体" w:cs="宋体"/>
                <w:snapToGrid w:val="0"/>
                <w:color w:val="000000"/>
                <w:kern w:val="0"/>
                <w:sz w:val="36"/>
                <w:szCs w:val="36"/>
                <w:highlight w:val="none"/>
                <w:lang w:val="en-US" w:eastAsia="en-US" w:bidi="ar-SA"/>
              </w:rPr>
            </w:pPr>
            <w:r>
              <w:rPr>
                <w:rFonts w:hint="eastAsia" w:ascii="宋体" w:hAnsi="宋体" w:eastAsia="宋体" w:cs="宋体"/>
                <w:snapToGrid w:val="0"/>
                <w:color w:val="000000"/>
                <w:kern w:val="0"/>
                <w:sz w:val="36"/>
                <w:szCs w:val="36"/>
                <w:highlight w:val="none"/>
                <w:lang w:val="en-US" w:eastAsia="en-US" w:bidi="ar-SA"/>
              </w:rPr>
              <w:t>曲靖市生态环境局宣威分局</w:t>
            </w:r>
          </w:p>
        </w:tc>
        <w:tc>
          <w:tcPr>
            <w:tcW w:w="2343"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vAlign w:val="top"/>
          </w:tcPr>
          <w:p>
            <w:pPr>
              <w:pStyle w:val="9"/>
              <w:spacing w:before="249" w:line="183"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4</w:t>
            </w:r>
          </w:p>
        </w:tc>
        <w:tc>
          <w:tcPr>
            <w:tcW w:w="1409"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朱家诺</w:t>
            </w:r>
          </w:p>
        </w:tc>
        <w:tc>
          <w:tcPr>
            <w:tcW w:w="7864"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宣威市林业和草原局</w:t>
            </w:r>
          </w:p>
        </w:tc>
        <w:tc>
          <w:tcPr>
            <w:tcW w:w="2343"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4" w:type="dxa"/>
            <w:vAlign w:val="top"/>
          </w:tcPr>
          <w:p>
            <w:pPr>
              <w:pStyle w:val="9"/>
              <w:spacing w:before="253" w:line="182"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5</w:t>
            </w:r>
          </w:p>
        </w:tc>
        <w:tc>
          <w:tcPr>
            <w:tcW w:w="1409"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孙红</w:t>
            </w:r>
          </w:p>
        </w:tc>
        <w:tc>
          <w:tcPr>
            <w:tcW w:w="7864"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宣威市自然资源局</w:t>
            </w:r>
          </w:p>
        </w:tc>
        <w:tc>
          <w:tcPr>
            <w:tcW w:w="2343"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高级工程师</w:t>
            </w:r>
          </w:p>
        </w:tc>
      </w:tr>
    </w:tbl>
    <w:p>
      <w:pPr>
        <w:rPr>
          <w:rFonts w:ascii="Arial"/>
          <w:sz w:val="21"/>
        </w:rPr>
      </w:pPr>
    </w:p>
    <w:sectPr>
      <w:footerReference r:id="rId6" w:type="default"/>
      <w:pgSz w:w="16850" w:h="11910"/>
      <w:pgMar w:top="1012" w:right="1754" w:bottom="977" w:left="2355" w:header="0" w:footer="83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655"/>
      <w:rPr>
        <w:rFonts w:ascii="宋体" w:hAnsi="宋体" w:eastAsia="宋体" w:cs="宋体"/>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275"/>
      <w:rPr>
        <w:rFonts w:ascii="宋体" w:hAnsi="宋体" w:eastAsia="宋体" w:cs="宋体"/>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F41D3"/>
    <w:multiLevelType w:val="singleLevel"/>
    <w:tmpl w:val="D96F41D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ViYmNjNDhlMTU2NmY2ODZlODY2NGI2MjQxOTljN2UifQ=="/>
  </w:docVars>
  <w:rsids>
    <w:rsidRoot w:val="00000000"/>
    <w:rsid w:val="071A149F"/>
    <w:rsid w:val="0D5374B9"/>
    <w:rsid w:val="0E9953A0"/>
    <w:rsid w:val="18D1084F"/>
    <w:rsid w:val="1B0F622D"/>
    <w:rsid w:val="25EB3B3B"/>
    <w:rsid w:val="2CB2345D"/>
    <w:rsid w:val="2E852ACB"/>
    <w:rsid w:val="36877708"/>
    <w:rsid w:val="3B4E14F1"/>
    <w:rsid w:val="3F721126"/>
    <w:rsid w:val="47F70466"/>
    <w:rsid w:val="4FED7526"/>
    <w:rsid w:val="5BEF02CC"/>
    <w:rsid w:val="5E3E0745"/>
    <w:rsid w:val="5EA454C9"/>
    <w:rsid w:val="63B514A9"/>
    <w:rsid w:val="6D3A657B"/>
    <w:rsid w:val="6EB0103F"/>
    <w:rsid w:val="7251239D"/>
    <w:rsid w:val="7F5672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line="360" w:lineRule="auto"/>
      <w:ind w:left="420" w:leftChars="200" w:firstLine="420" w:firstLineChars="200"/>
    </w:pPr>
    <w:rPr>
      <w:sz w:val="28"/>
      <w:szCs w:val="22"/>
    </w:rPr>
  </w:style>
  <w:style w:type="paragraph" w:styleId="3">
    <w:name w:val="Body Text Inden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4329</Words>
  <Characters>4787</Characters>
  <TotalTime>2</TotalTime>
  <ScaleCrop>false</ScaleCrop>
  <LinksUpToDate>false</LinksUpToDate>
  <CharactersWithSpaces>4847</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2024-03-12T10:45:00Z</dcterms:created>
  <dc:creator>Kingsoft-PDF</dc:creator>
  <cp:lastModifiedBy>S.Liming</cp:lastModifiedBy>
  <dcterms:modified xsi:type="dcterms:W3CDTF">2024-05-11T03:14:33Z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2024-03-12T10:45:03Z</vt:filetime>
  </property>
  <property fmtid="{D5CDD505-2E9C-101B-9397-08002B2CF9AE}" pid="4" name="UsrData">
    <vt:lpwstr>65efc1ab71bc50001f4bbc3ewl</vt:lpwstr>
  </property>
  <property fmtid="{D5CDD505-2E9C-101B-9397-08002B2CF9AE}" pid="5" name="KSOProductBuildVer">
    <vt:lpwstr>2052-12.1.0.16729</vt:lpwstr>
  </property>
  <property fmtid="{D5CDD505-2E9C-101B-9397-08002B2CF9AE}" pid="6" name="ICV">
    <vt:lpwstr>9B710B5F96FA4ADBBFD5C9FBB0148374_13</vt:lpwstr>
  </property>
</Properties>
</file>