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9" w:line="224" w:lineRule="auto"/>
        <w:ind w:left="268"/>
        <w:rPr>
          <w:rFonts w:ascii="黑体" w:hAnsi="黑体" w:eastAsia="黑体" w:cs="黑体"/>
          <w:sz w:val="24"/>
          <w:szCs w:val="24"/>
        </w:rPr>
      </w:pPr>
      <w:r>
        <w:rPr>
          <w:rFonts w:ascii="黑体" w:hAnsi="黑体" w:eastAsia="黑体" w:cs="黑体"/>
          <w:b/>
          <w:bCs/>
          <w:spacing w:val="13"/>
          <w:sz w:val="24"/>
          <w:szCs w:val="24"/>
        </w:rPr>
        <w:t>附件2</w:t>
      </w:r>
    </w:p>
    <w:p>
      <w:pPr>
        <w:spacing w:line="275" w:lineRule="auto"/>
        <w:rPr>
          <w:rFonts w:ascii="Arial"/>
          <w:sz w:val="21"/>
        </w:rPr>
      </w:pPr>
    </w:p>
    <w:p>
      <w:pPr>
        <w:spacing w:line="30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宣威市恒聚鑫采石有限公司宣威市务德镇大桥顺进石厂</w:t>
      </w:r>
    </w:p>
    <w:p>
      <w:pPr>
        <w:spacing w:before="235" w:line="510" w:lineRule="exact"/>
        <w:ind w:left="2324"/>
        <w:rPr>
          <w:rFonts w:ascii="黑体" w:hAnsi="黑体" w:eastAsia="黑体" w:cs="黑体"/>
          <w:sz w:val="30"/>
          <w:szCs w:val="30"/>
        </w:rPr>
      </w:pPr>
      <w:r>
        <w:rPr>
          <w:rFonts w:ascii="黑体" w:hAnsi="黑体" w:eastAsia="黑体" w:cs="黑体"/>
          <w:spacing w:val="24"/>
          <w:position w:val="15"/>
          <w:sz w:val="30"/>
          <w:szCs w:val="30"/>
        </w:rPr>
        <w:t>矿山地质环境保护与土地复垦方案</w:t>
      </w:r>
    </w:p>
    <w:p>
      <w:pPr>
        <w:spacing w:before="1" w:line="220" w:lineRule="auto"/>
        <w:ind w:left="3624"/>
        <w:rPr>
          <w:rFonts w:ascii="黑体" w:hAnsi="黑体" w:eastAsia="黑体" w:cs="黑体"/>
          <w:sz w:val="30"/>
          <w:szCs w:val="30"/>
        </w:rPr>
      </w:pPr>
      <w:r>
        <w:rPr>
          <w:rFonts w:ascii="黑体" w:hAnsi="黑体" w:eastAsia="黑体" w:cs="黑体"/>
          <w:spacing w:val="18"/>
          <w:sz w:val="30"/>
          <w:szCs w:val="30"/>
        </w:rPr>
        <w:t>专家组评审意见</w:t>
      </w:r>
    </w:p>
    <w:p>
      <w:pPr>
        <w:spacing w:line="136" w:lineRule="exact"/>
      </w:pPr>
    </w:p>
    <w:tbl>
      <w:tblPr>
        <w:tblStyle w:val="8"/>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967"/>
        <w:gridCol w:w="2078"/>
        <w:gridCol w:w="4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851" w:type="dxa"/>
            <w:gridSpan w:val="2"/>
            <w:vAlign w:val="top"/>
          </w:tcPr>
          <w:p>
            <w:pPr>
              <w:pStyle w:val="9"/>
              <w:spacing w:before="115" w:line="219" w:lineRule="auto"/>
              <w:ind w:left="335"/>
              <w:rPr>
                <w:rFonts w:hint="eastAsia" w:ascii="宋体" w:hAnsi="宋体" w:eastAsia="宋体" w:cs="宋体"/>
                <w:sz w:val="24"/>
                <w:szCs w:val="24"/>
              </w:rPr>
            </w:pPr>
            <w:r>
              <w:rPr>
                <w:rFonts w:hint="eastAsia" w:ascii="宋体" w:hAnsi="宋体" w:eastAsia="宋体" w:cs="宋体"/>
                <w:spacing w:val="1"/>
                <w:sz w:val="24"/>
                <w:szCs w:val="24"/>
              </w:rPr>
              <w:t>生产(建设)项目名称</w:t>
            </w:r>
          </w:p>
        </w:tc>
        <w:tc>
          <w:tcPr>
            <w:tcW w:w="6588" w:type="dxa"/>
            <w:gridSpan w:val="2"/>
            <w:vAlign w:val="top"/>
          </w:tcPr>
          <w:p>
            <w:pPr>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宣威市恒聚鑫采石有限公司宣威市务德镇大桥顺进石厂</w:t>
            </w:r>
          </w:p>
          <w:p>
            <w:pPr>
              <w:pStyle w:val="9"/>
              <w:spacing w:before="115" w:line="219" w:lineRule="auto"/>
              <w:ind w:left="1363"/>
              <w:rPr>
                <w:rFonts w:hint="eastAsia" w:ascii="宋体" w:hAnsi="宋体" w:eastAsia="宋体" w:cs="宋体"/>
                <w:sz w:val="24"/>
                <w:szCs w:val="24"/>
              </w:rPr>
            </w:pPr>
            <w:r>
              <w:rPr>
                <w:rFonts w:hint="eastAsia" w:ascii="宋体" w:hAnsi="宋体" w:eastAsia="宋体" w:cs="宋体"/>
                <w:sz w:val="24"/>
                <w:szCs w:val="24"/>
              </w:rPr>
              <w:t>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Align w:val="top"/>
          </w:tcPr>
          <w:p>
            <w:pPr>
              <w:pStyle w:val="9"/>
              <w:spacing w:before="110" w:line="219" w:lineRule="auto"/>
              <w:ind w:left="335"/>
              <w:rPr>
                <w:rFonts w:hint="eastAsia" w:ascii="宋体" w:hAnsi="宋体" w:eastAsia="宋体" w:cs="宋体"/>
                <w:sz w:val="24"/>
                <w:szCs w:val="24"/>
              </w:rPr>
            </w:pPr>
            <w:r>
              <w:rPr>
                <w:rFonts w:hint="eastAsia" w:ascii="宋体" w:hAnsi="宋体" w:eastAsia="宋体" w:cs="宋体"/>
                <w:spacing w:val="1"/>
                <w:sz w:val="24"/>
                <w:szCs w:val="24"/>
              </w:rPr>
              <w:t>生产(建设)单位名称</w:t>
            </w:r>
          </w:p>
        </w:tc>
        <w:tc>
          <w:tcPr>
            <w:tcW w:w="6588" w:type="dxa"/>
            <w:gridSpan w:val="2"/>
            <w:vAlign w:val="top"/>
          </w:tcPr>
          <w:p>
            <w:pPr>
              <w:pStyle w:val="9"/>
              <w:spacing w:before="110" w:line="220" w:lineRule="auto"/>
              <w:ind w:firstLine="1680" w:firstLineChars="700"/>
              <w:rPr>
                <w:rFonts w:hint="eastAsia" w:ascii="宋体" w:hAnsi="宋体" w:eastAsia="宋体" w:cs="宋体"/>
                <w:sz w:val="24"/>
                <w:szCs w:val="24"/>
                <w:lang w:eastAsia="zh-CN"/>
              </w:rPr>
            </w:pPr>
            <w:r>
              <w:rPr>
                <w:rFonts w:hint="eastAsia" w:cs="宋体"/>
                <w:sz w:val="24"/>
                <w:szCs w:val="24"/>
                <w:lang w:eastAsia="zh-CN"/>
              </w:rPr>
              <w:t>宣威市恒聚鑫采石有限公司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Align w:val="top"/>
          </w:tcPr>
          <w:p>
            <w:pPr>
              <w:pStyle w:val="9"/>
              <w:spacing w:before="110" w:line="219" w:lineRule="auto"/>
              <w:ind w:left="454"/>
              <w:rPr>
                <w:rFonts w:hint="eastAsia" w:ascii="宋体" w:hAnsi="宋体" w:eastAsia="宋体" w:cs="宋体"/>
                <w:sz w:val="24"/>
                <w:szCs w:val="24"/>
              </w:rPr>
            </w:pPr>
            <w:r>
              <w:rPr>
                <w:rFonts w:hint="eastAsia" w:ascii="宋体" w:hAnsi="宋体" w:eastAsia="宋体" w:cs="宋体"/>
                <w:spacing w:val="1"/>
                <w:sz w:val="24"/>
                <w:szCs w:val="24"/>
              </w:rPr>
              <w:t>方案编制单位名称</w:t>
            </w:r>
          </w:p>
        </w:tc>
        <w:tc>
          <w:tcPr>
            <w:tcW w:w="6588" w:type="dxa"/>
            <w:gridSpan w:val="2"/>
            <w:vAlign w:val="top"/>
          </w:tcPr>
          <w:p>
            <w:pPr>
              <w:pStyle w:val="9"/>
              <w:spacing w:before="110" w:line="219"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曲靖岩土工程勘测有限责任公司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Merge w:val="restart"/>
            <w:tcBorders>
              <w:bottom w:val="nil"/>
            </w:tcBorders>
            <w:vAlign w:val="top"/>
          </w:tcPr>
          <w:p>
            <w:pPr>
              <w:spacing w:line="262" w:lineRule="auto"/>
              <w:rPr>
                <w:rFonts w:hint="eastAsia" w:ascii="宋体" w:hAnsi="宋体" w:eastAsia="宋体" w:cs="宋体"/>
                <w:sz w:val="24"/>
                <w:szCs w:val="24"/>
              </w:rPr>
            </w:pPr>
          </w:p>
          <w:p>
            <w:pPr>
              <w:pStyle w:val="9"/>
              <w:spacing w:before="78" w:line="220" w:lineRule="auto"/>
              <w:ind w:left="335"/>
              <w:rPr>
                <w:rFonts w:hint="eastAsia" w:ascii="宋体" w:hAnsi="宋体" w:eastAsia="宋体" w:cs="宋体"/>
                <w:sz w:val="24"/>
                <w:szCs w:val="24"/>
              </w:rPr>
            </w:pPr>
            <w:r>
              <w:rPr>
                <w:rFonts w:hint="eastAsia" w:ascii="宋体" w:hAnsi="宋体" w:eastAsia="宋体" w:cs="宋体"/>
                <w:spacing w:val="5"/>
                <w:sz w:val="24"/>
                <w:szCs w:val="24"/>
              </w:rPr>
              <w:t>项目用地面积(公顷)</w:t>
            </w:r>
          </w:p>
        </w:tc>
        <w:tc>
          <w:tcPr>
            <w:tcW w:w="2078" w:type="dxa"/>
            <w:vAlign w:val="top"/>
          </w:tcPr>
          <w:p>
            <w:pPr>
              <w:pStyle w:val="9"/>
              <w:spacing w:before="112" w:line="221" w:lineRule="auto"/>
              <w:ind w:left="194"/>
              <w:rPr>
                <w:rFonts w:hint="eastAsia" w:ascii="宋体" w:hAnsi="宋体" w:eastAsia="宋体" w:cs="宋体"/>
                <w:sz w:val="24"/>
                <w:szCs w:val="24"/>
              </w:rPr>
            </w:pPr>
            <w:r>
              <w:rPr>
                <w:rFonts w:hint="eastAsia" w:ascii="宋体" w:hAnsi="宋体" w:eastAsia="宋体" w:cs="宋体"/>
                <w:spacing w:val="1"/>
                <w:sz w:val="24"/>
                <w:szCs w:val="24"/>
              </w:rPr>
              <w:t>永久性建设用地</w:t>
            </w:r>
          </w:p>
        </w:tc>
        <w:tc>
          <w:tcPr>
            <w:tcW w:w="4510" w:type="dxa"/>
            <w:vAlign w:val="top"/>
          </w:tcPr>
          <w:p>
            <w:pPr>
              <w:pStyle w:val="9"/>
              <w:spacing w:before="111" w:line="220" w:lineRule="auto"/>
              <w:ind w:left="1945"/>
              <w:rPr>
                <w:rFonts w:hint="eastAsia" w:ascii="宋体" w:hAnsi="宋体" w:eastAsia="宋体" w:cs="宋体"/>
                <w:sz w:val="24"/>
                <w:szCs w:val="24"/>
              </w:rPr>
            </w:pPr>
            <w:r>
              <w:rPr>
                <w:rFonts w:hint="eastAsia" w:ascii="宋体" w:hAnsi="宋体" w:eastAsia="宋体" w:cs="宋体"/>
                <w:spacing w:val="4"/>
                <w:sz w:val="24"/>
                <w:szCs w:val="24"/>
              </w:rPr>
              <w:t>0公顷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Merge w:val="continue"/>
            <w:tcBorders>
              <w:top w:val="nil"/>
            </w:tcBorders>
            <w:vAlign w:val="top"/>
          </w:tcPr>
          <w:p>
            <w:pPr>
              <w:rPr>
                <w:rFonts w:hint="eastAsia" w:ascii="宋体" w:hAnsi="宋体" w:eastAsia="宋体" w:cs="宋体"/>
                <w:sz w:val="24"/>
                <w:szCs w:val="24"/>
              </w:rPr>
            </w:pPr>
          </w:p>
        </w:tc>
        <w:tc>
          <w:tcPr>
            <w:tcW w:w="2078" w:type="dxa"/>
            <w:vAlign w:val="top"/>
          </w:tcPr>
          <w:p>
            <w:pPr>
              <w:pStyle w:val="9"/>
              <w:spacing w:before="111" w:line="220" w:lineRule="auto"/>
              <w:ind w:left="313"/>
              <w:rPr>
                <w:rFonts w:hint="eastAsia" w:ascii="宋体" w:hAnsi="宋体" w:eastAsia="宋体" w:cs="宋体"/>
                <w:sz w:val="24"/>
                <w:szCs w:val="24"/>
              </w:rPr>
            </w:pPr>
            <w:r>
              <w:rPr>
                <w:rFonts w:hint="eastAsia" w:ascii="宋体" w:hAnsi="宋体" w:eastAsia="宋体" w:cs="宋体"/>
                <w:spacing w:val="2"/>
                <w:sz w:val="24"/>
                <w:szCs w:val="24"/>
              </w:rPr>
              <w:t>损毁土地面积</w:t>
            </w:r>
          </w:p>
        </w:tc>
        <w:tc>
          <w:tcPr>
            <w:tcW w:w="4510" w:type="dxa"/>
            <w:vAlign w:val="top"/>
          </w:tcPr>
          <w:p>
            <w:pPr>
              <w:pStyle w:val="9"/>
              <w:spacing w:before="111" w:line="220" w:lineRule="auto"/>
              <w:ind w:left="1586"/>
              <w:rPr>
                <w:rFonts w:hint="eastAsia" w:ascii="宋体" w:hAnsi="宋体" w:eastAsia="宋体" w:cs="宋体"/>
                <w:sz w:val="24"/>
                <w:szCs w:val="24"/>
              </w:rPr>
            </w:pPr>
            <w:r>
              <w:rPr>
                <w:rFonts w:hint="eastAsia" w:ascii="宋体" w:hAnsi="宋体" w:eastAsia="宋体" w:cs="宋体"/>
                <w:spacing w:val="1"/>
                <w:sz w:val="24"/>
                <w:szCs w:val="24"/>
                <w:lang w:val="en-US" w:eastAsia="zh-CN"/>
              </w:rPr>
              <w:t>10.1300</w:t>
            </w:r>
            <w:r>
              <w:rPr>
                <w:rFonts w:hint="eastAsia" w:ascii="宋体" w:hAnsi="宋体" w:eastAsia="宋体" w:cs="宋体"/>
                <w:spacing w:val="1"/>
                <w:sz w:val="24"/>
                <w:szCs w:val="24"/>
              </w:rPr>
              <w:t>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51" w:type="dxa"/>
            <w:gridSpan w:val="2"/>
            <w:vAlign w:val="top"/>
          </w:tcPr>
          <w:p>
            <w:pPr>
              <w:pStyle w:val="9"/>
              <w:spacing w:before="112" w:line="219" w:lineRule="auto"/>
              <w:ind w:left="214"/>
              <w:rPr>
                <w:rFonts w:hint="eastAsia" w:ascii="宋体" w:hAnsi="宋体" w:eastAsia="宋体" w:cs="宋体"/>
                <w:sz w:val="24"/>
                <w:szCs w:val="24"/>
              </w:rPr>
            </w:pPr>
            <w:r>
              <w:rPr>
                <w:rFonts w:hint="eastAsia" w:ascii="宋体" w:hAnsi="宋体" w:eastAsia="宋体" w:cs="宋体"/>
                <w:spacing w:val="4"/>
                <w:sz w:val="24"/>
                <w:szCs w:val="24"/>
              </w:rPr>
              <w:t>生产规模(或投资规模)</w:t>
            </w:r>
          </w:p>
        </w:tc>
        <w:tc>
          <w:tcPr>
            <w:tcW w:w="6588" w:type="dxa"/>
            <w:gridSpan w:val="2"/>
            <w:vAlign w:val="top"/>
          </w:tcPr>
          <w:p>
            <w:pPr>
              <w:pStyle w:val="9"/>
              <w:spacing w:before="112" w:line="219" w:lineRule="auto"/>
              <w:ind w:left="2743"/>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70</w:t>
            </w:r>
            <w:r>
              <w:rPr>
                <w:rFonts w:hint="eastAsia" w:ascii="宋体" w:hAnsi="宋体" w:eastAsia="宋体" w:cs="宋体"/>
                <w:spacing w:val="1"/>
                <w:sz w:val="24"/>
                <w:szCs w:val="24"/>
              </w:rPr>
              <w:t>万</w:t>
            </w:r>
            <w:r>
              <w:rPr>
                <w:rFonts w:hint="eastAsia" w:ascii="宋体" w:hAnsi="宋体" w:eastAsia="宋体" w:cs="宋体"/>
                <w:spacing w:val="1"/>
                <w:sz w:val="24"/>
                <w:szCs w:val="24"/>
                <w:lang w:val="en-US" w:eastAsia="zh-CN"/>
              </w:rPr>
              <w:t>t</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851" w:type="dxa"/>
            <w:gridSpan w:val="2"/>
            <w:vAlign w:val="top"/>
          </w:tcPr>
          <w:p>
            <w:pPr>
              <w:pStyle w:val="9"/>
              <w:spacing w:before="102" w:line="219" w:lineRule="auto"/>
              <w:ind w:left="214"/>
              <w:rPr>
                <w:rFonts w:hint="eastAsia" w:ascii="宋体" w:hAnsi="宋体" w:eastAsia="宋体" w:cs="宋体"/>
                <w:sz w:val="24"/>
                <w:szCs w:val="24"/>
              </w:rPr>
            </w:pPr>
            <w:r>
              <w:rPr>
                <w:rFonts w:hint="eastAsia" w:ascii="宋体" w:hAnsi="宋体" w:eastAsia="宋体" w:cs="宋体"/>
                <w:spacing w:val="4"/>
                <w:sz w:val="24"/>
                <w:szCs w:val="24"/>
              </w:rPr>
              <w:t>服务年限(或建设期限)</w:t>
            </w:r>
          </w:p>
        </w:tc>
        <w:tc>
          <w:tcPr>
            <w:tcW w:w="6588" w:type="dxa"/>
            <w:gridSpan w:val="2"/>
            <w:vAlign w:val="top"/>
          </w:tcPr>
          <w:p>
            <w:pPr>
              <w:pStyle w:val="9"/>
              <w:spacing w:before="102" w:line="219" w:lineRule="auto"/>
              <w:ind w:left="1514"/>
              <w:rPr>
                <w:rFonts w:hint="eastAsia" w:ascii="宋体" w:hAnsi="宋体" w:eastAsia="宋体" w:cs="宋体"/>
                <w:sz w:val="24"/>
                <w:szCs w:val="24"/>
              </w:rPr>
            </w:pPr>
            <w:r>
              <w:rPr>
                <w:rFonts w:hint="eastAsia" w:cs="宋体"/>
                <w:color w:val="auto"/>
                <w:sz w:val="24"/>
                <w:szCs w:val="24"/>
                <w:highlight w:val="none"/>
                <w:lang w:val="en-US" w:eastAsia="zh-CN"/>
              </w:rPr>
              <w:t>7.6</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（2024年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月至20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8" w:hRule="atLeast"/>
        </w:trPr>
        <w:tc>
          <w:tcPr>
            <w:tcW w:w="884" w:type="dxa"/>
            <w:textDirection w:val="tbRlV"/>
            <w:vAlign w:val="top"/>
          </w:tcPr>
          <w:p>
            <w:pPr>
              <w:pStyle w:val="9"/>
              <w:spacing w:before="298" w:line="217" w:lineRule="auto"/>
              <w:ind w:left="2581"/>
              <w:rPr>
                <w:rFonts w:hint="eastAsia" w:ascii="宋体" w:hAnsi="宋体" w:eastAsia="宋体" w:cs="宋体"/>
                <w:sz w:val="24"/>
                <w:szCs w:val="24"/>
                <w:highlight w:val="yellow"/>
              </w:rPr>
            </w:pPr>
            <w:r>
              <w:rPr>
                <w:rFonts w:hint="eastAsia" w:ascii="宋体" w:hAnsi="宋体" w:eastAsia="宋体" w:cs="宋体"/>
                <w:sz w:val="24"/>
                <w:szCs w:val="24"/>
                <w:highlight w:val="none"/>
              </w:rPr>
              <w:t>专</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家</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评</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审</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结</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论</w:t>
            </w:r>
          </w:p>
        </w:tc>
        <w:tc>
          <w:tcPr>
            <w:tcW w:w="8555" w:type="dxa"/>
            <w:gridSpan w:val="3"/>
            <w:vAlign w:val="top"/>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2024年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日，受宣威市自然资源局委托，云南省有色地质局三一七队组织专家对曲靖岩土工程勘测有限责任公司编制的《</w:t>
            </w:r>
            <w:r>
              <w:rPr>
                <w:rFonts w:hint="eastAsia" w:ascii="宋体" w:hAnsi="宋体" w:eastAsia="宋体" w:cs="宋体"/>
                <w:sz w:val="24"/>
                <w:szCs w:val="24"/>
                <w:lang w:eastAsia="zh-CN"/>
              </w:rPr>
              <w:t>宣威市恒聚鑫采石有限公司宣威市务德镇大桥顺进石厂</w:t>
            </w:r>
            <w:r>
              <w:rPr>
                <w:rFonts w:hint="eastAsia" w:ascii="宋体" w:hAnsi="宋体" w:eastAsia="宋体" w:cs="宋体"/>
                <w:sz w:val="24"/>
                <w:szCs w:val="24"/>
              </w:rPr>
              <w:t>矿山地质环境保护与土地复垦方案》（以下简称《方案》）进行了评审。专家在会前认真审阅了“方案”及相关资料。与会专家听取编制单位的介绍，经会上提问、答疑、讨论的基础上，专家组对《方案》中存在的问题提出修改建议和意见，编制单位根据专家提出修改建议和意见进行了认真的修改，经专家复核，认为基本达到技术规范要求，专家组合议后，形成如下专家组评审意见：</w:t>
            </w:r>
          </w:p>
          <w:p>
            <w:pPr>
              <w:spacing w:line="360" w:lineRule="auto"/>
              <w:ind w:left="420" w:leftChars="200" w:firstLine="241" w:firstLineChars="1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一、项目基本情况</w:t>
            </w:r>
          </w:p>
          <w:p>
            <w:pPr>
              <w:spacing w:line="360" w:lineRule="auto"/>
              <w:ind w:firstLine="482"/>
              <w:rPr>
                <w:rFonts w:hint="eastAsia" w:ascii="宋体" w:hAnsi="宋体" w:eastAsia="宋体" w:cs="宋体"/>
                <w:sz w:val="24"/>
                <w:szCs w:val="24"/>
              </w:rPr>
            </w:pPr>
            <w:r>
              <w:rPr>
                <w:rFonts w:hint="eastAsia" w:ascii="宋体" w:hAnsi="宋体" w:eastAsia="宋体" w:cs="宋体"/>
                <w:sz w:val="24"/>
                <w:lang w:eastAsia="zh-CN"/>
              </w:rPr>
              <w:t>宣威市务德镇大桥顺进石厂</w:t>
            </w:r>
            <w:r>
              <w:rPr>
                <w:rFonts w:hint="eastAsia" w:ascii="宋体" w:hAnsi="宋体" w:eastAsia="宋体" w:cs="宋体"/>
                <w:sz w:val="24"/>
              </w:rPr>
              <w:t>位于宣威市城区</w:t>
            </w:r>
            <w:r>
              <w:rPr>
                <w:rFonts w:ascii="宋体" w:hAnsi="宋体" w:eastAsia="宋体" w:cs="宋体"/>
                <w:sz w:val="24"/>
              </w:rPr>
              <w:t>302</w:t>
            </w:r>
            <w:r>
              <w:rPr>
                <w:rFonts w:hint="eastAsia" w:ascii="宋体" w:hAnsi="宋体" w:eastAsia="宋体" w:cs="宋体"/>
                <w:sz w:val="24"/>
              </w:rPr>
              <w:t>°方向，平距约</w:t>
            </w:r>
            <w:r>
              <w:rPr>
                <w:rFonts w:ascii="宋体" w:hAnsi="宋体" w:eastAsia="宋体" w:cs="宋体"/>
                <w:sz w:val="24"/>
              </w:rPr>
              <w:t>32</w:t>
            </w:r>
            <w:r>
              <w:rPr>
                <w:rFonts w:hint="eastAsia" w:ascii="宋体" w:hAnsi="宋体" w:eastAsia="宋体" w:cs="宋体"/>
                <w:sz w:val="24"/>
              </w:rPr>
              <w:t>km，行政区划属宣威市务德镇管辖。</w:t>
            </w:r>
            <w:r>
              <w:rPr>
                <w:rFonts w:hint="eastAsia" w:ascii="宋体" w:hAnsi="宋体" w:eastAsia="宋体" w:cs="宋体"/>
                <w:sz w:val="24"/>
                <w:lang w:val="en-US" w:eastAsia="zh-CN"/>
              </w:rPr>
              <w:t>矿</w:t>
            </w:r>
            <w:r>
              <w:rPr>
                <w:rFonts w:hint="eastAsia" w:ascii="宋体" w:hAnsi="宋体" w:eastAsia="宋体" w:cs="宋体"/>
                <w:sz w:val="24"/>
              </w:rPr>
              <w:t>区地理坐标（2000国家大地坐标系极值)：</w:t>
            </w:r>
            <w:r>
              <w:rPr>
                <w:rFonts w:hint="eastAsia" w:ascii="宋体" w:hAnsi="宋体" w:cs="宋体"/>
                <w:sz w:val="24"/>
              </w:rPr>
              <w:t>东经103°49′06.82</w:t>
            </w:r>
            <w:r>
              <w:rPr>
                <w:rFonts w:ascii="宋体" w:hAnsi="宋体" w:cs="宋体"/>
                <w:sz w:val="24"/>
              </w:rPr>
              <w:t>4</w:t>
            </w:r>
            <w:r>
              <w:rPr>
                <w:rFonts w:hint="eastAsia" w:ascii="宋体" w:hAnsi="宋体" w:cs="宋体"/>
                <w:sz w:val="24"/>
              </w:rPr>
              <w:t>"</w:t>
            </w:r>
            <w:r>
              <w:rPr>
                <w:rFonts w:ascii="宋体" w:hAnsi="宋体" w:cs="宋体"/>
                <w:sz w:val="24"/>
              </w:rPr>
              <w:t>～</w:t>
            </w:r>
            <w:r>
              <w:rPr>
                <w:rFonts w:hint="eastAsia" w:ascii="宋体" w:hAnsi="宋体" w:cs="宋体"/>
                <w:sz w:val="24"/>
              </w:rPr>
              <w:t>103°49′24.12</w:t>
            </w:r>
            <w:r>
              <w:rPr>
                <w:rFonts w:ascii="宋体" w:hAnsi="宋体" w:cs="宋体"/>
                <w:sz w:val="24"/>
              </w:rPr>
              <w:t>3</w:t>
            </w:r>
            <w:r>
              <w:rPr>
                <w:rFonts w:hint="eastAsia" w:ascii="宋体" w:hAnsi="宋体" w:cs="宋体"/>
                <w:sz w:val="24"/>
              </w:rPr>
              <w:t>"，北纬26°25′48.328</w:t>
            </w:r>
            <w:r>
              <w:rPr>
                <w:rFonts w:hint="eastAsia" w:ascii="宋体" w:hAnsi="宋体" w:eastAsia="宋体" w:cs="宋体"/>
                <w:i w:val="0"/>
                <w:iCs w:val="0"/>
                <w:caps w:val="0"/>
                <w:color w:val="000000"/>
                <w:spacing w:val="0"/>
                <w:sz w:val="24"/>
                <w:szCs w:val="24"/>
              </w:rPr>
              <w:t>"</w:t>
            </w:r>
            <w:r>
              <w:rPr>
                <w:rFonts w:ascii="宋体" w:hAnsi="宋体" w:cs="宋体"/>
                <w:sz w:val="24"/>
              </w:rPr>
              <w:t>～</w:t>
            </w:r>
            <w:r>
              <w:rPr>
                <w:rFonts w:hint="eastAsia" w:ascii="宋体" w:hAnsi="宋体" w:cs="宋体"/>
                <w:sz w:val="24"/>
              </w:rPr>
              <w:t>26°25′59.58</w:t>
            </w:r>
            <w:r>
              <w:rPr>
                <w:rFonts w:ascii="宋体" w:hAnsi="宋体" w:cs="宋体"/>
                <w:sz w:val="24"/>
              </w:rPr>
              <w:t>6</w:t>
            </w:r>
            <w:r>
              <w:rPr>
                <w:rFonts w:hint="eastAsia" w:ascii="宋体" w:hAnsi="宋体" w:cs="宋体"/>
                <w:sz w:val="24"/>
              </w:rPr>
              <w:t>"之间</w:t>
            </w:r>
            <w:r>
              <w:rPr>
                <w:rFonts w:hint="eastAsia" w:ascii="宋体" w:hAnsi="宋体" w:eastAsia="宋体" w:cs="宋体"/>
                <w:sz w:val="24"/>
                <w:szCs w:val="24"/>
              </w:rPr>
              <w:t>。</w:t>
            </w:r>
            <w:r>
              <w:rPr>
                <w:rFonts w:hint="eastAsia" w:ascii="宋体" w:hAnsi="宋体" w:eastAsia="宋体" w:cs="宋体"/>
                <w:sz w:val="24"/>
                <w:szCs w:val="24"/>
                <w:highlight w:val="none"/>
                <w:lang w:eastAsia="zh-CN"/>
              </w:rPr>
              <w:t>宣威市务德镇大桥顺进石厂</w:t>
            </w:r>
            <w:r>
              <w:rPr>
                <w:rFonts w:hint="eastAsia" w:ascii="宋体" w:hAnsi="宋体" w:eastAsia="宋体" w:cs="宋体"/>
                <w:sz w:val="24"/>
                <w:szCs w:val="24"/>
                <w:highlight w:val="none"/>
              </w:rPr>
              <w:t>矿区面积0.</w:t>
            </w:r>
            <w:r>
              <w:rPr>
                <w:rFonts w:hint="eastAsia" w:ascii="宋体" w:hAnsi="宋体" w:eastAsia="宋体" w:cs="宋体"/>
                <w:sz w:val="24"/>
                <w:szCs w:val="24"/>
                <w:highlight w:val="none"/>
                <w:lang w:val="en-US" w:eastAsia="zh-CN"/>
              </w:rPr>
              <w:t>0765</w:t>
            </w:r>
            <w:r>
              <w:rPr>
                <w:rFonts w:hint="eastAsia" w:ascii="宋体" w:hAnsi="宋体" w:eastAsia="宋体" w:cs="宋体"/>
                <w:sz w:val="24"/>
                <w:szCs w:val="24"/>
                <w:highlight w:val="none"/>
              </w:rPr>
              <w:t>km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，由1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个拐</w:t>
            </w:r>
            <w:r>
              <w:rPr>
                <w:rFonts w:hint="eastAsia" w:ascii="宋体" w:hAnsi="宋体" w:eastAsia="宋体" w:cs="宋体"/>
                <w:sz w:val="24"/>
                <w:szCs w:val="24"/>
              </w:rPr>
              <w:t>点圈定，开采标高2</w:t>
            </w:r>
            <w:r>
              <w:rPr>
                <w:rFonts w:hint="eastAsia" w:ascii="宋体" w:hAnsi="宋体" w:eastAsia="宋体" w:cs="宋体"/>
                <w:sz w:val="24"/>
                <w:szCs w:val="24"/>
                <w:lang w:val="en-US" w:eastAsia="zh-CN"/>
              </w:rPr>
              <w:t>246</w:t>
            </w:r>
            <w:r>
              <w:rPr>
                <w:rFonts w:hint="eastAsia" w:ascii="宋体" w:hAnsi="宋体" w:eastAsia="宋体" w:cs="宋体"/>
                <w:sz w:val="24"/>
                <w:szCs w:val="24"/>
              </w:rPr>
              <w:t>m至2</w:t>
            </w:r>
            <w:r>
              <w:rPr>
                <w:rFonts w:hint="eastAsia" w:ascii="宋体" w:hAnsi="宋体" w:eastAsia="宋体" w:cs="宋体"/>
                <w:sz w:val="24"/>
                <w:szCs w:val="24"/>
                <w:lang w:val="en-US" w:eastAsia="zh-CN"/>
              </w:rPr>
              <w:t>146</w:t>
            </w:r>
            <w:r>
              <w:rPr>
                <w:rFonts w:hint="eastAsia" w:ascii="宋体" w:hAnsi="宋体" w:eastAsia="宋体" w:cs="宋体"/>
                <w:sz w:val="24"/>
                <w:szCs w:val="24"/>
              </w:rPr>
              <w:t>m，规划开采规模70万t/a，开采矿种为建筑石料用灰岩，矿山规模为中型，开采方式为露天开采。本次编制方案的目的为办理采矿权的登记手续。</w:t>
            </w:r>
          </w:p>
          <w:p>
            <w:pPr>
              <w:spacing w:line="360" w:lineRule="auto"/>
              <w:ind w:firstLine="723" w:firstLineChars="3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二、矿山地质环境保护与恢复治理部分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（一）《方案》由</w:t>
            </w:r>
            <w:r>
              <w:rPr>
                <w:rFonts w:hint="eastAsia" w:ascii="宋体" w:hAnsi="宋体" w:eastAsia="宋体" w:cs="宋体"/>
                <w:sz w:val="24"/>
                <w:szCs w:val="24"/>
              </w:rPr>
              <w:t>曲靖岩土工程勘测有限责任公司</w:t>
            </w:r>
            <w:r>
              <w:rPr>
                <w:rFonts w:hint="eastAsia" w:ascii="宋体" w:hAnsi="宋体" w:eastAsia="宋体" w:cs="宋体"/>
                <w:color w:val="000000"/>
                <w:sz w:val="24"/>
                <w:szCs w:val="24"/>
              </w:rPr>
              <w:t>编制，符合云自然资修复</w:t>
            </w:r>
            <w:r>
              <w:rPr>
                <w:rFonts w:hint="eastAsia" w:ascii="宋体" w:hAnsi="宋体" w:eastAsia="宋体" w:cs="宋体"/>
                <w:i w:val="0"/>
                <w:iCs w:val="0"/>
                <w:caps w:val="0"/>
                <w:color w:val="000000"/>
                <w:spacing w:val="0"/>
                <w:sz w:val="24"/>
                <w:szCs w:val="24"/>
                <w:shd w:val="clear" w:fill="FFFFFF"/>
              </w:rPr>
              <w:t>〔2023〕</w:t>
            </w:r>
            <w:r>
              <w:rPr>
                <w:rFonts w:hint="eastAsia" w:ascii="宋体" w:hAnsi="宋体" w:eastAsia="宋体" w:cs="宋体"/>
                <w:color w:val="000000"/>
                <w:sz w:val="24"/>
                <w:szCs w:val="24"/>
              </w:rPr>
              <w:t>321号文相关规定。</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方案对区内自然地理、地质环境条件进行了调查，对矿山开发利用方案、矿山生产现状、矿山地质环境保护与治理恢复现状和评估区地质环境条件进行了介绍，介绍较全面，可作为方案编制的基础。野外地质调查工作较翔实，能基本满足方案编制工作所需。方案编制工作程序合规，方案要件齐全。附图比例尺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000，精度满足要求。</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（三）评估区地质环境条件复杂程度为中等类型；矿山地质环境影响程度为重要，</w:t>
            </w:r>
            <w:r>
              <w:rPr>
                <w:rFonts w:hint="eastAsia" w:ascii="宋体" w:hAnsi="宋体" w:eastAsia="宋体" w:cs="宋体"/>
                <w:bCs/>
                <w:sz w:val="24"/>
                <w:szCs w:val="24"/>
              </w:rPr>
              <w:t>按一级精度进行评价，符合规范要求，评估</w:t>
            </w:r>
            <w:r>
              <w:rPr>
                <w:rFonts w:hint="eastAsia" w:ascii="宋体" w:hAnsi="宋体" w:eastAsia="宋体" w:cs="宋体"/>
                <w:bCs/>
                <w:sz w:val="24"/>
                <w:szCs w:val="24"/>
                <w:lang w:eastAsia="zh-CN"/>
              </w:rPr>
              <w:t>区</w:t>
            </w:r>
            <w:r>
              <w:rPr>
                <w:rFonts w:hint="eastAsia" w:ascii="宋体" w:hAnsi="宋体" w:eastAsia="宋体" w:cs="宋体"/>
                <w:bCs/>
                <w:sz w:val="24"/>
                <w:szCs w:val="24"/>
              </w:rPr>
              <w:t>面积</w:t>
            </w:r>
            <w:r>
              <w:rPr>
                <w:rFonts w:hint="eastAsia" w:ascii="宋体" w:hAnsi="宋体" w:eastAsia="宋体" w:cs="宋体"/>
                <w:bCs/>
                <w:sz w:val="24"/>
                <w:szCs w:val="24"/>
                <w:lang w:val="en-US" w:eastAsia="zh-CN"/>
              </w:rPr>
              <w:t>0.2207</w:t>
            </w:r>
            <w:r>
              <w:rPr>
                <w:rFonts w:hint="eastAsia" w:ascii="宋体" w:hAnsi="宋体" w:eastAsia="宋体" w:cs="宋体"/>
                <w:bCs/>
                <w:sz w:val="24"/>
                <w:szCs w:val="24"/>
              </w:rPr>
              <w:t>km</w:t>
            </w:r>
            <w:r>
              <w:rPr>
                <w:rFonts w:hint="eastAsia" w:ascii="宋体" w:hAnsi="宋体" w:eastAsia="宋体" w:cs="宋体"/>
                <w:bCs/>
                <w:sz w:val="24"/>
                <w:szCs w:val="24"/>
                <w:vertAlign w:val="superscript"/>
              </w:rPr>
              <w:t>2</w:t>
            </w:r>
            <w:r>
              <w:rPr>
                <w:rFonts w:hint="eastAsia" w:ascii="宋体" w:hAnsi="宋体" w:eastAsia="宋体" w:cs="宋体"/>
                <w:bCs/>
                <w:sz w:val="24"/>
                <w:szCs w:val="24"/>
              </w:rPr>
              <w:t>，基本满足评价工作的需要。</w:t>
            </w:r>
          </w:p>
          <w:p>
            <w:pPr>
              <w:spacing w:line="360" w:lineRule="auto"/>
              <w:ind w:firstLine="465"/>
              <w:rPr>
                <w:rFonts w:hint="eastAsia" w:ascii="宋体" w:hAnsi="宋体" w:eastAsia="宋体" w:cs="宋体"/>
                <w:color w:val="000000"/>
                <w:sz w:val="24"/>
                <w:szCs w:val="24"/>
              </w:rPr>
            </w:pPr>
            <w:r>
              <w:rPr>
                <w:rFonts w:hint="eastAsia" w:ascii="宋体" w:hAnsi="宋体" w:eastAsia="宋体" w:cs="宋体"/>
                <w:color w:val="000000"/>
                <w:sz w:val="24"/>
                <w:szCs w:val="24"/>
              </w:rPr>
              <w:t>（四）</w:t>
            </w:r>
            <w:r>
              <w:rPr>
                <w:rFonts w:hint="eastAsia" w:ascii="宋体" w:hAnsi="宋体" w:eastAsia="宋体" w:cs="宋体"/>
                <w:sz w:val="24"/>
                <w:szCs w:val="24"/>
              </w:rPr>
              <w:t>经过实地调查，现状条件下未发现崩塌、滑坡、泥石流、地面沉降、地裂缝、地面塌陷等地质灾害</w:t>
            </w:r>
            <w:r>
              <w:rPr>
                <w:rFonts w:hint="eastAsia" w:ascii="宋体" w:hAnsi="宋体" w:eastAsia="宋体" w:cs="宋体"/>
                <w:color w:val="000000"/>
                <w:sz w:val="24"/>
                <w:szCs w:val="24"/>
              </w:rPr>
              <w:t>；该矿属新立矿山，现状未开采。</w:t>
            </w:r>
            <w:r>
              <w:rPr>
                <w:rFonts w:hint="eastAsia" w:ascii="宋体" w:hAnsi="宋体" w:eastAsia="宋体" w:cs="宋体"/>
                <w:sz w:val="24"/>
                <w:szCs w:val="24"/>
              </w:rPr>
              <w:t>未来矿山生产建设和生产过程应引起高度重视，矿山建设适宜性为基本适宜。现状评估较客观，基本符合矿山实际。</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（五）预测评估认为，矿山闭坑后将消除或减轻地质灾害隐患，最突出的地质环境问题一是严重破坏矿区地形地貌景观，二是大量压占土地资源。预测评估基本符合矿山实际。</w:t>
            </w:r>
          </w:p>
          <w:p>
            <w:pPr>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（六）</w:t>
            </w:r>
            <w:r>
              <w:rPr>
                <w:rFonts w:ascii="宋体" w:hAnsi="宋体"/>
                <w:color w:val="000000"/>
                <w:sz w:val="24"/>
              </w:rPr>
              <w:t>本方案在现状评估和预测评估的基础上，将评估区划分为矿山地质环境影响</w:t>
            </w:r>
            <w:r>
              <w:rPr>
                <w:rFonts w:hint="eastAsia" w:ascii="宋体" w:hAnsi="宋体"/>
                <w:sz w:val="24"/>
              </w:rPr>
              <w:t>严重区（</w:t>
            </w:r>
            <w:r>
              <w:rPr>
                <w:rFonts w:ascii="宋体" w:hAnsi="宋体"/>
                <w:sz w:val="24"/>
              </w:rPr>
              <w:fldChar w:fldCharType="begin"/>
            </w:r>
            <w:r>
              <w:rPr>
                <w:rFonts w:ascii="宋体" w:hAnsi="宋体"/>
                <w:sz w:val="24"/>
              </w:rPr>
              <w:instrText xml:space="preserve"> = 1 \* roman </w:instrText>
            </w:r>
            <w:r>
              <w:rPr>
                <w:rFonts w:ascii="宋体" w:hAnsi="宋体"/>
                <w:sz w:val="24"/>
              </w:rPr>
              <w:fldChar w:fldCharType="separate"/>
            </w:r>
            <w:r>
              <w:rPr>
                <w:rFonts w:ascii="宋体" w:hAnsi="宋体"/>
                <w:sz w:val="24"/>
              </w:rPr>
              <w:t>i</w:t>
            </w:r>
            <w:r>
              <w:rPr>
                <w:rFonts w:ascii="宋体" w:hAnsi="宋体"/>
                <w:sz w:val="24"/>
              </w:rPr>
              <w:fldChar w:fldCharType="end"/>
            </w:r>
            <w:r>
              <w:rPr>
                <w:rFonts w:hint="eastAsia" w:ascii="宋体" w:hAnsi="宋体"/>
                <w:sz w:val="24"/>
              </w:rPr>
              <w:t>）、影响一般区（i</w:t>
            </w:r>
            <w:r>
              <w:rPr>
                <w:rFonts w:ascii="宋体" w:hAnsi="宋体"/>
                <w:sz w:val="24"/>
              </w:rPr>
              <w:fldChar w:fldCharType="begin"/>
            </w:r>
            <w:r>
              <w:rPr>
                <w:rFonts w:ascii="宋体" w:hAnsi="宋体"/>
                <w:sz w:val="24"/>
              </w:rPr>
              <w:instrText xml:space="preserve"> = 2 \* roman </w:instrText>
            </w:r>
            <w:r>
              <w:rPr>
                <w:rFonts w:ascii="宋体" w:hAnsi="宋体"/>
                <w:sz w:val="24"/>
              </w:rPr>
              <w:fldChar w:fldCharType="separate"/>
            </w:r>
            <w:r>
              <w:rPr>
                <w:rFonts w:ascii="宋体" w:hAnsi="宋体"/>
                <w:sz w:val="24"/>
              </w:rPr>
              <w:t>ii</w:t>
            </w:r>
            <w:r>
              <w:rPr>
                <w:rFonts w:ascii="宋体" w:hAnsi="宋体"/>
                <w:sz w:val="24"/>
              </w:rPr>
              <w:fldChar w:fldCharType="end"/>
            </w:r>
            <w:r>
              <w:rPr>
                <w:rFonts w:hint="eastAsia" w:ascii="宋体" w:hAnsi="宋体"/>
                <w:sz w:val="24"/>
              </w:rPr>
              <w:t>）</w:t>
            </w:r>
            <w:r>
              <w:rPr>
                <w:rFonts w:ascii="宋体" w:hAnsi="宋体"/>
                <w:color w:val="000000"/>
                <w:sz w:val="24"/>
              </w:rPr>
              <w:t>，</w:t>
            </w:r>
            <w:r>
              <w:rPr>
                <w:rFonts w:hint="eastAsia" w:ascii="宋体" w:hAnsi="宋体"/>
                <w:color w:val="000000"/>
                <w:sz w:val="24"/>
              </w:rPr>
              <w:t>二</w:t>
            </w:r>
            <w:r>
              <w:rPr>
                <w:rFonts w:ascii="宋体" w:hAnsi="宋体"/>
                <w:color w:val="000000"/>
                <w:sz w:val="24"/>
              </w:rPr>
              <w:t>个级别</w:t>
            </w:r>
            <w:r>
              <w:rPr>
                <w:rFonts w:hint="eastAsia" w:ascii="宋体" w:hAnsi="宋体"/>
                <w:color w:val="000000"/>
                <w:sz w:val="24"/>
              </w:rPr>
              <w:t>二</w:t>
            </w:r>
            <w:r>
              <w:rPr>
                <w:rFonts w:ascii="宋体" w:hAnsi="宋体"/>
                <w:color w:val="000000"/>
                <w:sz w:val="24"/>
              </w:rPr>
              <w:t>个区段，分级分区基本合理；</w:t>
            </w:r>
            <w:bookmarkStart w:id="0" w:name="_GoBack"/>
            <w:bookmarkEnd w:id="0"/>
            <w:r>
              <w:rPr>
                <w:rFonts w:hint="eastAsia" w:ascii="宋体" w:hAnsi="宋体" w:cs="宋体"/>
                <w:color w:val="000000"/>
                <w:sz w:val="24"/>
              </w:rPr>
              <w:t>一个级别一个区段，分级分区基本合理；将评估区划分为重点防治区（A）和一般防治区（C），分级分区基本合理；</w:t>
            </w:r>
            <w:r>
              <w:rPr>
                <w:rFonts w:hint="eastAsia" w:ascii="宋体" w:hAnsi="宋体" w:eastAsia="宋体" w:cs="宋体"/>
                <w:color w:val="000000"/>
                <w:sz w:val="24"/>
                <w:szCs w:val="24"/>
              </w:rPr>
              <w:t>矿山地质环境保护方案服务年限为</w:t>
            </w:r>
            <w:r>
              <w:rPr>
                <w:rFonts w:hint="eastAsia" w:ascii="宋体" w:hAnsi="宋体" w:eastAsia="宋体" w:cs="宋体"/>
                <w:sz w:val="24"/>
                <w:szCs w:val="24"/>
                <w:lang w:val="en-US" w:eastAsia="zh-CN"/>
              </w:rPr>
              <w:t>10.6</w:t>
            </w:r>
            <w:r>
              <w:rPr>
                <w:rFonts w:hint="eastAsia" w:ascii="宋体" w:hAnsi="宋体" w:eastAsia="宋体" w:cs="宋体"/>
                <w:sz w:val="24"/>
                <w:szCs w:val="24"/>
              </w:rPr>
              <w:t>年（</w:t>
            </w:r>
            <w:r>
              <w:rPr>
                <w:rFonts w:hint="eastAsia" w:ascii="宋体" w:hAnsi="宋体" w:eastAsia="宋体" w:cs="宋体"/>
                <w:sz w:val="24"/>
              </w:rPr>
              <w:t>2024年</w:t>
            </w:r>
            <w:r>
              <w:rPr>
                <w:rFonts w:hint="eastAsia" w:ascii="宋体" w:hAnsi="宋体" w:eastAsia="宋体" w:cs="宋体"/>
                <w:sz w:val="24"/>
                <w:lang w:val="en-US" w:eastAsia="zh-CN"/>
              </w:rPr>
              <w:t>4</w:t>
            </w:r>
            <w:r>
              <w:rPr>
                <w:rFonts w:hint="eastAsia" w:ascii="宋体" w:hAnsi="宋体" w:eastAsia="宋体" w:cs="宋体"/>
                <w:sz w:val="24"/>
              </w:rPr>
              <w:t>月至20</w:t>
            </w:r>
            <w:r>
              <w:rPr>
                <w:rFonts w:hint="eastAsia" w:ascii="宋体" w:hAnsi="宋体" w:eastAsia="宋体" w:cs="宋体"/>
                <w:sz w:val="24"/>
                <w:lang w:val="en-US" w:eastAsia="zh-CN"/>
              </w:rPr>
              <w:t>34</w:t>
            </w:r>
            <w:r>
              <w:rPr>
                <w:rFonts w:hint="eastAsia" w:ascii="宋体" w:hAnsi="宋体" w:eastAsia="宋体" w:cs="宋体"/>
                <w:sz w:val="24"/>
              </w:rPr>
              <w:t>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szCs w:val="24"/>
              </w:rPr>
              <w:t>），方案的适用年限为5年（</w:t>
            </w:r>
            <w:r>
              <w:rPr>
                <w:rFonts w:hint="eastAsia" w:ascii="宋体" w:hAnsi="宋体" w:cs="宋体"/>
                <w:sz w:val="24"/>
              </w:rPr>
              <w:t>2024年3月至2029年3月</w:t>
            </w:r>
            <w:r>
              <w:rPr>
                <w:rFonts w:hint="eastAsia" w:ascii="宋体" w:hAnsi="宋体" w:eastAsia="宋体" w:cs="宋体"/>
                <w:sz w:val="24"/>
                <w:szCs w:val="24"/>
              </w:rPr>
              <w:t>）</w:t>
            </w:r>
            <w:r>
              <w:rPr>
                <w:rFonts w:hint="eastAsia" w:ascii="宋体" w:hAnsi="宋体" w:eastAsia="宋体" w:cs="宋体"/>
                <w:color w:val="000000"/>
                <w:sz w:val="24"/>
                <w:szCs w:val="24"/>
              </w:rPr>
              <w:t>是恰当的。综合评估结论客观。</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（七）本方案制定的矿山地质环境保护方案包括工程措施、监测措施和管理措施，措施设计有一定针对性和可实施性。</w:t>
            </w:r>
          </w:p>
          <w:p>
            <w:pPr>
              <w:spacing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（八）《方案》中矿山地质环境保护与治理恢复方案投资估算编制有据，计价计费基本合规，编制年限内估算</w:t>
            </w:r>
            <w:r>
              <w:rPr>
                <w:rFonts w:hint="eastAsia" w:ascii="宋体" w:hAnsi="宋体" w:eastAsia="宋体" w:cs="宋体"/>
                <w:sz w:val="24"/>
                <w:szCs w:val="24"/>
                <w:highlight w:val="none"/>
              </w:rPr>
              <w:t>静态总投资</w:t>
            </w:r>
            <w:r>
              <w:rPr>
                <w:rFonts w:hint="eastAsia" w:ascii="宋体" w:hAnsi="宋体" w:eastAsia="宋体" w:cs="宋体"/>
                <w:sz w:val="24"/>
                <w:szCs w:val="24"/>
                <w:highlight w:val="none"/>
                <w:lang w:val="en-US" w:eastAsia="zh-CN" w:bidi="ar"/>
              </w:rPr>
              <w:t>85.20</w:t>
            </w:r>
            <w:r>
              <w:rPr>
                <w:rFonts w:hint="eastAsia" w:ascii="宋体" w:hAnsi="宋体" w:eastAsia="宋体" w:cs="宋体"/>
                <w:sz w:val="24"/>
                <w:szCs w:val="24"/>
                <w:highlight w:val="none"/>
              </w:rPr>
              <w:t>万元，其中方案适用年限（5年）静态总投资</w:t>
            </w:r>
            <w:r>
              <w:rPr>
                <w:rFonts w:hint="eastAsia" w:ascii="宋体" w:hAnsi="宋体" w:eastAsia="宋体" w:cs="宋体"/>
                <w:sz w:val="24"/>
                <w:szCs w:val="24"/>
                <w:highlight w:val="none"/>
                <w:lang w:val="en-US" w:eastAsia="zh-CN" w:bidi="ar"/>
              </w:rPr>
              <w:t>36.68</w:t>
            </w:r>
            <w:r>
              <w:rPr>
                <w:rFonts w:hint="eastAsia" w:ascii="宋体" w:hAnsi="宋体" w:eastAsia="宋体" w:cs="宋体"/>
                <w:sz w:val="24"/>
                <w:szCs w:val="24"/>
                <w:highlight w:val="none"/>
              </w:rPr>
              <w:t>万元。动态总投资为</w:t>
            </w:r>
            <w:r>
              <w:rPr>
                <w:rFonts w:hint="eastAsia" w:ascii="宋体" w:hAnsi="宋体" w:eastAsia="宋体" w:cs="宋体"/>
                <w:sz w:val="24"/>
                <w:lang w:val="en-US" w:eastAsia="zh-CN" w:bidi="ar"/>
              </w:rPr>
              <w:t>103.94</w:t>
            </w:r>
            <w:r>
              <w:rPr>
                <w:rFonts w:hint="eastAsia" w:ascii="宋体" w:hAnsi="宋体" w:eastAsia="宋体" w:cs="宋体"/>
                <w:sz w:val="24"/>
                <w:szCs w:val="24"/>
                <w:highlight w:val="none"/>
              </w:rPr>
              <w:t>万元。其中方案适用期（5年）内动态投资为</w:t>
            </w:r>
            <w:r>
              <w:rPr>
                <w:rFonts w:hint="eastAsia" w:ascii="宋体" w:hAnsi="宋体" w:eastAsia="宋体" w:cs="宋体"/>
                <w:sz w:val="24"/>
                <w:lang w:val="en-US" w:eastAsia="zh-CN" w:bidi="ar"/>
              </w:rPr>
              <w:t>40.35</w:t>
            </w:r>
            <w:r>
              <w:rPr>
                <w:rFonts w:hint="eastAsia" w:ascii="宋体" w:hAnsi="宋体" w:eastAsia="宋体" w:cs="宋体"/>
                <w:sz w:val="24"/>
                <w:szCs w:val="24"/>
                <w:highlight w:val="none"/>
              </w:rPr>
              <w:t>万元。</w:t>
            </w:r>
            <w:r>
              <w:rPr>
                <w:rFonts w:hint="eastAsia" w:ascii="宋体" w:hAnsi="宋体" w:eastAsia="宋体" w:cs="宋体"/>
                <w:color w:val="000000"/>
                <w:sz w:val="24"/>
                <w:szCs w:val="24"/>
                <w:highlight w:val="none"/>
              </w:rPr>
              <w:t>估算结果较合理。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综上所述：该《方案》编制基本符合有关文件及技术规范、标准的要求，相关分析依据充分，结论基本准确，采用方法、手段及完成实物工作量基本满足评估要求。采取的预防措施、工程措施基本可行，投资估（概）算结果基本准确，拟定的工作计划实施基本合理，基本达到了规范要求，专家组同意《方案》通过评审。编制单位已按专家组意见认真作了修改完善，可以按规定程序上报备案和提供使用。</w:t>
            </w:r>
          </w:p>
          <w:p>
            <w:pPr>
              <w:spacing w:line="360" w:lineRule="auto"/>
              <w:ind w:firstLine="600" w:firstLineChars="24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三、土地复垦部分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本《方案》编制格式符合要求，内容较为齐全；调查研究与数据处理方法正确，数据基本可信；提出的土地复垦工程措施和生物措施基本可行；复垦费用估（概）算依据较充分，测算基本合理，可作为指导企业开展土地复垦工作的依据。</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（二）原则同意《方案》中关于</w:t>
            </w:r>
            <w:r>
              <w:rPr>
                <w:rFonts w:hint="eastAsia" w:ascii="宋体" w:hAnsi="宋体" w:eastAsia="宋体" w:cs="宋体"/>
                <w:sz w:val="24"/>
                <w:szCs w:val="24"/>
                <w:lang w:eastAsia="zh-CN"/>
              </w:rPr>
              <w:t>宣威市恒聚鑫采石有限公司宣威市务德镇大桥顺进石厂</w:t>
            </w:r>
            <w:r>
              <w:rPr>
                <w:rFonts w:hint="eastAsia" w:ascii="宋体" w:hAnsi="宋体" w:eastAsia="宋体" w:cs="宋体"/>
                <w:sz w:val="24"/>
                <w:szCs w:val="24"/>
              </w:rPr>
              <w:t>矿山地质环境保护与土地复垦方案损毁土地的预测和分析。本项目损毁土地总面积为</w:t>
            </w:r>
            <w:r>
              <w:rPr>
                <w:rFonts w:hint="eastAsia" w:ascii="宋体" w:hAnsi="宋体" w:eastAsia="宋体" w:cs="宋体"/>
                <w:sz w:val="24"/>
                <w:lang w:val="en-US" w:eastAsia="zh-CN"/>
              </w:rPr>
              <w:t>10.1300</w:t>
            </w:r>
            <w:r>
              <w:rPr>
                <w:rFonts w:hint="eastAsia" w:ascii="宋体" w:hAnsi="宋体" w:eastAsia="宋体" w:cs="宋体"/>
                <w:sz w:val="24"/>
                <w:szCs w:val="24"/>
              </w:rPr>
              <w:t>hm</w:t>
            </w:r>
            <w:r>
              <w:rPr>
                <w:rFonts w:hint="eastAsia" w:ascii="宋体" w:hAnsi="宋体" w:eastAsia="宋体" w:cs="宋体"/>
                <w:sz w:val="24"/>
                <w:szCs w:val="24"/>
                <w:vertAlign w:val="superscript"/>
              </w:rPr>
              <w:t>2</w:t>
            </w:r>
            <w:r>
              <w:rPr>
                <w:rFonts w:hint="eastAsia" w:ascii="宋体" w:hAnsi="宋体" w:eastAsia="宋体" w:cs="宋体"/>
                <w:sz w:val="24"/>
                <w:szCs w:val="24"/>
              </w:rPr>
              <w:t>，</w:t>
            </w:r>
            <w:r>
              <w:rPr>
                <w:rFonts w:hint="eastAsia" w:ascii="宋体" w:hAnsi="宋体" w:eastAsia="宋体" w:cs="宋体"/>
                <w:sz w:val="24"/>
              </w:rPr>
              <w:t>损毁的土地类型为</w:t>
            </w:r>
            <w:r>
              <w:rPr>
                <w:rFonts w:hint="eastAsia" w:ascii="宋体" w:hAnsi="宋体" w:eastAsia="宋体" w:cs="宋体"/>
                <w:sz w:val="24"/>
                <w:lang w:eastAsia="zh-CN"/>
              </w:rPr>
              <w:t>旱地、</w:t>
            </w:r>
            <w:r>
              <w:rPr>
                <w:rFonts w:hint="eastAsia" w:ascii="宋体" w:hAnsi="宋体" w:eastAsia="宋体" w:cs="宋体"/>
                <w:sz w:val="24"/>
              </w:rPr>
              <w:t>乔木林地、采矿用地。其中</w:t>
            </w:r>
            <w:r>
              <w:rPr>
                <w:rFonts w:hint="eastAsia" w:ascii="宋体" w:hAnsi="宋体" w:eastAsia="宋体" w:cs="宋体"/>
                <w:sz w:val="24"/>
                <w:lang w:eastAsia="zh-CN"/>
              </w:rPr>
              <w:t>旱地</w:t>
            </w:r>
            <w:r>
              <w:rPr>
                <w:rFonts w:hint="eastAsia" w:ascii="宋体" w:hAnsi="宋体" w:eastAsia="宋体" w:cs="宋体"/>
                <w:sz w:val="24"/>
                <w:lang w:val="en-US" w:eastAsia="zh-CN"/>
              </w:rPr>
              <w:t>2.8283</w:t>
            </w:r>
            <w:r>
              <w:rPr>
                <w:rFonts w:hint="eastAsia" w:ascii="宋体" w:hAnsi="宋体" w:eastAsia="宋体" w:cs="宋体"/>
                <w:sz w:val="24"/>
              </w:rPr>
              <w:t>hm²,乔木林地</w:t>
            </w:r>
            <w:r>
              <w:rPr>
                <w:rFonts w:hint="eastAsia" w:ascii="宋体" w:hAnsi="宋体" w:eastAsia="宋体" w:cs="宋体"/>
                <w:sz w:val="24"/>
                <w:lang w:val="en-US" w:eastAsia="zh-CN"/>
              </w:rPr>
              <w:t>0.8574</w:t>
            </w:r>
            <w:r>
              <w:rPr>
                <w:rFonts w:hint="eastAsia" w:ascii="宋体" w:hAnsi="宋体" w:eastAsia="宋体" w:cs="宋体"/>
                <w:sz w:val="24"/>
              </w:rPr>
              <w:t>hm²，采矿用地</w:t>
            </w:r>
            <w:r>
              <w:rPr>
                <w:rFonts w:hint="eastAsia" w:ascii="宋体" w:hAnsi="宋体" w:eastAsia="宋体" w:cs="宋体"/>
                <w:sz w:val="24"/>
                <w:lang w:val="en-US" w:eastAsia="zh-CN"/>
              </w:rPr>
              <w:t>6.4443</w:t>
            </w:r>
            <w:r>
              <w:rPr>
                <w:rFonts w:hint="eastAsia" w:ascii="宋体" w:hAnsi="宋体" w:eastAsia="宋体" w:cs="宋体"/>
                <w:sz w:val="24"/>
              </w:rPr>
              <w:t>hm²。按损毁土地方式统计,挖损损毁土地</w:t>
            </w:r>
            <w:r>
              <w:rPr>
                <w:rFonts w:hint="eastAsia" w:ascii="宋体" w:hAnsi="宋体" w:eastAsia="宋体" w:cs="宋体"/>
                <w:sz w:val="24"/>
                <w:lang w:val="en-US" w:eastAsia="zh-CN"/>
              </w:rPr>
              <w:t>8.6131</w:t>
            </w:r>
            <w:r>
              <w:rPr>
                <w:rFonts w:hint="eastAsia" w:ascii="宋体" w:hAnsi="宋体" w:eastAsia="宋体" w:cs="宋体"/>
                <w:sz w:val="24"/>
              </w:rPr>
              <w:t>hm²，压占损毁土地</w:t>
            </w:r>
            <w:r>
              <w:rPr>
                <w:rFonts w:hint="eastAsia" w:ascii="宋体" w:hAnsi="宋体" w:eastAsia="宋体" w:cs="宋体"/>
                <w:sz w:val="24"/>
                <w:lang w:val="en-US" w:eastAsia="zh-CN"/>
              </w:rPr>
              <w:t>1.5169</w:t>
            </w:r>
            <w:r>
              <w:rPr>
                <w:rFonts w:hint="eastAsia" w:ascii="宋体" w:hAnsi="宋体" w:eastAsia="宋体" w:cs="宋体"/>
                <w:sz w:val="24"/>
              </w:rPr>
              <w:t>hm²；按损毁土地程度分析，轻度损毁</w:t>
            </w:r>
            <w:r>
              <w:rPr>
                <w:rFonts w:hint="eastAsia" w:ascii="宋体" w:hAnsi="宋体" w:eastAsia="宋体" w:cs="宋体"/>
                <w:sz w:val="24"/>
                <w:lang w:val="en-US" w:eastAsia="zh-CN"/>
              </w:rPr>
              <w:t>1.5169</w:t>
            </w:r>
            <w:r>
              <w:rPr>
                <w:rFonts w:hint="eastAsia" w:ascii="宋体" w:hAnsi="宋体" w:eastAsia="宋体" w:cs="宋体"/>
                <w:sz w:val="24"/>
              </w:rPr>
              <w:t>hm²，重度损毁土地</w:t>
            </w:r>
            <w:r>
              <w:rPr>
                <w:rFonts w:hint="eastAsia" w:ascii="宋体" w:hAnsi="宋体" w:eastAsia="宋体" w:cs="宋体"/>
                <w:sz w:val="24"/>
                <w:lang w:val="en-US" w:eastAsia="zh-CN"/>
              </w:rPr>
              <w:t>8.6131</w:t>
            </w:r>
            <w:r>
              <w:rPr>
                <w:rFonts w:hint="eastAsia" w:ascii="宋体" w:hAnsi="宋体" w:eastAsia="宋体" w:cs="宋体"/>
                <w:sz w:val="24"/>
              </w:rPr>
              <w:t>hm²；按损毁土地权属统计，权均权属</w:t>
            </w:r>
            <w:r>
              <w:rPr>
                <w:rFonts w:hint="eastAsia" w:ascii="宋体" w:hAnsi="宋体" w:eastAsia="宋体" w:cs="宋体"/>
                <w:sz w:val="24"/>
                <w:lang w:eastAsia="zh-CN"/>
              </w:rPr>
              <w:t>务德镇发图村民委员会</w:t>
            </w:r>
            <w:r>
              <w:rPr>
                <w:rFonts w:hint="eastAsia" w:ascii="宋体" w:hAnsi="宋体" w:eastAsia="宋体" w:cs="宋体"/>
                <w:sz w:val="24"/>
                <w:szCs w:val="24"/>
              </w:rPr>
              <w:t>。</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复垦责任范围面积</w:t>
            </w:r>
            <w:r>
              <w:rPr>
                <w:rFonts w:hint="eastAsia" w:ascii="宋体" w:hAnsi="宋体" w:eastAsia="宋体" w:cs="宋体"/>
                <w:sz w:val="24"/>
                <w:lang w:val="en-US" w:eastAsia="zh-CN"/>
              </w:rPr>
              <w:t>10.1300</w:t>
            </w:r>
            <w:r>
              <w:rPr>
                <w:rFonts w:hint="eastAsia" w:ascii="宋体" w:hAnsi="宋体" w:eastAsia="宋体" w:cs="宋体"/>
                <w:kern w:val="0"/>
                <w:sz w:val="24"/>
                <w:szCs w:val="24"/>
                <w:lang w:bidi="ar"/>
              </w:rPr>
              <w:t>hm</w:t>
            </w:r>
            <w:r>
              <w:rPr>
                <w:rFonts w:hint="eastAsia" w:ascii="宋体" w:hAnsi="宋体" w:eastAsia="宋体" w:cs="宋体"/>
                <w:kern w:val="0"/>
                <w:sz w:val="24"/>
                <w:szCs w:val="24"/>
                <w:vertAlign w:val="superscript"/>
                <w:lang w:bidi="ar"/>
              </w:rPr>
              <w:t>2</w:t>
            </w:r>
            <w:r>
              <w:rPr>
                <w:rFonts w:hint="eastAsia" w:ascii="宋体" w:hAnsi="宋体" w:eastAsia="宋体" w:cs="宋体"/>
                <w:sz w:val="24"/>
                <w:szCs w:val="24"/>
              </w:rPr>
              <w:t>，作为复垦配套设施保留面积0.2571</w:t>
            </w:r>
            <w:r>
              <w:rPr>
                <w:rFonts w:hint="eastAsia" w:ascii="宋体" w:hAnsi="宋体" w:eastAsia="宋体" w:cs="宋体"/>
                <w:kern w:val="0"/>
                <w:sz w:val="24"/>
                <w:szCs w:val="24"/>
                <w:lang w:bidi="ar"/>
              </w:rPr>
              <w:t>hm</w:t>
            </w:r>
            <w:r>
              <w:rPr>
                <w:rFonts w:hint="eastAsia" w:ascii="宋体" w:hAnsi="宋体" w:eastAsia="宋体" w:cs="宋体"/>
                <w:kern w:val="0"/>
                <w:sz w:val="24"/>
                <w:szCs w:val="24"/>
                <w:vertAlign w:val="superscript"/>
                <w:lang w:bidi="ar"/>
              </w:rPr>
              <w:t>2</w:t>
            </w:r>
            <w:r>
              <w:rPr>
                <w:rFonts w:hint="eastAsia" w:ascii="宋体" w:hAnsi="宋体" w:eastAsia="宋体" w:cs="宋体"/>
                <w:sz w:val="24"/>
                <w:szCs w:val="24"/>
              </w:rPr>
              <w:t>，最终确定复垦土地面积</w:t>
            </w:r>
            <w:r>
              <w:rPr>
                <w:rFonts w:hint="eastAsia" w:cs="宋体" w:asciiTheme="minorEastAsia" w:hAnsiTheme="minorEastAsia"/>
                <w:bCs/>
                <w:sz w:val="24"/>
                <w:lang w:val="en-US" w:eastAsia="zh-CN"/>
              </w:rPr>
              <w:t>9.8729</w:t>
            </w:r>
            <w:r>
              <w:rPr>
                <w:rFonts w:hint="eastAsia" w:ascii="宋体" w:hAnsi="宋体" w:eastAsia="宋体" w:cs="宋体"/>
                <w:kern w:val="0"/>
                <w:sz w:val="24"/>
                <w:szCs w:val="24"/>
                <w:lang w:bidi="ar"/>
              </w:rPr>
              <w:t>hm</w:t>
            </w:r>
            <w:r>
              <w:rPr>
                <w:rFonts w:hint="eastAsia" w:ascii="宋体" w:hAnsi="宋体" w:eastAsia="宋体" w:cs="宋体"/>
                <w:kern w:val="0"/>
                <w:sz w:val="24"/>
                <w:szCs w:val="24"/>
                <w:vertAlign w:val="superscript"/>
                <w:lang w:bidi="ar"/>
              </w:rPr>
              <w:t>2</w:t>
            </w:r>
            <w:r>
              <w:rPr>
                <w:rFonts w:hint="eastAsia" w:ascii="宋体" w:hAnsi="宋体" w:eastAsia="宋体" w:cs="宋体"/>
                <w:sz w:val="24"/>
                <w:szCs w:val="24"/>
              </w:rPr>
              <w:t>。</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（三）原则同意本项目制定的复垦目标和任务，土地复垦适宜性评价过程和结果基本可信。矿山土地复垦方案服务年限为</w:t>
            </w:r>
            <w:r>
              <w:rPr>
                <w:rFonts w:hint="eastAsia" w:ascii="宋体" w:hAnsi="宋体" w:eastAsia="宋体" w:cs="宋体"/>
                <w:sz w:val="24"/>
                <w:szCs w:val="24"/>
                <w:lang w:val="en-US" w:eastAsia="zh-CN"/>
              </w:rPr>
              <w:t>10.6</w:t>
            </w:r>
            <w:r>
              <w:rPr>
                <w:rFonts w:hint="eastAsia" w:ascii="宋体" w:hAnsi="宋体" w:eastAsia="宋体" w:cs="宋体"/>
                <w:sz w:val="24"/>
                <w:szCs w:val="24"/>
              </w:rPr>
              <w:t>年</w:t>
            </w:r>
            <w:r>
              <w:rPr>
                <w:rFonts w:hint="eastAsia" w:ascii="宋体" w:hAnsi="宋体" w:eastAsia="宋体" w:cs="宋体"/>
                <w:sz w:val="24"/>
                <w:szCs w:val="24"/>
                <w:lang w:val="en-US" w:eastAsia="zh-CN"/>
              </w:rPr>
              <w:t>(</w:t>
            </w:r>
            <w:r>
              <w:rPr>
                <w:rFonts w:hint="eastAsia" w:ascii="宋体" w:hAnsi="宋体" w:eastAsia="宋体" w:cs="宋体"/>
                <w:sz w:val="24"/>
              </w:rPr>
              <w:t>2024年</w:t>
            </w:r>
            <w:r>
              <w:rPr>
                <w:rFonts w:hint="eastAsia" w:ascii="宋体" w:hAnsi="宋体" w:eastAsia="宋体" w:cs="宋体"/>
                <w:sz w:val="24"/>
                <w:lang w:val="en-US" w:eastAsia="zh-CN"/>
              </w:rPr>
              <w:t>4</w:t>
            </w:r>
            <w:r>
              <w:rPr>
                <w:rFonts w:hint="eastAsia" w:ascii="宋体" w:hAnsi="宋体" w:eastAsia="宋体" w:cs="宋体"/>
                <w:sz w:val="24"/>
              </w:rPr>
              <w:t>月至20</w:t>
            </w:r>
            <w:r>
              <w:rPr>
                <w:rFonts w:hint="eastAsia" w:ascii="宋体" w:hAnsi="宋体" w:eastAsia="宋体" w:cs="宋体"/>
                <w:sz w:val="24"/>
                <w:lang w:val="en-US" w:eastAsia="zh-CN"/>
              </w:rPr>
              <w:t>34</w:t>
            </w:r>
            <w:r>
              <w:rPr>
                <w:rFonts w:hint="eastAsia" w:ascii="宋体" w:hAnsi="宋体" w:eastAsia="宋体" w:cs="宋体"/>
                <w:sz w:val="24"/>
              </w:rPr>
              <w:t>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szCs w:val="24"/>
                <w:lang w:val="en-US" w:eastAsia="zh-CN"/>
              </w:rPr>
              <w:t>)</w:t>
            </w:r>
            <w:r>
              <w:rPr>
                <w:rFonts w:hint="eastAsia" w:ascii="宋体" w:hAnsi="宋体" w:eastAsia="宋体" w:cs="宋体"/>
                <w:sz w:val="24"/>
                <w:szCs w:val="24"/>
              </w:rPr>
              <w:t>，方案的适用年限为5年</w:t>
            </w:r>
            <w:r>
              <w:rPr>
                <w:rFonts w:hint="eastAsia" w:ascii="宋体" w:hAnsi="宋体" w:eastAsia="宋体" w:cs="宋体"/>
                <w:sz w:val="24"/>
                <w:szCs w:val="24"/>
                <w:lang w:val="en-US" w:eastAsia="zh-CN"/>
              </w:rPr>
              <w:t>(</w:t>
            </w:r>
            <w:r>
              <w:rPr>
                <w:rFonts w:hint="eastAsia" w:ascii="宋体" w:hAnsi="宋体" w:cs="宋体"/>
                <w:sz w:val="24"/>
              </w:rPr>
              <w:t>2024年3月至2029年3月</w:t>
            </w:r>
            <w:r>
              <w:rPr>
                <w:rFonts w:hint="eastAsia" w:ascii="宋体" w:hAnsi="宋体" w:eastAsia="宋体" w:cs="宋体"/>
                <w:sz w:val="24"/>
                <w:szCs w:val="24"/>
                <w:lang w:val="en-US" w:eastAsia="zh-CN"/>
              </w:rPr>
              <w:t>)</w:t>
            </w:r>
            <w:r>
              <w:rPr>
                <w:rFonts w:hint="eastAsia" w:ascii="宋体" w:hAnsi="宋体" w:eastAsia="宋体" w:cs="宋体"/>
                <w:sz w:val="24"/>
                <w:szCs w:val="24"/>
              </w:rPr>
              <w:t>。规划复垦总面积</w:t>
            </w:r>
            <w:r>
              <w:rPr>
                <w:rFonts w:hint="eastAsia" w:cs="宋体" w:asciiTheme="minorEastAsia" w:hAnsiTheme="minorEastAsia"/>
                <w:bCs/>
                <w:sz w:val="24"/>
                <w:lang w:val="en-US" w:eastAsia="zh-CN"/>
              </w:rPr>
              <w:t>9.8729</w:t>
            </w:r>
            <w:r>
              <w:rPr>
                <w:rFonts w:hint="eastAsia" w:ascii="宋体" w:hAnsi="宋体" w:eastAsia="宋体" w:cs="宋体"/>
                <w:sz w:val="24"/>
                <w:szCs w:val="24"/>
              </w:rPr>
              <w:t>公顷（已复垦0公顷），复垦为旱地</w:t>
            </w:r>
            <w:r>
              <w:rPr>
                <w:rFonts w:hint="eastAsia" w:ascii="宋体" w:hAnsi="宋体" w:eastAsia="宋体" w:cs="宋体"/>
                <w:bCs/>
                <w:sz w:val="24"/>
                <w:szCs w:val="24"/>
              </w:rPr>
              <w:t>2.6</w:t>
            </w:r>
            <w:r>
              <w:rPr>
                <w:rFonts w:hint="eastAsia" w:ascii="宋体" w:hAnsi="宋体" w:eastAsia="宋体" w:cs="宋体"/>
                <w:bCs/>
                <w:sz w:val="24"/>
                <w:szCs w:val="24"/>
                <w:lang w:val="en-US" w:eastAsia="zh-CN"/>
              </w:rPr>
              <w:t>481</w:t>
            </w:r>
            <w:r>
              <w:rPr>
                <w:rFonts w:hint="eastAsia" w:ascii="宋体" w:hAnsi="宋体" w:eastAsia="宋体" w:cs="宋体"/>
                <w:sz w:val="24"/>
                <w:szCs w:val="24"/>
              </w:rPr>
              <w:t>hm</w:t>
            </w:r>
            <w:r>
              <w:rPr>
                <w:rFonts w:hint="eastAsia" w:ascii="宋体" w:hAnsi="宋体" w:eastAsia="宋体" w:cs="宋体"/>
                <w:sz w:val="24"/>
                <w:szCs w:val="24"/>
                <w:vertAlign w:val="superscript"/>
              </w:rPr>
              <w:t>2</w:t>
            </w:r>
            <w:r>
              <w:rPr>
                <w:rFonts w:hint="eastAsia" w:ascii="宋体" w:hAnsi="宋体" w:eastAsia="宋体" w:cs="宋体"/>
                <w:sz w:val="24"/>
                <w:szCs w:val="24"/>
              </w:rPr>
              <w:t>、复垦为</w:t>
            </w:r>
            <w:r>
              <w:rPr>
                <w:rFonts w:hint="eastAsia" w:ascii="宋体" w:hAnsi="宋体" w:eastAsia="宋体" w:cs="宋体"/>
                <w:bCs/>
                <w:sz w:val="24"/>
                <w:szCs w:val="24"/>
              </w:rPr>
              <w:t>乔木林地</w:t>
            </w:r>
            <w:r>
              <w:rPr>
                <w:rFonts w:hint="eastAsia" w:ascii="宋体" w:hAnsi="宋体" w:eastAsia="宋体" w:cs="宋体"/>
                <w:bCs/>
                <w:sz w:val="24"/>
                <w:szCs w:val="24"/>
                <w:lang w:val="en-US" w:eastAsia="zh-CN"/>
              </w:rPr>
              <w:t>7.2248</w:t>
            </w:r>
            <w:r>
              <w:rPr>
                <w:rFonts w:hint="eastAsia" w:ascii="宋体" w:hAnsi="宋体" w:eastAsia="宋体" w:cs="宋体"/>
                <w:bCs/>
                <w:sz w:val="24"/>
                <w:szCs w:val="24"/>
              </w:rPr>
              <w:t>hm</w:t>
            </w:r>
            <w:r>
              <w:rPr>
                <w:rFonts w:hint="eastAsia" w:ascii="宋体" w:hAnsi="宋体" w:eastAsia="宋体" w:cs="宋体"/>
                <w:bCs/>
                <w:sz w:val="24"/>
                <w:szCs w:val="24"/>
                <w:vertAlign w:val="superscript"/>
              </w:rPr>
              <w:t>2</w:t>
            </w:r>
            <w:r>
              <w:rPr>
                <w:rFonts w:hint="eastAsia" w:ascii="宋体" w:hAnsi="宋体" w:eastAsia="宋体" w:cs="宋体"/>
                <w:bCs/>
                <w:sz w:val="24"/>
                <w:szCs w:val="24"/>
              </w:rPr>
              <w:t>，</w:t>
            </w:r>
            <w:r>
              <w:rPr>
                <w:rFonts w:hint="eastAsia" w:ascii="宋体" w:hAnsi="宋体" w:eastAsia="宋体" w:cs="宋体"/>
                <w:bCs/>
                <w:sz w:val="24"/>
                <w:szCs w:val="24"/>
                <w:lang w:val="zh-CN"/>
              </w:rPr>
              <w:t>土地复垦率为</w:t>
            </w:r>
            <w:r>
              <w:rPr>
                <w:rFonts w:hint="eastAsia" w:ascii="宋体" w:hAnsi="宋体" w:eastAsia="宋体" w:cs="宋体"/>
                <w:bCs/>
                <w:sz w:val="24"/>
                <w:szCs w:val="24"/>
              </w:rPr>
              <w:t>97.</w:t>
            </w:r>
            <w:r>
              <w:rPr>
                <w:rFonts w:hint="eastAsia" w:ascii="宋体" w:hAnsi="宋体" w:eastAsia="宋体" w:cs="宋体"/>
                <w:bCs/>
                <w:sz w:val="24"/>
                <w:szCs w:val="24"/>
                <w:lang w:val="en-US" w:eastAsia="zh-CN"/>
              </w:rPr>
              <w:t>46</w:t>
            </w:r>
            <w:r>
              <w:rPr>
                <w:rFonts w:hint="eastAsia" w:ascii="宋体" w:hAnsi="宋体" w:eastAsia="宋体" w:cs="宋体"/>
                <w:bCs/>
                <w:sz w:val="24"/>
                <w:szCs w:val="24"/>
                <w:lang w:val="zh-CN"/>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（四）原则同意《方案》中提出的预防控制措施和复垦措施。</w:t>
            </w:r>
          </w:p>
          <w:p>
            <w:pPr>
              <w:spacing w:line="360" w:lineRule="auto"/>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预防控制措施</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各种生产建设活动应严格控制在矿权范围（征地范围线）内，做好土壤和植被的保护措施，施工过程中产生的固废要及时处理。</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合理地布置工作面及开采顺序，最大程度降低因露天开采挖损对地表土地的损毁。</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在露天采场设置排水措施、水土保持措施等，防止</w:t>
            </w:r>
            <w:r>
              <w:rPr>
                <w:rFonts w:hint="eastAsia" w:ascii="宋体" w:hAnsi="宋体" w:eastAsia="宋体" w:cs="宋体"/>
                <w:sz w:val="24"/>
                <w:szCs w:val="24"/>
              </w:rPr>
              <w:t>坡体失稳</w:t>
            </w:r>
            <w:r>
              <w:rPr>
                <w:rFonts w:hint="eastAsia" w:ascii="宋体" w:hAnsi="宋体" w:eastAsia="宋体" w:cs="宋体"/>
                <w:color w:val="000000"/>
                <w:sz w:val="24"/>
                <w:szCs w:val="24"/>
              </w:rPr>
              <w:t>、水土流失，预防处理措施得当。</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对露天采区布设监测措施，监控点布设基本合理，方法得当。</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在露天采场周边设置警示</w:t>
            </w:r>
            <w:r>
              <w:rPr>
                <w:rFonts w:hint="eastAsia" w:ascii="宋体" w:hAnsi="宋体" w:eastAsia="宋体" w:cs="宋体"/>
                <w:sz w:val="24"/>
                <w:szCs w:val="24"/>
              </w:rPr>
              <w:t>标志，防止附近村民、牲畜不慎跌落，造成人员及经济损失</w:t>
            </w:r>
            <w:r>
              <w:rPr>
                <w:rFonts w:hint="eastAsia" w:ascii="宋体" w:hAnsi="宋体" w:eastAsia="宋体" w:cs="宋体"/>
                <w:color w:val="000000"/>
                <w:sz w:val="24"/>
                <w:szCs w:val="24"/>
              </w:rPr>
              <w:t>，预防处理措施得当。</w:t>
            </w:r>
          </w:p>
          <w:p>
            <w:pPr>
              <w:spacing w:line="360" w:lineRule="auto"/>
              <w:ind w:firstLine="559" w:firstLineChars="233"/>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工程技术措施：（1）</w:t>
            </w:r>
            <w:r>
              <w:rPr>
                <w:rFonts w:hint="eastAsia" w:ascii="宋体" w:hAnsi="宋体" w:eastAsia="宋体" w:cs="宋体"/>
                <w:color w:val="000000"/>
                <w:sz w:val="24"/>
                <w:szCs w:val="24"/>
                <w:lang w:eastAsia="zh-CN"/>
              </w:rPr>
              <w:t>办公生活区</w:t>
            </w:r>
            <w:r>
              <w:rPr>
                <w:rFonts w:hint="eastAsia" w:ascii="宋体" w:hAnsi="宋体" w:eastAsia="宋体" w:cs="宋体"/>
                <w:color w:val="000000"/>
                <w:sz w:val="24"/>
                <w:szCs w:val="24"/>
              </w:rPr>
              <w:t>及</w:t>
            </w:r>
            <w:r>
              <w:rPr>
                <w:rFonts w:hint="eastAsia" w:ascii="宋体" w:hAnsi="宋体" w:eastAsia="宋体" w:cs="宋体"/>
                <w:color w:val="000000"/>
                <w:sz w:val="24"/>
                <w:szCs w:val="24"/>
                <w:lang w:eastAsia="zh-CN"/>
              </w:rPr>
              <w:t>一采区</w:t>
            </w:r>
            <w:r>
              <w:rPr>
                <w:rFonts w:hint="eastAsia" w:ascii="宋体" w:hAnsi="宋体" w:eastAsia="宋体" w:cs="宋体"/>
                <w:color w:val="000000"/>
                <w:sz w:val="24"/>
                <w:szCs w:val="24"/>
              </w:rPr>
              <w:t>露天采场底部复垦工程措施：场地停止使用后，首先对不保留的建筑及生产设施进行拆除及场地清理，并进行覆土，促进耕作条件，对复垦为旱地区域采取生物化学措施进行土壤改良。（2）矿山工业广场、</w:t>
            </w:r>
            <w:r>
              <w:rPr>
                <w:rFonts w:hint="eastAsia" w:ascii="宋体" w:hAnsi="宋体" w:eastAsia="宋体" w:cs="宋体"/>
                <w:color w:val="000000"/>
                <w:sz w:val="24"/>
                <w:szCs w:val="24"/>
                <w:lang w:eastAsia="zh-CN"/>
              </w:rPr>
              <w:t>二采区</w:t>
            </w:r>
            <w:r>
              <w:rPr>
                <w:rFonts w:hint="eastAsia" w:ascii="宋体" w:hAnsi="宋体" w:eastAsia="宋体" w:cs="宋体"/>
                <w:color w:val="000000"/>
                <w:sz w:val="24"/>
                <w:szCs w:val="24"/>
              </w:rPr>
              <w:t>露天采场底部复垦工程措施：采取乔灌草结合方式复垦为乔木林地，边坡区域在坡脚种植藤本植物</w:t>
            </w:r>
            <w:r>
              <w:rPr>
                <w:rFonts w:hint="eastAsia" w:ascii="宋体" w:hAnsi="宋体" w:eastAsia="宋体" w:cs="宋体"/>
                <w:snapToGrid w:val="0"/>
                <w:kern w:val="0"/>
                <w:sz w:val="24"/>
                <w:szCs w:val="24"/>
              </w:rPr>
              <w:t>以保持水土，增加绿化</w:t>
            </w:r>
            <w:r>
              <w:rPr>
                <w:rFonts w:hint="eastAsia" w:ascii="宋体" w:hAnsi="宋体" w:eastAsia="宋体" w:cs="宋体"/>
                <w:color w:val="000000"/>
                <w:sz w:val="24"/>
                <w:szCs w:val="24"/>
              </w:rPr>
              <w:t>。（3）</w:t>
            </w:r>
            <w:r>
              <w:rPr>
                <w:rFonts w:hint="eastAsia" w:ascii="宋体" w:hAnsi="宋体" w:eastAsia="宋体" w:cs="宋体"/>
                <w:bCs/>
                <w:snapToGrid w:val="0"/>
                <w:kern w:val="0"/>
                <w:sz w:val="24"/>
                <w:szCs w:val="24"/>
              </w:rPr>
              <w:t>安全平台开采边坡</w:t>
            </w:r>
            <w:r>
              <w:rPr>
                <w:rFonts w:hint="eastAsia" w:ascii="宋体" w:hAnsi="宋体" w:eastAsia="宋体" w:cs="宋体"/>
                <w:color w:val="000000"/>
                <w:sz w:val="24"/>
                <w:szCs w:val="24"/>
              </w:rPr>
              <w:t>复垦工程措施：对开采区域采取乔灌草结合方式复垦为乔木林地，边坡区域在坡脚种植藤本植物</w:t>
            </w:r>
            <w:r>
              <w:rPr>
                <w:rFonts w:hint="eastAsia" w:ascii="宋体" w:hAnsi="宋体" w:eastAsia="宋体" w:cs="宋体"/>
                <w:snapToGrid w:val="0"/>
                <w:kern w:val="0"/>
                <w:sz w:val="24"/>
                <w:szCs w:val="24"/>
              </w:rPr>
              <w:t>以保持水土，增加绿化</w:t>
            </w:r>
            <w:r>
              <w:rPr>
                <w:rFonts w:hint="eastAsia" w:ascii="宋体" w:hAnsi="宋体" w:eastAsia="宋体" w:cs="宋体"/>
                <w:color w:val="000000"/>
                <w:sz w:val="24"/>
                <w:szCs w:val="24"/>
              </w:rPr>
              <w:t>。（4）复垦监测措施：对整个复垦过程的复垦措施、复垦效果等动态监测。</w:t>
            </w:r>
          </w:p>
          <w:p>
            <w:pPr>
              <w:spacing w:line="360" w:lineRule="auto"/>
              <w:ind w:firstLine="559" w:firstLineChars="233"/>
              <w:rPr>
                <w:rFonts w:hint="eastAsia" w:ascii="宋体" w:hAnsi="宋体" w:eastAsia="宋体" w:cs="宋体"/>
                <w:color w:val="000000"/>
                <w:sz w:val="24"/>
                <w:szCs w:val="24"/>
              </w:rPr>
            </w:pPr>
            <w:r>
              <w:rPr>
                <w:rFonts w:hint="eastAsia" w:ascii="宋体" w:hAnsi="宋体" w:eastAsia="宋体" w:cs="宋体"/>
                <w:color w:val="000000"/>
                <w:sz w:val="24"/>
                <w:szCs w:val="24"/>
              </w:rPr>
              <w:t>生物化学措施：（1）对于绿化新增的林、草地，优选当地优势树种，进行科学种植和精心管理。（2）对林地进行适时管理，包括浇水、施肥、除草、除虫等，同时淘汰劣质树种。（3）土壤改良，采用客土法、绿肥法等方法，对复垦后的土层进行改良，提高土体有机质含量。</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（五）原则同意《方案》中提出的土地复垦标准、工程设计及工程量测算。在具体实施过程中，要进一步加强并细化复垦工程设计，明确施工过程中的具体参数，增加方案的可操作性。</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（六）原则同意土地复垦投资估（概）算结果。确定复垦工程静态总投资为</w:t>
            </w:r>
            <w:r>
              <w:rPr>
                <w:rFonts w:hint="eastAsia" w:ascii="宋体" w:hAnsi="宋体" w:eastAsia="宋体" w:cs="宋体"/>
                <w:sz w:val="24"/>
                <w:szCs w:val="24"/>
                <w:lang w:val="en-US" w:eastAsia="zh-CN"/>
              </w:rPr>
              <w:t>109.2</w:t>
            </w:r>
            <w:r>
              <w:rPr>
                <w:rFonts w:hint="eastAsia" w:ascii="宋体" w:hAnsi="宋体" w:eastAsia="宋体" w:cs="宋体"/>
                <w:color w:val="000000"/>
                <w:sz w:val="24"/>
                <w:szCs w:val="24"/>
              </w:rPr>
              <w:t>万元，亩均静态投资</w:t>
            </w:r>
            <w:r>
              <w:rPr>
                <w:rFonts w:hint="eastAsia" w:ascii="宋体" w:hAnsi="宋体" w:eastAsia="宋体" w:cs="宋体"/>
                <w:sz w:val="24"/>
                <w:szCs w:val="24"/>
                <w:lang w:val="en-US" w:eastAsia="zh-CN"/>
              </w:rPr>
              <w:t>7373.89</w:t>
            </w:r>
            <w:r>
              <w:rPr>
                <w:rFonts w:hint="eastAsia" w:ascii="宋体" w:hAnsi="宋体" w:eastAsia="宋体" w:cs="宋体"/>
                <w:color w:val="000000"/>
                <w:sz w:val="24"/>
                <w:szCs w:val="24"/>
              </w:rPr>
              <w:t>元。其中方案适用期（5年）内静态投资</w:t>
            </w:r>
            <w:r>
              <w:rPr>
                <w:rFonts w:hint="eastAsia" w:ascii="宋体" w:hAnsi="宋体" w:eastAsia="宋体" w:cs="宋体"/>
                <w:sz w:val="24"/>
                <w:szCs w:val="24"/>
                <w:lang w:val="en-US" w:eastAsia="zh-CN"/>
              </w:rPr>
              <w:t>34.82</w:t>
            </w:r>
            <w:r>
              <w:rPr>
                <w:rFonts w:hint="eastAsia" w:ascii="宋体" w:hAnsi="宋体" w:eastAsia="宋体" w:cs="宋体"/>
                <w:color w:val="000000"/>
                <w:sz w:val="24"/>
                <w:szCs w:val="24"/>
              </w:rPr>
              <w:t>万元，开采中后期静态投资</w:t>
            </w:r>
            <w:r>
              <w:rPr>
                <w:rFonts w:hint="eastAsia" w:ascii="宋体" w:hAnsi="宋体" w:eastAsia="宋体" w:cs="宋体"/>
                <w:sz w:val="24"/>
                <w:szCs w:val="24"/>
                <w:lang w:val="en-US" w:eastAsia="zh-CN"/>
              </w:rPr>
              <w:t>74.38</w:t>
            </w:r>
            <w:r>
              <w:rPr>
                <w:rFonts w:hint="eastAsia" w:ascii="宋体" w:hAnsi="宋体" w:eastAsia="宋体" w:cs="宋体"/>
                <w:color w:val="000000"/>
                <w:sz w:val="24"/>
                <w:szCs w:val="24"/>
              </w:rPr>
              <w:t>万元。复垦工程动态总投资为</w:t>
            </w:r>
            <w:r>
              <w:rPr>
                <w:rFonts w:hint="eastAsia" w:ascii="宋体" w:hAnsi="宋体" w:eastAsia="宋体" w:cs="宋体"/>
                <w:sz w:val="24"/>
                <w:szCs w:val="24"/>
                <w:lang w:val="en-US" w:eastAsia="zh-CN"/>
              </w:rPr>
              <w:t>134.73</w:t>
            </w:r>
            <w:r>
              <w:rPr>
                <w:rFonts w:hint="eastAsia" w:ascii="宋体" w:hAnsi="宋体" w:eastAsia="宋体" w:cs="宋体"/>
                <w:color w:val="000000"/>
                <w:sz w:val="24"/>
                <w:szCs w:val="24"/>
              </w:rPr>
              <w:t>万元，亩均投资</w:t>
            </w:r>
            <w:r>
              <w:rPr>
                <w:rFonts w:hint="eastAsia" w:ascii="宋体" w:hAnsi="宋体" w:eastAsia="宋体" w:cs="宋体"/>
                <w:sz w:val="24"/>
                <w:szCs w:val="24"/>
              </w:rPr>
              <w:t>9037.07</w:t>
            </w:r>
            <w:r>
              <w:rPr>
                <w:rFonts w:hint="eastAsia" w:ascii="宋体" w:hAnsi="宋体" w:eastAsia="宋体" w:cs="宋体"/>
                <w:color w:val="000000"/>
                <w:sz w:val="24"/>
                <w:szCs w:val="24"/>
              </w:rPr>
              <w:t>元。其中方案适用期（5年）动态投资为</w:t>
            </w:r>
            <w:r>
              <w:rPr>
                <w:rFonts w:hint="eastAsia" w:ascii="宋体" w:hAnsi="宋体" w:eastAsia="宋体" w:cs="宋体"/>
                <w:sz w:val="24"/>
                <w:szCs w:val="24"/>
                <w:lang w:val="en-US" w:eastAsia="zh-CN"/>
              </w:rPr>
              <w:t>37.22</w:t>
            </w:r>
            <w:r>
              <w:rPr>
                <w:rFonts w:hint="eastAsia" w:ascii="宋体" w:hAnsi="宋体" w:eastAsia="宋体" w:cs="宋体"/>
                <w:color w:val="000000"/>
                <w:sz w:val="24"/>
                <w:szCs w:val="24"/>
              </w:rPr>
              <w:t>万元；开采中后期动态投资为97.51万元。</w:t>
            </w:r>
            <w:r>
              <w:rPr>
                <w:rFonts w:hint="eastAsia" w:ascii="宋体" w:hAnsi="宋体" w:eastAsia="宋体" w:cs="宋体"/>
                <w:color w:val="000000"/>
                <w:sz w:val="24"/>
                <w:szCs w:val="24"/>
                <w:lang w:val="zh-CN"/>
              </w:rPr>
              <w:t>项目复垦资金预存按复垦</w:t>
            </w:r>
            <w:r>
              <w:rPr>
                <w:rFonts w:hint="eastAsia" w:ascii="宋体" w:hAnsi="宋体" w:eastAsia="宋体" w:cs="宋体"/>
                <w:color w:val="000000"/>
                <w:sz w:val="24"/>
                <w:szCs w:val="24"/>
              </w:rPr>
              <w:t>方案服务年限进行预存，首期预存资金不低于静态总投资的20%，首期预存资金</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2.00万元</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业主单位要进一步明确土地复垦费用从建设或生产成本中提取，加大土地复垦前期提取额度，并根据复垦工作安排制定土地复垦计划，采取有效措施保障复垦费专款专用。费用不足的，要及时足额追加投资，确保土地复垦工作的顺利进行。</w:t>
            </w:r>
          </w:p>
          <w:p>
            <w:pPr>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四、专家组强调事项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（一）评估区无崩塌、滑坡、泥石流、地面塌陷、地面沉降、地裂缝等现状地质灾害分布，但开采边坡问题突出，随着矿山开采可能出现崩塌或滑坡，危及矿山开采机械和人员安全，应加强监测、做好防范。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（二）工程治理措施要有针对性，特别是对废石场的治理及弃渣的管控。</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请项目业主单位与项目所在地国土资源管理部门签订土地复垦资金监管协议，落实双方责任关系，明确土地复垦资金提取计划、开展土地复垦工作计划，并按要求定期向上级国土资源主管部门报告土地复垦资金提取使用和土地复垦实施情况，接受各级国土资源管理部门的监督和检查。</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如项目地点、矿区范围、生产规模、生产工艺、开采方式、开采矿种或工业及建筑场地、废石场等发生重大变化以及申请延续、转让采矿权时方案时效性已过期的，需按相关规定和要求重新组织编报或修编矿山地质环境保护与土地复垦方案，并及时报原审查单位审查并备案。</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（五）矿山损毁土地中未涉及基本农田。</w:t>
            </w:r>
          </w:p>
          <w:p>
            <w:pPr>
              <w:pStyle w:val="9"/>
              <w:spacing w:before="202" w:line="360" w:lineRule="auto"/>
              <w:ind w:left="734"/>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五、评审结果</w:t>
            </w:r>
          </w:p>
          <w:p>
            <w:pPr>
              <w:spacing w:line="360" w:lineRule="auto"/>
              <w:ind w:firstLine="448" w:firstLineChars="200"/>
              <w:jc w:val="left"/>
              <w:rPr>
                <w:rFonts w:hint="eastAsia" w:ascii="宋体" w:hAnsi="宋体" w:eastAsia="宋体" w:cs="宋体"/>
                <w:spacing w:val="-4"/>
                <w:sz w:val="24"/>
                <w:szCs w:val="24"/>
                <w:highlight w:val="none"/>
              </w:rPr>
            </w:pPr>
            <w:r>
              <w:rPr>
                <w:rFonts w:hint="eastAsia" w:ascii="宋体" w:hAnsi="宋体" w:eastAsia="宋体" w:cs="宋体"/>
                <w:spacing w:val="-8"/>
                <w:sz w:val="24"/>
                <w:szCs w:val="24"/>
                <w:highlight w:val="none"/>
              </w:rPr>
              <w:t>综上所述，《</w:t>
            </w:r>
            <w:r>
              <w:rPr>
                <w:rFonts w:hint="eastAsia" w:ascii="宋体" w:hAnsi="宋体" w:eastAsia="宋体" w:cs="宋体"/>
                <w:sz w:val="24"/>
                <w:highlight w:val="none"/>
                <w:lang w:eastAsia="zh-CN"/>
              </w:rPr>
              <w:t>宣威市恒聚鑫采石有限公司宣威市务德镇大桥顺进石厂</w:t>
            </w:r>
            <w:r>
              <w:rPr>
                <w:rFonts w:hint="eastAsia" w:ascii="宋体" w:hAnsi="宋体" w:eastAsia="宋体" w:cs="宋体"/>
                <w:spacing w:val="-8"/>
                <w:sz w:val="24"/>
                <w:szCs w:val="24"/>
                <w:highlight w:val="none"/>
              </w:rPr>
              <w:t>矿山地质环境保护与土地复</w:t>
            </w:r>
            <w:r>
              <w:rPr>
                <w:rFonts w:hint="eastAsia" w:ascii="宋体" w:hAnsi="宋体" w:eastAsia="宋体" w:cs="宋体"/>
                <w:spacing w:val="-6"/>
                <w:sz w:val="24"/>
                <w:szCs w:val="24"/>
                <w:highlight w:val="none"/>
              </w:rPr>
              <w:t>垦方案》的编制基本符合有关文件及技术规范、标准的要求，相关分析依据充分，</w:t>
            </w:r>
            <w:r>
              <w:rPr>
                <w:rFonts w:hint="eastAsia" w:ascii="宋体" w:hAnsi="宋体" w:eastAsia="宋体" w:cs="宋体"/>
                <w:spacing w:val="-3"/>
                <w:sz w:val="24"/>
                <w:szCs w:val="24"/>
                <w:highlight w:val="none"/>
              </w:rPr>
              <w:t>结论基本准确，采取的预防措施、工程技术措施基本可行，投资估算结果基本准确，拟定的工作计划实施基本合理。专家组同意通过评审，编制</w:t>
            </w:r>
            <w:r>
              <w:rPr>
                <w:rFonts w:hint="eastAsia" w:ascii="宋体" w:hAnsi="宋体" w:eastAsia="宋体" w:cs="宋体"/>
                <w:spacing w:val="-4"/>
                <w:sz w:val="24"/>
                <w:szCs w:val="24"/>
                <w:highlight w:val="none"/>
              </w:rPr>
              <w:t>单位已按专家组</w:t>
            </w:r>
            <w:r>
              <w:rPr>
                <w:rFonts w:hint="eastAsia" w:ascii="宋体" w:hAnsi="宋体" w:eastAsia="宋体" w:cs="宋体"/>
                <w:spacing w:val="-3"/>
                <w:sz w:val="24"/>
                <w:szCs w:val="24"/>
                <w:highlight w:val="none"/>
              </w:rPr>
              <w:t>意见修改完善并报专家组长复核，可按规定程序上报备案</w:t>
            </w:r>
            <w:r>
              <w:rPr>
                <w:rFonts w:hint="eastAsia" w:ascii="宋体" w:hAnsi="宋体" w:eastAsia="宋体" w:cs="宋体"/>
                <w:spacing w:val="-4"/>
                <w:sz w:val="24"/>
                <w:szCs w:val="24"/>
                <w:highlight w:val="none"/>
              </w:rPr>
              <w:t>和提供使用。</w:t>
            </w:r>
          </w:p>
          <w:p>
            <w:pPr>
              <w:pStyle w:val="9"/>
              <w:spacing w:before="229" w:line="360"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78" w:line="509" w:lineRule="exact"/>
              <w:ind w:right="56"/>
              <w:jc w:val="center"/>
              <w:rPr>
                <w:rFonts w:hint="eastAsia" w:ascii="宋体" w:hAnsi="宋体" w:eastAsia="宋体" w:cs="宋体"/>
                <w:sz w:val="24"/>
                <w:szCs w:val="24"/>
                <w:highlight w:val="none"/>
              </w:rPr>
            </w:pPr>
            <w:r>
              <w:rPr>
                <w:rFonts w:hint="eastAsia" w:ascii="宋体" w:hAnsi="宋体" w:eastAsia="宋体" w:cs="宋体"/>
                <w:spacing w:val="4"/>
                <w:position w:val="20"/>
                <w:sz w:val="24"/>
                <w:szCs w:val="24"/>
                <w:highlight w:val="none"/>
                <w:lang w:val="en-US" w:eastAsia="zh-CN"/>
              </w:rPr>
              <w:t xml:space="preserve">                          </w:t>
            </w:r>
            <w:r>
              <w:rPr>
                <w:rFonts w:hint="eastAsia" w:ascii="宋体" w:hAnsi="宋体" w:eastAsia="宋体" w:cs="宋体"/>
                <w:spacing w:val="4"/>
                <w:position w:val="20"/>
                <w:sz w:val="24"/>
                <w:szCs w:val="24"/>
                <w:highlight w:val="none"/>
              </w:rPr>
              <w:t>专家组组长(签名):</w:t>
            </w:r>
          </w:p>
          <w:p>
            <w:pPr>
              <w:pStyle w:val="9"/>
              <w:spacing w:before="229" w:line="213" w:lineRule="auto"/>
              <w:ind w:left="720" w:firstLine="4674" w:firstLineChars="1900"/>
              <w:rPr>
                <w:rFonts w:hint="eastAsia" w:ascii="宋体" w:hAnsi="宋体" w:eastAsia="宋体" w:cs="宋体"/>
                <w:spacing w:val="-4"/>
                <w:sz w:val="24"/>
                <w:szCs w:val="24"/>
                <w:highlight w:val="none"/>
              </w:rPr>
            </w:pPr>
            <w:r>
              <w:rPr>
                <w:rFonts w:hint="eastAsia" w:ascii="宋体" w:hAnsi="宋体" w:eastAsia="宋体" w:cs="宋体"/>
                <w:spacing w:val="3"/>
                <w:sz w:val="24"/>
                <w:szCs w:val="24"/>
                <w:highlight w:val="none"/>
              </w:rPr>
              <w:t>年</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日</w:t>
            </w:r>
          </w:p>
          <w:p>
            <w:pPr>
              <w:pStyle w:val="9"/>
              <w:spacing w:before="229" w:line="213" w:lineRule="auto"/>
              <w:ind w:left="720"/>
              <w:rPr>
                <w:rFonts w:hint="eastAsia" w:ascii="宋体" w:hAnsi="宋体" w:eastAsia="宋体" w:cs="宋体"/>
                <w:spacing w:val="-4"/>
                <w:sz w:val="24"/>
                <w:szCs w:val="24"/>
                <w:highlight w:val="yellow"/>
              </w:rPr>
            </w:pPr>
          </w:p>
          <w:p>
            <w:pPr>
              <w:pStyle w:val="9"/>
              <w:spacing w:before="229" w:line="213" w:lineRule="auto"/>
              <w:rPr>
                <w:rFonts w:hint="eastAsia" w:ascii="宋体" w:hAnsi="宋体" w:eastAsia="宋体" w:cs="宋体"/>
                <w:spacing w:val="-4"/>
                <w:sz w:val="24"/>
                <w:szCs w:val="24"/>
                <w:highlight w:val="yellow"/>
              </w:rPr>
            </w:pPr>
          </w:p>
        </w:tc>
      </w:tr>
    </w:tbl>
    <w:p>
      <w:pPr>
        <w:rPr>
          <w:rFonts w:ascii="Arial"/>
          <w:sz w:val="21"/>
          <w:highlight w:val="yellow"/>
        </w:rPr>
      </w:pPr>
    </w:p>
    <w:p>
      <w:pPr>
        <w:rPr>
          <w:rFonts w:ascii="Arial" w:hAnsi="Arial" w:eastAsia="Arial" w:cs="Arial"/>
          <w:sz w:val="21"/>
          <w:szCs w:val="21"/>
          <w:highlight w:val="yellow"/>
        </w:rPr>
        <w:sectPr>
          <w:pgSz w:w="11910" w:h="16850"/>
          <w:pgMar w:top="1410" w:right="1054" w:bottom="1248" w:left="1405" w:header="0" w:footer="1109" w:gutter="0"/>
          <w:pgNumType w:fmt="decimal"/>
          <w:cols w:space="720" w:num="1"/>
        </w:sectPr>
      </w:pPr>
    </w:p>
    <w:p>
      <w:pPr>
        <w:rPr>
          <w:rFonts w:ascii="Arial"/>
          <w:sz w:val="21"/>
          <w:highlight w:val="yellow"/>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204" w:line="219" w:lineRule="auto"/>
        <w:ind w:left="2229"/>
        <w:rPr>
          <w:rFonts w:hint="eastAsia" w:ascii="宋体" w:hAnsi="宋体" w:eastAsia="宋体" w:cs="宋体"/>
          <w:b/>
          <w:bCs/>
          <w:spacing w:val="20"/>
          <w:sz w:val="36"/>
          <w:szCs w:val="36"/>
          <w:lang w:eastAsia="zh-CN"/>
        </w:rPr>
      </w:pPr>
      <w:r>
        <w:rPr>
          <w:rFonts w:hint="eastAsia" w:ascii="宋体" w:hAnsi="宋体" w:eastAsia="宋体" w:cs="宋体"/>
          <w:b/>
          <w:bCs/>
          <w:spacing w:val="20"/>
          <w:sz w:val="36"/>
          <w:szCs w:val="36"/>
          <w:lang w:eastAsia="zh-CN"/>
        </w:rPr>
        <w:t>宣威市恒聚鑫采石有限公司宣威市务德镇大桥顺进石厂</w:t>
      </w:r>
    </w:p>
    <w:p>
      <w:pPr>
        <w:spacing w:before="204" w:line="219" w:lineRule="auto"/>
        <w:ind w:left="2229" w:firstLine="401" w:firstLineChars="100"/>
        <w:jc w:val="both"/>
        <w:rPr>
          <w:rFonts w:hint="eastAsia" w:ascii="宋体" w:hAnsi="宋体" w:eastAsia="宋体" w:cs="宋体"/>
          <w:sz w:val="36"/>
          <w:szCs w:val="36"/>
        </w:rPr>
      </w:pPr>
      <w:r>
        <w:rPr>
          <w:rFonts w:hint="eastAsia" w:ascii="宋体" w:hAnsi="宋体" w:eastAsia="宋体" w:cs="宋体"/>
          <w:b/>
          <w:bCs/>
          <w:spacing w:val="20"/>
          <w:sz w:val="36"/>
          <w:szCs w:val="36"/>
        </w:rPr>
        <w:t>矿山地质环境保护与土地复垦方案评审专家组名单</w:t>
      </w:r>
    </w:p>
    <w:p>
      <w:pPr>
        <w:spacing w:before="39"/>
        <w:rPr>
          <w:rFonts w:hint="eastAsia" w:ascii="宋体" w:hAnsi="宋体" w:eastAsia="宋体" w:cs="宋体"/>
          <w:sz w:val="36"/>
          <w:szCs w:val="36"/>
        </w:rPr>
      </w:pPr>
    </w:p>
    <w:p>
      <w:pPr>
        <w:spacing w:before="38"/>
        <w:rPr>
          <w:rFonts w:hint="eastAsia" w:ascii="宋体" w:hAnsi="宋体" w:eastAsia="宋体" w:cs="宋体"/>
          <w:sz w:val="36"/>
          <w:szCs w:val="36"/>
        </w:rPr>
      </w:pPr>
    </w:p>
    <w:tbl>
      <w:tblPr>
        <w:tblStyle w:val="8"/>
        <w:tblW w:w="127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409"/>
        <w:gridCol w:w="7864"/>
        <w:gridCol w:w="2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pPr>
              <w:pStyle w:val="9"/>
              <w:spacing w:before="165" w:line="221" w:lineRule="auto"/>
              <w:ind w:left="239"/>
              <w:rPr>
                <w:rFonts w:hint="eastAsia" w:ascii="宋体" w:hAnsi="宋体" w:eastAsia="宋体" w:cs="宋体"/>
                <w:sz w:val="36"/>
                <w:szCs w:val="36"/>
                <w:highlight w:val="none"/>
              </w:rPr>
            </w:pPr>
            <w:r>
              <w:rPr>
                <w:rFonts w:hint="eastAsia" w:ascii="宋体" w:hAnsi="宋体" w:eastAsia="宋体" w:cs="宋体"/>
                <w:b/>
                <w:bCs/>
                <w:spacing w:val="1"/>
                <w:sz w:val="36"/>
                <w:szCs w:val="36"/>
                <w:highlight w:val="none"/>
              </w:rPr>
              <w:t>序号</w:t>
            </w:r>
          </w:p>
        </w:tc>
        <w:tc>
          <w:tcPr>
            <w:tcW w:w="1409" w:type="dxa"/>
            <w:vAlign w:val="top"/>
          </w:tcPr>
          <w:p>
            <w:pPr>
              <w:pStyle w:val="9"/>
              <w:spacing w:before="163" w:line="219" w:lineRule="auto"/>
              <w:ind w:left="385"/>
              <w:rPr>
                <w:rFonts w:hint="eastAsia" w:ascii="宋体" w:hAnsi="宋体" w:eastAsia="宋体" w:cs="宋体"/>
                <w:sz w:val="36"/>
                <w:szCs w:val="36"/>
                <w:highlight w:val="none"/>
              </w:rPr>
            </w:pPr>
            <w:r>
              <w:rPr>
                <w:rFonts w:hint="eastAsia" w:ascii="宋体" w:hAnsi="宋体" w:eastAsia="宋体" w:cs="宋体"/>
                <w:b/>
                <w:bCs/>
                <w:spacing w:val="12"/>
                <w:sz w:val="36"/>
                <w:szCs w:val="36"/>
                <w:highlight w:val="none"/>
              </w:rPr>
              <w:t>姓名</w:t>
            </w:r>
          </w:p>
        </w:tc>
        <w:tc>
          <w:tcPr>
            <w:tcW w:w="7864" w:type="dxa"/>
            <w:vAlign w:val="top"/>
          </w:tcPr>
          <w:p>
            <w:pPr>
              <w:pStyle w:val="9"/>
              <w:spacing w:before="164" w:line="220" w:lineRule="auto"/>
              <w:ind w:left="3306"/>
              <w:rPr>
                <w:rFonts w:hint="eastAsia" w:ascii="宋体" w:hAnsi="宋体" w:eastAsia="宋体" w:cs="宋体"/>
                <w:sz w:val="36"/>
                <w:szCs w:val="36"/>
                <w:highlight w:val="none"/>
              </w:rPr>
            </w:pPr>
            <w:r>
              <w:rPr>
                <w:rFonts w:hint="eastAsia" w:ascii="宋体" w:hAnsi="宋体" w:eastAsia="宋体" w:cs="宋体"/>
                <w:b/>
                <w:bCs/>
                <w:spacing w:val="-7"/>
                <w:sz w:val="36"/>
                <w:szCs w:val="36"/>
                <w:highlight w:val="none"/>
              </w:rPr>
              <w:t>工作单位</w:t>
            </w:r>
          </w:p>
        </w:tc>
        <w:tc>
          <w:tcPr>
            <w:tcW w:w="2343" w:type="dxa"/>
            <w:vAlign w:val="top"/>
          </w:tcPr>
          <w:p>
            <w:pPr>
              <w:pStyle w:val="9"/>
              <w:spacing w:before="167" w:line="221" w:lineRule="auto"/>
              <w:ind w:left="862"/>
              <w:rPr>
                <w:rFonts w:hint="eastAsia" w:ascii="宋体" w:hAnsi="宋体" w:eastAsia="宋体" w:cs="宋体"/>
                <w:sz w:val="36"/>
                <w:szCs w:val="36"/>
                <w:highlight w:val="none"/>
              </w:rPr>
            </w:pPr>
            <w:r>
              <w:rPr>
                <w:rFonts w:hint="eastAsia" w:ascii="宋体" w:hAnsi="宋体" w:eastAsia="宋体" w:cs="宋体"/>
                <w:b/>
                <w:bCs/>
                <w:sz w:val="36"/>
                <w:szCs w:val="36"/>
                <w:highlight w:val="none"/>
              </w:rPr>
              <w:t>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14" w:type="dxa"/>
            <w:vAlign w:val="top"/>
          </w:tcPr>
          <w:p>
            <w:pPr>
              <w:pStyle w:val="9"/>
              <w:spacing w:before="243" w:line="184"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1</w:t>
            </w:r>
          </w:p>
        </w:tc>
        <w:tc>
          <w:tcPr>
            <w:tcW w:w="1409"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刘忠发</w:t>
            </w:r>
          </w:p>
        </w:tc>
        <w:tc>
          <w:tcPr>
            <w:tcW w:w="7864"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云南省地质工程勘察有限公司</w:t>
            </w:r>
          </w:p>
        </w:tc>
        <w:tc>
          <w:tcPr>
            <w:tcW w:w="2343"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5"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2</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冯江</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云南省生态环境厅驻曲靖市生态环境监测站</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正高级工程师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7"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3</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段  平</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曲靖市水务局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9"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4</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朱家诺</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宣威市林业和草原局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pPr>
              <w:pStyle w:val="9"/>
              <w:spacing w:before="253" w:line="182"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5</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孙红</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宣威市自然资源局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bl>
    <w:p>
      <w:pPr>
        <w:rPr>
          <w:rFonts w:ascii="Arial"/>
          <w:sz w:val="21"/>
        </w:rPr>
      </w:pPr>
    </w:p>
    <w:sectPr>
      <w:footerReference r:id="rId5" w:type="default"/>
      <w:pgSz w:w="16850" w:h="11910"/>
      <w:pgMar w:top="1012" w:right="1754" w:bottom="977" w:left="2355" w:header="0" w:footer="8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275"/>
      <w:rPr>
        <w:rFonts w:hint="default" w:ascii="宋体" w:hAnsi="宋体" w:eastAsia="宋体" w:cs="宋体"/>
        <w:sz w:val="14"/>
        <w:szCs w:val="14"/>
        <w:lang w:val="en-US" w:eastAsia="zh-CN"/>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ViYmNjNDhlMTU2NmY2ODZlODY2NGI2MjQxOTljN2UifQ=="/>
  </w:docVars>
  <w:rsids>
    <w:rsidRoot w:val="00000000"/>
    <w:rsid w:val="06931604"/>
    <w:rsid w:val="11C75F33"/>
    <w:rsid w:val="16BC6F6E"/>
    <w:rsid w:val="18D1084F"/>
    <w:rsid w:val="21CF0B8E"/>
    <w:rsid w:val="2C7E28AC"/>
    <w:rsid w:val="35727B09"/>
    <w:rsid w:val="3F972B6B"/>
    <w:rsid w:val="74E025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360" w:lineRule="auto"/>
      <w:ind w:left="420" w:leftChars="200" w:firstLine="420" w:firstLineChars="200"/>
    </w:pPr>
    <w:rPr>
      <w:sz w:val="28"/>
      <w:szCs w:val="22"/>
    </w:rPr>
  </w:style>
  <w:style w:type="paragraph" w:styleId="3">
    <w:name w:val="Body Text Inden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TotalTime>2</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2024-03-12T10:45:00Z</dcterms:created>
  <dc:creator>Kingsoft-PDF</dc:creator>
  <cp:lastModifiedBy>S.Liming</cp:lastModifiedBy>
  <dcterms:modified xsi:type="dcterms:W3CDTF">2024-05-11T03:08:55Z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2024-03-12T10:45:03Z</vt:filetime>
  </property>
  <property fmtid="{D5CDD505-2E9C-101B-9397-08002B2CF9AE}" pid="4" name="UsrData">
    <vt:lpwstr>65efc1ab71bc50001f4bbc3ewl</vt:lpwstr>
  </property>
  <property fmtid="{D5CDD505-2E9C-101B-9397-08002B2CF9AE}" pid="5" name="KSOProductBuildVer">
    <vt:lpwstr>2052-12.1.0.16729</vt:lpwstr>
  </property>
  <property fmtid="{D5CDD505-2E9C-101B-9397-08002B2CF9AE}" pid="6" name="ICV">
    <vt:lpwstr>B0695FACC422450689874A65366FEA6E_12</vt:lpwstr>
  </property>
</Properties>
</file>