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龙场镇2021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年度政府信息公开工作报告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</w:t>
      </w:r>
      <w:r>
        <w:rPr>
          <w:rFonts w:ascii="仿宋_GB2312" w:hAnsi="宋体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据《中华人民共和国政府信息公开条例》和《政府信息公开工作年度报告编发指南》要求，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龙场镇坚持“严格执法、全面真实、及时便民”的原则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各项工作任务圆满完成，现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汇报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组织领导及平台建设使用情况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（一）加强领导。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龙场镇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分重视政府信息公开工作,调整充实政务公开工作领导小组,建立工作机构，落实“主要领导亲自抓，分管领导具体抓，职能部门抓落实”的工作机制，切实保证了政府信息公开领导力量。领导小组下设办公室,确定二名政府信息公开负责人,负责信息公开日常工作;制定了工作计划,规范了工作制度,并将政府信息公开工作纳入年度目标考核指标体系,保政府信息公开工作持续良好开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（二）强化问责。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行政机关及其工作人员履行公开与告知义务过程中，不履行主动公开义务，公开的内容不全面、不准确、不真实，或者对行政相对人隐瞒应当提供的政务信息的，对公开的内容应予说明而不予说明解释的，公开不应当公开的政务信息和其他违反政务和行政告知有关规定的，追究有关责任人的行政过错责任；政府部门应当公开的决策信息未按规定公开的，迟报、谎报、瞒报、漏报突发公共事件的信息，或者通报、报送、公布虚假信息的，对主要负责人问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（三）扩大宣传。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党委政府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加强新闻媒体、有线电视、公共查阅室、宣传栏、电子公告牌等载体对政府信息公开工作的管理，充分发挥这些重要载体的作用，确保信息发现渠道的畅通、稳定。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级各部门及时上报相关信息,为政府信息公开提供及时准确依据。重点宣传《中华人民共和国政府信息公开条例》和《中华人民共和国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保守国家秘密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法》,要求将应公开的政府信息全面公开,又严格遵循保密规定,严禁将涉及国家秘密、商业秘密和个人隐私及其他按规定不宜或不能公开的政府信息对外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二、主动公开政府信息的情况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（一）主动公开范围。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2021年，我镇按照《中华人民共和国政府信息公开条例》规定的范围，重点公开了以下几方面的信息：经济和社会发展规划、专项规划、区域规划及相关政策；经济和社会发展统计信息；财政预算、决算报告；行政事业性收费的项目、依据、标准；政府集中采购项目的目录、标准及实施情况；行政许可的事项、依据、条件、数量、程序、期限以及申请行政许可需要提交的全部材料目录及办理情况；重大建设项目的批准和实施情况；扶贫、教育、医疗、社会保障、促进就业等方面的政策、措施及其实施情况；环境保护、公共卫生、安全生产、食品药品、产品质量的监督检查情况；城乡建设和管理的重大事项；社会公益事业建设情况；征收或者征用土地、房屋拆迁及其补偿、补助费用的发放、使用情况；抢险救灾、优抚、救济、社会捐助等款物的管理、使用和分配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（二）主动公开形式。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是网站。我们建立了政府信息公开资源库，各站(所)产生的信息按规定应该向社会公开的信息，统一由专人上传乡政府门户网站的政府信息公开资源库，实现了科学分类、集中公开，进一步方便社会公众获取。同时，相关部门也安排专人对本单位的网站进行维护管理，及时收集、整理本单位的各类政府信息，及时上网公开。二是通过新闻和报刊形式，公开与人民群众广泛关注的政府信息。三是利用村务公开栏、板报、简报和村民大会的形式向老百姓公开各类政务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（三）主动公开时间。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政务公开的时间与公开的内容相适应，采取长期、定期公开、随时公开相结合的方式进行，做到政策性内容长期公开，经常性工作定期公开，阶段性工作逐步公开，临时性工作随时公开。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、政府信息公开收费及减免情况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2021年，我镇无收费及减免的政府信息办理事项。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、因政府信息公开受理行政复议、提起行政诉讼的情况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ab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全年，未发生因政府信息公开而被申请行政复议、提起行政诉讼和接受行政申诉、举报的情况。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五、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存在的主要问题和改进措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(一)公开内容需要进一步深化。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重点工作信息公开不够全面，时效性还有待进一步强，主动公开的政府信息与公众需求还存在一些距离，有关决策、规定、规划、计划、方案的公开，听取公众意见方面还需要进一步加强。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 xml:space="preserve"> (二)公开信息及形式有待完善。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宣传和引导工作还需要进一步加强，主动公开力度还需加强，比较重视通过网站公开政府信息，公开形式不够丰富。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下一步，我镇将对症下药，采取积极有效的措施，全面推进政务公开工作: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 xml:space="preserve">   (一)加大工作力度。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及时发布和更新依法应主动公开的政府信息，确保及时性。进一步完善政府信息公开制度，不断建立健全工作机制，维护政府信息公开工作的正常秩序。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(二)丰富公开形式。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在进一步加强政府网站信息公开专栏建设的同时，增加农村群众的政府信息公开查询点，为广大人民群众提供完整、详细的资料。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 xml:space="preserve"> (三)建立长效机制。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把政府信息公开工作纳入绩效考评内容。建立和完善政府信息公开内容审查和更新维护、促进信息公开工作制度化、规范化发展，深入、持续、高效的开展政府信息公开工作。</w:t>
      </w:r>
    </w:p>
    <w:p>
      <w:pPr>
        <w:widowControl/>
        <w:shd w:val="clear" w:color="auto" w:fill="FFFFFF"/>
        <w:snapToGrid w:val="0"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widowControl/>
        <w:shd w:val="clear" w:color="auto" w:fill="FFFFFF"/>
        <w:snapToGrid w:val="0"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widowControl/>
        <w:shd w:val="clear" w:color="auto" w:fill="FFFFFF"/>
        <w:snapToGrid w:val="0"/>
        <w:spacing w:line="560" w:lineRule="exact"/>
        <w:ind w:firstLine="627" w:firstLineChars="196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龙场镇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2022年1月16日</w:t>
      </w:r>
    </w:p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ZWMzOGVlOWI0N2U1NDM1MmZhNDAzOWI2MTgzNDUifQ=="/>
  </w:docVars>
  <w:rsids>
    <w:rsidRoot w:val="1FAC46F6"/>
    <w:rsid w:val="01CF4E06"/>
    <w:rsid w:val="1FAC46F6"/>
    <w:rsid w:val="21835FA5"/>
    <w:rsid w:val="2DA06E59"/>
    <w:rsid w:val="2F635470"/>
    <w:rsid w:val="483A67F6"/>
    <w:rsid w:val="5C1371C6"/>
    <w:rsid w:val="70A01A6D"/>
    <w:rsid w:val="77350D01"/>
    <w:rsid w:val="789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1979</Words>
  <Characters>1995</Characters>
  <Lines>0</Lines>
  <Paragraphs>0</Paragraphs>
  <TotalTime>25</TotalTime>
  <ScaleCrop>false</ScaleCrop>
  <LinksUpToDate>false</LinksUpToDate>
  <CharactersWithSpaces>2062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2020-12-24T12:41:00Z</dcterms:created>
  <dc:creator>Administrator</dc:creator>
  <cp:lastModifiedBy>金鑫</cp:lastModifiedBy>
  <dcterms:modified xsi:type="dcterms:W3CDTF">2023-08-10T01:11:00Z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0887122E45EB43A683194CC434EB506A_13</vt:lpwstr>
  </property>
</Properties>
</file>