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宣威市投资促进局2021年政府信息公开</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lang w:val="en-US" w:eastAsia="zh-CN"/>
        </w:rPr>
      </w:pPr>
      <w:r>
        <w:rPr>
          <w:rFonts w:hint="eastAsia" w:ascii="方正小标宋_GBK" w:hAnsi="方正小标宋_GBK" w:eastAsia="方正小标宋_GBK" w:cs="方正小标宋_GBK"/>
          <w:sz w:val="44"/>
          <w:szCs w:val="44"/>
          <w:lang w:val="en-US" w:eastAsia="zh-CN"/>
        </w:rPr>
        <w:t>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，市投资促进局严格</w:t>
      </w:r>
      <w:r>
        <w:rPr>
          <w:rFonts w:hint="eastAsia" w:ascii="方正仿宋_GBK" w:hAnsi="方正仿宋_GBK" w:eastAsia="方正仿宋_GBK" w:cs="方正仿宋_GBK"/>
          <w:sz w:val="32"/>
          <w:szCs w:val="32"/>
          <w:lang w:val="en-US" w:eastAsia="zh-CN"/>
        </w:rPr>
        <w:t>按照《中华人民共和国政府信息公开条例》和宣威市人民政府办公室通知要求，认真贯彻落实政府信息公开工作相关规定和文件精神，积极开拓公开渠道，创新公开方式，进一步提高政府治理和政务服务水平，做到依法经营、优质服务、廉洁奉公，不断深化政府信息公开内容，</w:t>
      </w:r>
      <w:r>
        <w:rPr>
          <w:rFonts w:hint="eastAsia" w:ascii="方正仿宋_GBK" w:hAnsi="方正仿宋_GBK" w:eastAsia="方正仿宋_GBK" w:cs="方正仿宋_GBK"/>
          <w:sz w:val="32"/>
          <w:szCs w:val="32"/>
        </w:rPr>
        <w:t>圆满完成202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年度工作任务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现将情况报告如下。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2021年，我局在宣威市人民政府门户网上共整理上传政务信息35条，均为主动公开。其中依法主动公开本单位关于招商引资的重点领域政府信息29条，发布重点工作动态信息6条。通过《云南招商》《七彩云端》《曲靖招商》《宣威发布》《宣威融媒》《掌上宣威》等媒体公众号共整理上传政务信息163条。政府信息公开工作运行正常，有关信息得到合法、及时、全面的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一是</w:t>
      </w:r>
      <w:r>
        <w:rPr>
          <w:rFonts w:hint="eastAsia" w:ascii="方正仿宋_GBK" w:hAnsi="方正仿宋_GBK" w:eastAsia="方正仿宋_GBK" w:cs="方正仿宋_GBK"/>
          <w:sz w:val="32"/>
          <w:szCs w:val="32"/>
          <w:lang w:val="en-US" w:eastAsia="zh-CN"/>
        </w:rPr>
        <w:t>“加强领导”。通过加强组织领导，成立了政务信息公开工作领导小组，做到“一把手”亲自抓,分管领导具体负责，各部门具体承办，依靠干部职工共同参与的领导机制和工作机制。每季度召开一次政务信息公开工作会议，总结每季度政府信息公开工作成效，研究困难问题，安排部署下一季度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二是</w:t>
      </w:r>
      <w:r>
        <w:rPr>
          <w:rFonts w:hint="eastAsia" w:ascii="方正仿宋_GBK" w:hAnsi="方正仿宋_GBK" w:eastAsia="方正仿宋_GBK" w:cs="方正仿宋_GBK"/>
          <w:sz w:val="32"/>
          <w:szCs w:val="32"/>
          <w:lang w:val="en-US" w:eastAsia="zh-CN"/>
        </w:rPr>
        <w:t>“强化管理”。明确专人负责日常具体工作，按照职责分工要求，开展资料整理上报、信息更新维护、咨询答复等工作，有关工作情况和资料按规定及时上报，信息公开的深度和广度得到不断拓展。做好年度自检自查总结,及时报送年度工作报告，档案资料按时归卷，整理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三是</w:t>
      </w:r>
      <w:r>
        <w:rPr>
          <w:rFonts w:hint="eastAsia" w:ascii="方正仿宋_GBK" w:hAnsi="方正仿宋_GBK" w:eastAsia="方正仿宋_GBK" w:cs="方正仿宋_GBK"/>
          <w:sz w:val="32"/>
          <w:szCs w:val="32"/>
          <w:lang w:val="en-US" w:eastAsia="zh-CN"/>
        </w:rPr>
        <w:t>“严格筛查”。要求全体干部对报送政府门户网站和在政务新媒体发布的每一条信息进行全方位、地毯式阅读筛查，严把政治术语表达错误和文字差错关。逐一筛查政府门户网站33条招商引资信息，163条自媒体公众号信息，没有发现政治术语表达错误和文字差错。同时，结合基层减负工作，全面开展政务新媒体排查清查工作，根据同一平台只能开设一个政务新媒体账号原则，及时申请注销《宣威招商》微信公众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四是</w:t>
      </w:r>
      <w:r>
        <w:rPr>
          <w:rFonts w:hint="eastAsia" w:ascii="方正仿宋_GBK" w:hAnsi="方正仿宋_GBK" w:eastAsia="方正仿宋_GBK" w:cs="方正仿宋_GBK"/>
          <w:sz w:val="32"/>
          <w:szCs w:val="32"/>
          <w:lang w:val="en-US" w:eastAsia="zh-CN"/>
        </w:rPr>
        <w:t>“抓好保密”。建立健全政务新媒体信息发布保密审查机制，每一条信息的对外发布都严格按照撰稿人撰写—科室负责人审核—分管领导审核—主要领导审核—办公室汇总上报的审核机制。严格按照“涉密信息不上网、上网信息不涉密”和“谁制作、谁公开、谁审核、谁负责”要求。扎实抓好政府信息的审核及报送工作，确保本单位产生文件和信息的合法性、准确性、及时性、有效性，并确保在政府门户网站和政务新媒体信息上发布的信息数据真实可靠、准确无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五是</w:t>
      </w:r>
      <w:r>
        <w:rPr>
          <w:rFonts w:hint="eastAsia" w:ascii="方正仿宋_GBK" w:hAnsi="方正仿宋_GBK" w:eastAsia="方正仿宋_GBK" w:cs="方正仿宋_GBK"/>
          <w:sz w:val="32"/>
          <w:szCs w:val="32"/>
          <w:lang w:val="en-US" w:eastAsia="zh-CN"/>
        </w:rPr>
        <w:t>“纳入考核”。将政府信息公开和政务公开工作纳入绩效考评指标,积极配合做好政府信息公开各项考核工作及评议工作，严格落实各项问题整改，做好自查自纠工作,规范用语。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六是</w:t>
      </w:r>
      <w:bookmarkStart w:id="0" w:name="_GoBack"/>
      <w:bookmarkEnd w:id="0"/>
      <w:r>
        <w:rPr>
          <w:rFonts w:hint="eastAsia" w:ascii="方正仿宋_GBK" w:hAnsi="方正仿宋_GBK" w:eastAsia="方正仿宋_GBK" w:cs="方正仿宋_GBK"/>
          <w:sz w:val="32"/>
          <w:szCs w:val="32"/>
          <w:lang w:val="en-US" w:eastAsia="zh-CN"/>
        </w:rPr>
        <w:t>“严格发布”。严格按照《宣威市人民政府办公室关于进一步规范政府门户网站和政务新媒体内容保障及信息发布审核工作的通知》要求，如实填写《宣威市政府门户网站信息发布审批表》，并逐一审批后上报。</w:t>
      </w:r>
    </w:p>
    <w:p>
      <w:pPr>
        <w:pStyle w:val="3"/>
        <w:ind w:left="0" w:leftChars="0" w:firstLine="0" w:firstLineChars="0"/>
        <w:rPr>
          <w:rFonts w:hint="eastAsia"/>
          <w:lang w:val="en-US" w:eastAsia="zh-CN"/>
        </w:rPr>
      </w:pP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宋体" w:cs="Times New Roman"/>
        </w:rPr>
      </w:pPr>
    </w:p>
    <w:p>
      <w:pPr>
        <w:pStyle w:val="4"/>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二、主动公开政府信息情况</w:t>
      </w:r>
    </w:p>
    <w:tbl>
      <w:tblPr>
        <w:tblStyle w:val="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1796"/>
        <w:gridCol w:w="1785"/>
        <w:gridCol w:w="1817"/>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240"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060" w:type="dxa"/>
            <w:vAlign w:val="center"/>
          </w:tcPr>
          <w:p>
            <w:pPr>
              <w:keepNext w:val="0"/>
              <w:keepLines w:val="0"/>
              <w:widowControl/>
              <w:suppressLineNumbers w:val="0"/>
              <w:jc w:val="center"/>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信息内容</w:t>
            </w:r>
          </w:p>
        </w:tc>
        <w:tc>
          <w:tcPr>
            <w:tcW w:w="1796"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本年制发件数</w:t>
            </w:r>
          </w:p>
        </w:tc>
        <w:tc>
          <w:tcPr>
            <w:tcW w:w="1785"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817"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782"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0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规章</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0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行政规范性文件</w:t>
            </w:r>
          </w:p>
        </w:tc>
        <w:tc>
          <w:tcPr>
            <w:tcW w:w="179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81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240"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0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信息内容</w:t>
            </w:r>
          </w:p>
        </w:tc>
        <w:tc>
          <w:tcPr>
            <w:tcW w:w="7180" w:type="dxa"/>
            <w:gridSpan w:val="4"/>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0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黑体_GBK" w:cs="Times New Roman"/>
                <w:sz w:val="28"/>
                <w:szCs w:val="28"/>
                <w:vertAlign w:val="baseline"/>
                <w:lang w:eastAsia="zh-CN"/>
              </w:rPr>
              <w:t>行政许可</w:t>
            </w:r>
          </w:p>
        </w:tc>
        <w:tc>
          <w:tcPr>
            <w:tcW w:w="7180"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240"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0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信息内容</w:t>
            </w:r>
          </w:p>
        </w:tc>
        <w:tc>
          <w:tcPr>
            <w:tcW w:w="7180" w:type="dxa"/>
            <w:gridSpan w:val="4"/>
            <w:vAlign w:val="center"/>
          </w:tcPr>
          <w:p>
            <w:pPr>
              <w:keepNext w:val="0"/>
              <w:keepLines w:val="0"/>
              <w:widowControl/>
              <w:suppressLineNumbers w:val="0"/>
              <w:jc w:val="center"/>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0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行政处罚</w:t>
            </w:r>
          </w:p>
        </w:tc>
        <w:tc>
          <w:tcPr>
            <w:tcW w:w="7180"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0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行政强制</w:t>
            </w:r>
          </w:p>
        </w:tc>
        <w:tc>
          <w:tcPr>
            <w:tcW w:w="7180"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240"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0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信息内容</w:t>
            </w:r>
          </w:p>
        </w:tc>
        <w:tc>
          <w:tcPr>
            <w:tcW w:w="7180"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06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val="en-US" w:eastAsia="zh-CN"/>
              </w:rPr>
              <w:t>行政事业性收费</w:t>
            </w:r>
          </w:p>
        </w:tc>
        <w:tc>
          <w:tcPr>
            <w:tcW w:w="7180"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bl>
    <w:p>
      <w:pPr>
        <w:pStyle w:val="2"/>
        <w:ind w:left="0" w:leftChars="0" w:firstLine="0" w:firstLineChars="0"/>
        <w:rPr>
          <w:rFonts w:hint="eastAsia"/>
          <w:lang w:eastAsia="zh-CN"/>
        </w:rPr>
      </w:pPr>
    </w:p>
    <w:p>
      <w:pPr>
        <w:widowControl/>
        <w:numPr>
          <w:ilvl w:val="0"/>
          <w:numId w:val="0"/>
        </w:numPr>
        <w:ind w:firstLine="640" w:firstLineChars="200"/>
        <w:jc w:val="left"/>
        <w:rPr>
          <w:rFonts w:hint="eastAsia" w:ascii="方正黑体简体" w:hAnsi="方正黑体简体" w:eastAsia="方正黑体简体" w:cs="方正黑体简体"/>
          <w:b w:val="0"/>
          <w:bCs w:val="0"/>
          <w:color w:val="000000"/>
          <w:kern w:val="0"/>
          <w:sz w:val="32"/>
          <w:szCs w:val="32"/>
          <w:lang w:eastAsia="zh-CN"/>
        </w:rPr>
      </w:pPr>
    </w:p>
    <w:p>
      <w:pPr>
        <w:widowControl/>
        <w:numPr>
          <w:ilvl w:val="0"/>
          <w:numId w:val="0"/>
        </w:numPr>
        <w:ind w:firstLine="640" w:firstLineChars="200"/>
        <w:jc w:val="left"/>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color w:val="000000"/>
          <w:kern w:val="0"/>
          <w:sz w:val="32"/>
          <w:szCs w:val="32"/>
          <w:lang w:eastAsia="zh-CN"/>
        </w:rPr>
        <w:t>三、收到和处理政府信息公开申请情况</w:t>
      </w:r>
    </w:p>
    <w:p>
      <w:pPr>
        <w:widowControl/>
        <w:numPr>
          <w:ilvl w:val="0"/>
          <w:numId w:val="0"/>
        </w:numPr>
        <w:ind w:firstLine="420" w:firstLineChars="200"/>
        <w:jc w:val="left"/>
        <w:rPr>
          <w:rFonts w:hint="default" w:eastAsia="黑体"/>
          <w:lang w:val="en-US" w:eastAsia="zh-CN"/>
        </w:rPr>
      </w:pPr>
      <w:r>
        <w:rPr>
          <w:rFonts w:hint="eastAsia"/>
          <w:lang w:val="en-US" w:eastAsia="zh-CN"/>
        </w:rPr>
        <w:t>填报单位：宣威市投资促进局                        填报时间：2022年2月9日</w:t>
      </w:r>
    </w:p>
    <w:tbl>
      <w:tblPr>
        <w:tblStyle w:val="5"/>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44"/>
        <w:gridCol w:w="439"/>
        <w:gridCol w:w="1473"/>
        <w:gridCol w:w="768"/>
        <w:gridCol w:w="848"/>
        <w:gridCol w:w="861"/>
        <w:gridCol w:w="849"/>
        <w:gridCol w:w="812"/>
        <w:gridCol w:w="886"/>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868" w:type="dxa"/>
            <w:gridSpan w:val="4"/>
            <w:vMerge w:val="restart"/>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（本列数据的勾稽关系为：第一项加第二项之和，等于第三项加第四项之和）</w:t>
            </w:r>
          </w:p>
        </w:tc>
        <w:tc>
          <w:tcPr>
            <w:tcW w:w="5891" w:type="dxa"/>
            <w:gridSpan w:val="7"/>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868" w:type="dxa"/>
            <w:gridSpan w:val="4"/>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768" w:type="dxa"/>
            <w:vMerge w:val="restart"/>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自然人</w:t>
            </w:r>
          </w:p>
        </w:tc>
        <w:tc>
          <w:tcPr>
            <w:tcW w:w="4256" w:type="dxa"/>
            <w:gridSpan w:val="5"/>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法人或其他组织</w:t>
            </w:r>
          </w:p>
        </w:tc>
        <w:tc>
          <w:tcPr>
            <w:tcW w:w="867" w:type="dxa"/>
            <w:vMerge w:val="restart"/>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868" w:type="dxa"/>
            <w:gridSpan w:val="4"/>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768"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商业</w:t>
            </w:r>
          </w:p>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企业</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科研</w:t>
            </w:r>
          </w:p>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机构</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社会公益组织</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法律服务机构</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其他</w:t>
            </w:r>
          </w:p>
        </w:tc>
        <w:tc>
          <w:tcPr>
            <w:tcW w:w="867"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868" w:type="dxa"/>
            <w:gridSpan w:val="4"/>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一、本年新收政府信息公开</w:t>
            </w:r>
          </w:p>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申请数量</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lang w:val="en-US" w:eastAsia="zh-CN"/>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lang w:val="en-US" w:eastAsia="zh-CN"/>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lang w:val="en-US" w:eastAsia="zh-CN"/>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lang w:val="en-US" w:eastAsia="zh-CN"/>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lang w:val="en-US" w:eastAsia="zh-CN"/>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lang w:val="en-US" w:eastAsia="zh-CN"/>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lang w:val="en-US" w:eastAsia="zh-CN"/>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868" w:type="dxa"/>
            <w:gridSpan w:val="4"/>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二、上年结转政府信息公开</w:t>
            </w:r>
          </w:p>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申请数量</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restart"/>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三、本年度办理结果</w:t>
            </w:r>
          </w:p>
        </w:tc>
        <w:tc>
          <w:tcPr>
            <w:tcW w:w="2156" w:type="dxa"/>
            <w:gridSpan w:val="3"/>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（一）予以公开</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2156" w:type="dxa"/>
            <w:gridSpan w:val="3"/>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（二）部分公开（区分处理的，只计这一情形，不计其他情形）</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restart"/>
            <w:vAlign w:val="center"/>
          </w:tcPr>
          <w:p>
            <w:pPr>
              <w:spacing w:line="28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（三）不予</w:t>
            </w:r>
          </w:p>
          <w:p>
            <w:pPr>
              <w:spacing w:line="28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公开</w:t>
            </w: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1.属于国家秘密</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2.其他法律行政法规禁止公开</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3.危及“三安全一稳定”</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4.保护第三方合法权益</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5.属于三类内部事务信息</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6.属于四类过程性信息</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7.属于行政执法案卷</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8.属于行政查询事项</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restart"/>
            <w:vAlign w:val="center"/>
          </w:tcPr>
          <w:p>
            <w:pPr>
              <w:spacing w:line="28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（四）无法</w:t>
            </w:r>
          </w:p>
          <w:p>
            <w:pPr>
              <w:spacing w:line="28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提供</w:t>
            </w: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1.本机关不掌握相关政府信息</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2.没有现成信息需要另行制作</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3.补正后申请内容仍不明确</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restart"/>
            <w:vAlign w:val="center"/>
          </w:tcPr>
          <w:p>
            <w:pPr>
              <w:numPr>
                <w:ilvl w:val="0"/>
                <w:numId w:val="1"/>
              </w:num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本年度办理</w:t>
            </w:r>
          </w:p>
          <w:p>
            <w:pPr>
              <w:numPr>
                <w:ilvl w:val="0"/>
                <w:numId w:val="1"/>
              </w:num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结果</w:t>
            </w:r>
          </w:p>
        </w:tc>
        <w:tc>
          <w:tcPr>
            <w:tcW w:w="683" w:type="dxa"/>
            <w:gridSpan w:val="2"/>
            <w:vMerge w:val="restart"/>
            <w:vAlign w:val="center"/>
          </w:tcPr>
          <w:p>
            <w:pPr>
              <w:spacing w:line="28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（五）不予</w:t>
            </w:r>
          </w:p>
          <w:p>
            <w:pPr>
              <w:spacing w:line="28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处理</w:t>
            </w: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1.信访举报投诉类申请</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2.重复申请</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3.要求提供公开出版物</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4.无正当理由大量反复申请</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683" w:type="dxa"/>
            <w:gridSpan w:val="2"/>
            <w:vMerge w:val="continue"/>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p>
        </w:tc>
        <w:tc>
          <w:tcPr>
            <w:tcW w:w="1473" w:type="dxa"/>
            <w:vAlign w:val="center"/>
          </w:tcPr>
          <w:p>
            <w:pPr>
              <w:spacing w:line="280" w:lineRule="exac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5.要求行政机关确认或重新出具已获取信息</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2156" w:type="dxa"/>
            <w:gridSpan w:val="3"/>
            <w:vAlign w:val="center"/>
          </w:tcPr>
          <w:p>
            <w:pPr>
              <w:spacing w:line="360" w:lineRule="exact"/>
              <w:jc w:val="lef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（六）其他处理</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12" w:type="dxa"/>
            <w:vMerge w:val="continue"/>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p>
        </w:tc>
        <w:tc>
          <w:tcPr>
            <w:tcW w:w="2156" w:type="dxa"/>
            <w:gridSpan w:val="3"/>
            <w:vAlign w:val="center"/>
          </w:tcPr>
          <w:p>
            <w:pPr>
              <w:spacing w:line="360" w:lineRule="exact"/>
              <w:jc w:val="lef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（七）总计</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868" w:type="dxa"/>
            <w:gridSpan w:val="4"/>
            <w:vAlign w:val="center"/>
          </w:tcPr>
          <w:p>
            <w:pPr>
              <w:spacing w:line="360" w:lineRule="exact"/>
              <w:jc w:val="left"/>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rPr>
              <w:t>四、结转下年度继续办理</w:t>
            </w:r>
          </w:p>
        </w:tc>
        <w:tc>
          <w:tcPr>
            <w:tcW w:w="76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8"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1"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49"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12"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86"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c>
          <w:tcPr>
            <w:tcW w:w="867" w:type="dxa"/>
            <w:vAlign w:val="center"/>
          </w:tcPr>
          <w:p>
            <w:pPr>
              <w:spacing w:line="360" w:lineRule="exact"/>
              <w:jc w:val="center"/>
              <w:rPr>
                <w:rFonts w:hint="eastAsia" w:asciiTheme="minorEastAsia" w:hAnsiTheme="minorEastAsia" w:eastAsiaTheme="minorEastAsia" w:cstheme="minorEastAsia"/>
                <w:bCs/>
                <w:color w:val="333333"/>
                <w:kern w:val="0"/>
                <w:sz w:val="18"/>
                <w:szCs w:val="18"/>
                <w:shd w:val="clear" w:color="auto" w:fill="FFFFFF"/>
              </w:rPr>
            </w:pPr>
            <w:r>
              <w:rPr>
                <w:rFonts w:hint="eastAsia" w:asciiTheme="minorEastAsia" w:hAnsiTheme="minorEastAsia" w:eastAsiaTheme="minorEastAsia" w:cstheme="minorEastAsia"/>
                <w:bCs/>
                <w:color w:val="333333"/>
                <w:kern w:val="0"/>
                <w:sz w:val="18"/>
                <w:szCs w:val="18"/>
                <w:shd w:val="clear" w:color="auto" w:fill="FFFFFF"/>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6" w:type="dxa"/>
            <w:gridSpan w:val="2"/>
            <w:vAlign w:val="center"/>
          </w:tcPr>
          <w:p>
            <w:pPr>
              <w:spacing w:line="360" w:lineRule="exact"/>
              <w:jc w:val="left"/>
              <w:rPr>
                <w:rFonts w:hint="eastAsia" w:asciiTheme="minorEastAsia" w:hAnsiTheme="minorEastAsia" w:eastAsiaTheme="minorEastAsia" w:cstheme="minorEastAsia"/>
                <w:bCs/>
                <w:color w:val="333333"/>
                <w:kern w:val="0"/>
                <w:sz w:val="18"/>
                <w:szCs w:val="18"/>
                <w:shd w:val="clear" w:color="auto" w:fill="FFFFFF"/>
                <w:lang w:eastAsia="zh-CN"/>
              </w:rPr>
            </w:pPr>
            <w:r>
              <w:rPr>
                <w:rFonts w:hint="eastAsia" w:asciiTheme="minorEastAsia" w:hAnsiTheme="minorEastAsia" w:cstheme="minorEastAsia"/>
                <w:bCs/>
                <w:color w:val="333333"/>
                <w:kern w:val="0"/>
                <w:sz w:val="18"/>
                <w:szCs w:val="18"/>
                <w:shd w:val="clear" w:color="auto" w:fill="FFFFFF"/>
                <w:lang w:eastAsia="zh-CN"/>
              </w:rPr>
              <w:t>备注</w:t>
            </w:r>
          </w:p>
        </w:tc>
        <w:tc>
          <w:tcPr>
            <w:tcW w:w="7803" w:type="dxa"/>
            <w:gridSpan w:val="9"/>
            <w:vAlign w:val="center"/>
          </w:tcPr>
          <w:p>
            <w:pPr>
              <w:spacing w:line="360" w:lineRule="exact"/>
              <w:jc w:val="center"/>
              <w:rPr>
                <w:rFonts w:hint="default" w:asciiTheme="minorEastAsia" w:hAnsiTheme="minorEastAsia" w:eastAsiaTheme="minorEastAsia" w:cstheme="minorEastAsia"/>
                <w:bCs/>
                <w:color w:val="333333"/>
                <w:kern w:val="0"/>
                <w:sz w:val="18"/>
                <w:szCs w:val="18"/>
                <w:shd w:val="clear" w:color="auto" w:fill="FFFFFF"/>
                <w:lang w:val="en-US" w:eastAsia="zh-CN"/>
              </w:rPr>
            </w:pPr>
            <w:r>
              <w:rPr>
                <w:rFonts w:hint="eastAsia" w:asciiTheme="minorEastAsia" w:hAnsiTheme="minorEastAsia" w:cstheme="minorEastAsia"/>
                <w:bCs/>
                <w:color w:val="333333"/>
                <w:kern w:val="0"/>
                <w:sz w:val="18"/>
                <w:szCs w:val="18"/>
                <w:shd w:val="clear" w:color="auto" w:fill="FFFFFF"/>
                <w:lang w:val="en-US" w:eastAsia="zh-CN"/>
              </w:rPr>
              <w:t>统计时间截止2021年12月31日，12月31日前收到申请未办结的申请列入第四项统计。</w:t>
            </w:r>
          </w:p>
        </w:tc>
      </w:tr>
    </w:tbl>
    <w:tbl>
      <w:tblPr>
        <w:tblStyle w:val="5"/>
        <w:tblpPr w:leftFromText="180" w:rightFromText="180" w:vertAnchor="text" w:horzAnchor="page" w:tblpX="1770" w:tblpY="1134"/>
        <w:tblOverlap w:val="never"/>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599"/>
        <w:gridCol w:w="599"/>
        <w:gridCol w:w="599"/>
        <w:gridCol w:w="603"/>
        <w:gridCol w:w="599"/>
        <w:gridCol w:w="599"/>
        <w:gridCol w:w="599"/>
        <w:gridCol w:w="599"/>
        <w:gridCol w:w="603"/>
        <w:gridCol w:w="599"/>
        <w:gridCol w:w="599"/>
        <w:gridCol w:w="599"/>
        <w:gridCol w:w="599"/>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99" w:type="dxa"/>
            <w:gridSpan w:val="5"/>
            <w:vMerge w:val="restart"/>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行政复议</w:t>
            </w:r>
          </w:p>
        </w:tc>
        <w:tc>
          <w:tcPr>
            <w:tcW w:w="6000" w:type="dxa"/>
            <w:gridSpan w:val="10"/>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999" w:type="dxa"/>
            <w:gridSpan w:val="5"/>
            <w:vMerge w:val="continue"/>
            <w:vAlign w:val="center"/>
          </w:tcPr>
          <w:p>
            <w:pPr>
              <w:spacing w:line="360" w:lineRule="exact"/>
              <w:jc w:val="center"/>
              <w:rPr>
                <w:rFonts w:ascii="方正仿宋_GBK" w:cs="方正仿宋_GBK"/>
                <w:bCs/>
                <w:color w:val="333333"/>
                <w:sz w:val="24"/>
                <w:szCs w:val="22"/>
                <w:shd w:val="clear" w:color="auto" w:fill="FFFFFF"/>
              </w:rPr>
            </w:pPr>
          </w:p>
        </w:tc>
        <w:tc>
          <w:tcPr>
            <w:tcW w:w="2999" w:type="dxa"/>
            <w:gridSpan w:val="5"/>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未经复议直接起诉</w:t>
            </w:r>
          </w:p>
        </w:tc>
        <w:tc>
          <w:tcPr>
            <w:tcW w:w="3001" w:type="dxa"/>
            <w:gridSpan w:val="5"/>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结果维持</w:t>
            </w:r>
          </w:p>
        </w:tc>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结果纠正</w:t>
            </w:r>
          </w:p>
        </w:tc>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其他结果</w:t>
            </w:r>
          </w:p>
        </w:tc>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尚未审结</w:t>
            </w:r>
          </w:p>
        </w:tc>
        <w:tc>
          <w:tcPr>
            <w:tcW w:w="603"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总计</w:t>
            </w:r>
          </w:p>
        </w:tc>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结果维持</w:t>
            </w:r>
          </w:p>
        </w:tc>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结果纠正</w:t>
            </w:r>
          </w:p>
        </w:tc>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其他结果</w:t>
            </w:r>
          </w:p>
        </w:tc>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尚未审结</w:t>
            </w:r>
          </w:p>
        </w:tc>
        <w:tc>
          <w:tcPr>
            <w:tcW w:w="603"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总计</w:t>
            </w:r>
          </w:p>
        </w:tc>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结果维持</w:t>
            </w:r>
          </w:p>
        </w:tc>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结果纠正</w:t>
            </w:r>
          </w:p>
        </w:tc>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其他结果</w:t>
            </w:r>
          </w:p>
        </w:tc>
        <w:tc>
          <w:tcPr>
            <w:tcW w:w="599"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尚未审结</w:t>
            </w:r>
          </w:p>
        </w:tc>
        <w:tc>
          <w:tcPr>
            <w:tcW w:w="605" w:type="dxa"/>
            <w:vAlign w:val="center"/>
          </w:tcPr>
          <w:p>
            <w:pPr>
              <w:spacing w:line="360" w:lineRule="exact"/>
              <w:jc w:val="center"/>
              <w:rPr>
                <w:rFonts w:ascii="方正仿宋_GBK" w:cs="方正仿宋_GBK"/>
                <w:bCs/>
                <w:color w:val="333333"/>
                <w:sz w:val="24"/>
                <w:szCs w:val="22"/>
                <w:shd w:val="clear" w:color="auto" w:fill="FFFFFF"/>
              </w:rPr>
            </w:pPr>
            <w:r>
              <w:rPr>
                <w:rFonts w:hint="eastAsia" w:ascii="方正仿宋_GBK" w:hAnsi="方正仿宋_GBK" w:cs="方正仿宋_GBK"/>
                <w:bCs/>
                <w:color w:val="333333"/>
                <w:sz w:val="24"/>
                <w:szCs w:val="22"/>
                <w:shd w:val="clear" w:color="auto" w:fill="FFFFFF"/>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99" w:type="dxa"/>
            <w:vAlign w:val="center"/>
          </w:tcPr>
          <w:p>
            <w:pPr>
              <w:spacing w:line="360" w:lineRule="exact"/>
              <w:jc w:val="center"/>
              <w:rPr>
                <w:rFonts w:hint="default"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599" w:type="dxa"/>
            <w:vAlign w:val="center"/>
          </w:tcPr>
          <w:p>
            <w:pPr>
              <w:spacing w:line="360" w:lineRule="exact"/>
              <w:jc w:val="center"/>
              <w:rPr>
                <w:rFonts w:hint="eastAsia"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599" w:type="dxa"/>
            <w:vAlign w:val="center"/>
          </w:tcPr>
          <w:p>
            <w:pPr>
              <w:spacing w:line="360" w:lineRule="exact"/>
              <w:jc w:val="center"/>
              <w:rPr>
                <w:rFonts w:hint="eastAsia"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599" w:type="dxa"/>
            <w:vAlign w:val="center"/>
          </w:tcPr>
          <w:p>
            <w:pPr>
              <w:spacing w:line="360" w:lineRule="exact"/>
              <w:jc w:val="center"/>
              <w:rPr>
                <w:rFonts w:hint="eastAsia"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603" w:type="dxa"/>
            <w:vAlign w:val="center"/>
          </w:tcPr>
          <w:p>
            <w:pPr>
              <w:spacing w:line="360" w:lineRule="exact"/>
              <w:jc w:val="center"/>
              <w:rPr>
                <w:rFonts w:hint="default"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599" w:type="dxa"/>
            <w:vAlign w:val="center"/>
          </w:tcPr>
          <w:p>
            <w:pPr>
              <w:spacing w:line="360" w:lineRule="exact"/>
              <w:jc w:val="center"/>
              <w:rPr>
                <w:rFonts w:hint="eastAsia"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599" w:type="dxa"/>
            <w:vAlign w:val="center"/>
          </w:tcPr>
          <w:p>
            <w:pPr>
              <w:spacing w:line="360" w:lineRule="exact"/>
              <w:jc w:val="center"/>
              <w:rPr>
                <w:rFonts w:hint="eastAsia"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599" w:type="dxa"/>
            <w:vAlign w:val="center"/>
          </w:tcPr>
          <w:p>
            <w:pPr>
              <w:spacing w:line="360" w:lineRule="exact"/>
              <w:jc w:val="center"/>
              <w:rPr>
                <w:rFonts w:hint="eastAsia"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599" w:type="dxa"/>
            <w:vAlign w:val="center"/>
          </w:tcPr>
          <w:p>
            <w:pPr>
              <w:spacing w:line="360" w:lineRule="exact"/>
              <w:jc w:val="center"/>
              <w:rPr>
                <w:rFonts w:hint="eastAsia"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603" w:type="dxa"/>
            <w:vAlign w:val="center"/>
          </w:tcPr>
          <w:p>
            <w:pPr>
              <w:spacing w:line="360" w:lineRule="exact"/>
              <w:jc w:val="center"/>
              <w:rPr>
                <w:rFonts w:hint="default"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599" w:type="dxa"/>
            <w:vAlign w:val="center"/>
          </w:tcPr>
          <w:p>
            <w:pPr>
              <w:spacing w:line="360" w:lineRule="exact"/>
              <w:jc w:val="center"/>
              <w:rPr>
                <w:rFonts w:hint="eastAsia"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599" w:type="dxa"/>
            <w:vAlign w:val="center"/>
          </w:tcPr>
          <w:p>
            <w:pPr>
              <w:spacing w:line="360" w:lineRule="exact"/>
              <w:jc w:val="center"/>
              <w:rPr>
                <w:rFonts w:hint="eastAsia"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599" w:type="dxa"/>
            <w:vAlign w:val="center"/>
          </w:tcPr>
          <w:p>
            <w:pPr>
              <w:spacing w:line="360" w:lineRule="exact"/>
              <w:jc w:val="center"/>
              <w:rPr>
                <w:rFonts w:hint="eastAsia"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599" w:type="dxa"/>
            <w:vAlign w:val="center"/>
          </w:tcPr>
          <w:p>
            <w:pPr>
              <w:spacing w:line="360" w:lineRule="exact"/>
              <w:jc w:val="center"/>
              <w:rPr>
                <w:rFonts w:hint="eastAsia"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c>
          <w:tcPr>
            <w:tcW w:w="605" w:type="dxa"/>
            <w:vAlign w:val="center"/>
          </w:tcPr>
          <w:p>
            <w:pPr>
              <w:spacing w:line="360" w:lineRule="exact"/>
              <w:jc w:val="center"/>
              <w:rPr>
                <w:rFonts w:hint="default" w:ascii="新宋体" w:hAnsi="新宋体" w:eastAsia="新宋体" w:cs="新宋体"/>
                <w:bCs/>
                <w:color w:val="333333"/>
                <w:sz w:val="24"/>
                <w:szCs w:val="22"/>
                <w:shd w:val="clear" w:color="auto" w:fill="FFFFFF"/>
                <w:lang w:val="en-US" w:eastAsia="zh-CN"/>
              </w:rPr>
            </w:pPr>
            <w:r>
              <w:rPr>
                <w:rFonts w:hint="eastAsia" w:ascii="新宋体" w:hAnsi="新宋体" w:eastAsia="新宋体" w:cs="新宋体"/>
                <w:bCs/>
                <w:color w:val="333333"/>
                <w:sz w:val="24"/>
                <w:szCs w:val="22"/>
                <w:shd w:val="clear" w:color="auto" w:fill="FFFFFF"/>
                <w:lang w:val="en-US" w:eastAsia="zh-CN"/>
              </w:rPr>
              <w:t>0</w:t>
            </w:r>
          </w:p>
        </w:tc>
      </w:tr>
    </w:tbl>
    <w:p>
      <w:pPr>
        <w:widowControl/>
        <w:ind w:firstLine="640" w:firstLineChars="200"/>
        <w:jc w:val="left"/>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color w:val="000000"/>
          <w:kern w:val="0"/>
          <w:sz w:val="32"/>
          <w:szCs w:val="32"/>
          <w:lang w:eastAsia="zh-CN"/>
        </w:rPr>
        <w:t>四、政府信息公开行政复议、行政诉讼情况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（一）存在的主要问题问题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总体看，</w:t>
      </w:r>
      <w:r>
        <w:rPr>
          <w:rFonts w:hint="eastAsia" w:ascii="方正仿宋_GBK" w:hAnsi="方正仿宋_GBK" w:eastAsia="方正仿宋_GBK" w:cs="方正仿宋_GBK"/>
          <w:sz w:val="32"/>
          <w:szCs w:val="32"/>
          <w:lang w:eastAsia="zh-CN"/>
        </w:rPr>
        <w:t>市投资促进局</w:t>
      </w:r>
      <w:r>
        <w:rPr>
          <w:rFonts w:hint="eastAsia" w:ascii="方正仿宋_GBK" w:hAnsi="方正仿宋_GBK" w:eastAsia="方正仿宋_GBK" w:cs="方正仿宋_GBK"/>
          <w:sz w:val="32"/>
          <w:szCs w:val="32"/>
        </w:rPr>
        <w:t>圆满完成了202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年度政府</w:t>
      </w:r>
      <w:r>
        <w:rPr>
          <w:rFonts w:hint="eastAsia" w:ascii="方正仿宋_GBK" w:hAnsi="方正仿宋_GBK" w:eastAsia="方正仿宋_GBK" w:cs="方正仿宋_GBK"/>
          <w:sz w:val="32"/>
          <w:szCs w:val="32"/>
          <w:lang w:eastAsia="zh-CN"/>
        </w:rPr>
        <w:t>信息公开</w:t>
      </w:r>
      <w:r>
        <w:rPr>
          <w:rFonts w:hint="eastAsia" w:ascii="方正仿宋_GBK" w:hAnsi="方正仿宋_GBK" w:eastAsia="方正仿宋_GBK" w:cs="方正仿宋_GBK"/>
          <w:sz w:val="32"/>
          <w:szCs w:val="32"/>
        </w:rPr>
        <w:t>工作任务，但仍存在一些不足之处，亟待解决。</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b/>
          <w:bCs/>
          <w:sz w:val="32"/>
          <w:szCs w:val="32"/>
          <w:lang w:val="en-US" w:eastAsia="zh-CN"/>
        </w:rPr>
        <w:t>是</w:t>
      </w:r>
      <w:r>
        <w:rPr>
          <w:rFonts w:hint="eastAsia" w:ascii="方正仿宋_GBK" w:hAnsi="方正仿宋_GBK" w:eastAsia="方正仿宋_GBK" w:cs="方正仿宋_GBK"/>
          <w:sz w:val="32"/>
          <w:szCs w:val="32"/>
          <w:lang w:val="en-US" w:eastAsia="zh-CN"/>
        </w:rPr>
        <w:t>监督机制有待完善，监督力度有待加强。二</w:t>
      </w:r>
      <w:r>
        <w:rPr>
          <w:rFonts w:hint="eastAsia" w:ascii="方正仿宋_GBK" w:hAnsi="方正仿宋_GBK" w:eastAsia="方正仿宋_GBK" w:cs="方正仿宋_GBK"/>
          <w:b/>
          <w:bCs/>
          <w:sz w:val="32"/>
          <w:szCs w:val="32"/>
          <w:lang w:val="en-US" w:eastAsia="zh-CN"/>
        </w:rPr>
        <w:t>是</w:t>
      </w:r>
      <w:r>
        <w:rPr>
          <w:rFonts w:hint="eastAsia" w:ascii="方正仿宋_GBK" w:hAnsi="方正仿宋_GBK" w:eastAsia="方正仿宋_GBK" w:cs="方正仿宋_GBK"/>
          <w:b w:val="0"/>
          <w:bCs w:val="0"/>
          <w:sz w:val="32"/>
          <w:szCs w:val="32"/>
          <w:lang w:val="en-US" w:eastAsia="zh-CN"/>
        </w:rPr>
        <w:t>对政府信息公开工作的重视程度不够，信息公开不够及时和全面</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bCs/>
          <w:sz w:val="32"/>
          <w:szCs w:val="32"/>
          <w:lang w:val="en-US" w:eastAsia="zh-CN"/>
        </w:rPr>
        <w:t>三是</w:t>
      </w:r>
      <w:r>
        <w:rPr>
          <w:rFonts w:hint="eastAsia" w:ascii="方正仿宋_GBK" w:hAnsi="方正仿宋_GBK" w:eastAsia="方正仿宋_GBK" w:cs="方正仿宋_GBK"/>
          <w:sz w:val="32"/>
          <w:szCs w:val="32"/>
          <w:lang w:val="en-US" w:eastAsia="zh-CN"/>
        </w:rPr>
        <w:t>政策解读方面还有待提高。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（二）改进情况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一是</w:t>
      </w:r>
      <w:r>
        <w:rPr>
          <w:rFonts w:hint="eastAsia" w:ascii="方正仿宋_GBK" w:hAnsi="方正仿宋_GBK" w:eastAsia="方正仿宋_GBK" w:cs="方正仿宋_GBK"/>
          <w:sz w:val="32"/>
          <w:szCs w:val="32"/>
          <w:lang w:val="en-US" w:eastAsia="zh-CN"/>
        </w:rPr>
        <w:t>完善考核机制，加强监督评议力度。完善政府信息公开内容审查和更新维护、考核评估、监督检查评议、培训宣传和工作年报等工作制度，建立和完善信息公开审查监督制度，并建立考核评估机制，实现政府信息公开工作制度化、规范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二是</w:t>
      </w:r>
      <w:r>
        <w:rPr>
          <w:rFonts w:hint="eastAsia" w:ascii="方正仿宋_GBK" w:hAnsi="方正仿宋_GBK" w:eastAsia="方正仿宋_GBK" w:cs="方正仿宋_GBK"/>
          <w:b w:val="0"/>
          <w:bCs w:val="0"/>
          <w:sz w:val="32"/>
          <w:szCs w:val="32"/>
          <w:lang w:val="en-US" w:eastAsia="zh-CN"/>
        </w:rPr>
        <w:t>提高重视力度，及时公开信息。调整充实政府信息公开工作领导小组，积极发挥党政主要负责人履行政府信息公开第一责任人职责，结合单位实际，</w:t>
      </w:r>
      <w:r>
        <w:rPr>
          <w:rFonts w:hint="eastAsia" w:ascii="方正仿宋_GBK" w:hAnsi="方正仿宋_GBK" w:eastAsia="方正仿宋_GBK" w:cs="方正仿宋_GBK"/>
          <w:sz w:val="32"/>
          <w:szCs w:val="32"/>
          <w:lang w:val="en-US" w:eastAsia="zh-CN"/>
        </w:rPr>
        <w:t>重点以政府信息公开、公开形式等为内容强化对全体工作人员的培训，保证公开信息的及时、准确和全面，切实提高干部的政策水平和业务能力，以适应信息公开的新要求。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三是</w:t>
      </w:r>
      <w:r>
        <w:rPr>
          <w:rFonts w:hint="eastAsia" w:ascii="方正仿宋_GBK" w:hAnsi="方正仿宋_GBK" w:eastAsia="方正仿宋_GBK" w:cs="方正仿宋_GBK"/>
          <w:sz w:val="32"/>
          <w:szCs w:val="32"/>
          <w:lang w:val="en-US" w:eastAsia="zh-CN"/>
        </w:rPr>
        <w:t>提升工作透明度，加强政策解读。加强对最新的涉及经济社会发展、招商引资政策的更新解读。积极推进重点领域信息公开，带动政府信息公开工作全面深入开展，在回应公众关切、有效保障人民群众依法获取政府信息方面迈出新的步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六、其他需要报告的事项</w:t>
      </w:r>
    </w:p>
    <w:p>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lang w:val="en-US" w:eastAsia="zh-CN"/>
        </w:rPr>
      </w:pPr>
      <w:r>
        <w:rPr>
          <w:rFonts w:hint="eastAsia" w:ascii="方正仿宋_GBK" w:hAnsi="方正仿宋_GBK" w:eastAsia="方正仿宋_GBK" w:cs="方正仿宋_GBK"/>
          <w:kern w:val="2"/>
          <w:sz w:val="32"/>
          <w:szCs w:val="32"/>
          <w:lang w:val="en-US" w:eastAsia="zh-CN" w:bidi="ar-SA"/>
        </w:rPr>
        <w:t>无其他需要报告的事项。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80" w:firstLineChars="1400"/>
        <w:jc w:val="both"/>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80" w:firstLineChars="1400"/>
        <w:jc w:val="both"/>
        <w:textAlignment w:val="auto"/>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80" w:firstLineChars="14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宣威市投资促进局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80" w:firstLineChars="1400"/>
        <w:jc w:val="both"/>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2021年2月9日</w:t>
      </w:r>
    </w:p>
    <w:sectPr>
      <w:pgSz w:w="11906" w:h="16838"/>
      <w:pgMar w:top="1871" w:right="1361" w:bottom="102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楷体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3F5B"/>
    <w:multiLevelType w:val="singleLevel"/>
    <w:tmpl w:val="28523F5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169AF"/>
    <w:rsid w:val="006E6693"/>
    <w:rsid w:val="007F05DD"/>
    <w:rsid w:val="01765006"/>
    <w:rsid w:val="0178699C"/>
    <w:rsid w:val="02012164"/>
    <w:rsid w:val="021E248B"/>
    <w:rsid w:val="024B29CE"/>
    <w:rsid w:val="02695FE8"/>
    <w:rsid w:val="02F26BBE"/>
    <w:rsid w:val="03070ED6"/>
    <w:rsid w:val="03093350"/>
    <w:rsid w:val="036D274B"/>
    <w:rsid w:val="03804444"/>
    <w:rsid w:val="038542CE"/>
    <w:rsid w:val="0401468C"/>
    <w:rsid w:val="046169AF"/>
    <w:rsid w:val="04EA38E0"/>
    <w:rsid w:val="05525239"/>
    <w:rsid w:val="05CB1FE3"/>
    <w:rsid w:val="05FB37DA"/>
    <w:rsid w:val="06A678DA"/>
    <w:rsid w:val="06AE22F0"/>
    <w:rsid w:val="06F6021C"/>
    <w:rsid w:val="071A6F5C"/>
    <w:rsid w:val="072D1686"/>
    <w:rsid w:val="07713A30"/>
    <w:rsid w:val="08187FF7"/>
    <w:rsid w:val="084B4C61"/>
    <w:rsid w:val="08723CA3"/>
    <w:rsid w:val="08B533EA"/>
    <w:rsid w:val="08EE3C98"/>
    <w:rsid w:val="09742BE9"/>
    <w:rsid w:val="099D162D"/>
    <w:rsid w:val="09A74958"/>
    <w:rsid w:val="09C7126B"/>
    <w:rsid w:val="0AC33FB7"/>
    <w:rsid w:val="0ADB5C4C"/>
    <w:rsid w:val="0B124461"/>
    <w:rsid w:val="0B2B1448"/>
    <w:rsid w:val="0B430D42"/>
    <w:rsid w:val="0B734DB1"/>
    <w:rsid w:val="0B8730D9"/>
    <w:rsid w:val="0BA02CB6"/>
    <w:rsid w:val="0BB64F7E"/>
    <w:rsid w:val="0BC4501A"/>
    <w:rsid w:val="0BD845CE"/>
    <w:rsid w:val="0C861096"/>
    <w:rsid w:val="0D1D5595"/>
    <w:rsid w:val="0D300E0A"/>
    <w:rsid w:val="0D5F5E5A"/>
    <w:rsid w:val="0D915146"/>
    <w:rsid w:val="0DB966CE"/>
    <w:rsid w:val="0DD51EE4"/>
    <w:rsid w:val="0E303A54"/>
    <w:rsid w:val="0E4C3B94"/>
    <w:rsid w:val="0EE06784"/>
    <w:rsid w:val="0EF1245C"/>
    <w:rsid w:val="0F3858F8"/>
    <w:rsid w:val="0FEF6675"/>
    <w:rsid w:val="0FF469C6"/>
    <w:rsid w:val="10583294"/>
    <w:rsid w:val="107E5C3D"/>
    <w:rsid w:val="108C4AAF"/>
    <w:rsid w:val="10BD4F5F"/>
    <w:rsid w:val="10F46604"/>
    <w:rsid w:val="11161EA5"/>
    <w:rsid w:val="113809EE"/>
    <w:rsid w:val="11735C0D"/>
    <w:rsid w:val="117D3338"/>
    <w:rsid w:val="119320ED"/>
    <w:rsid w:val="12A67E65"/>
    <w:rsid w:val="12B302FC"/>
    <w:rsid w:val="12B334FB"/>
    <w:rsid w:val="12C213F3"/>
    <w:rsid w:val="12D30AC3"/>
    <w:rsid w:val="12EB5C32"/>
    <w:rsid w:val="13042F8F"/>
    <w:rsid w:val="131A459E"/>
    <w:rsid w:val="131D2EF5"/>
    <w:rsid w:val="134F78A5"/>
    <w:rsid w:val="136E6BF6"/>
    <w:rsid w:val="14F35696"/>
    <w:rsid w:val="15060101"/>
    <w:rsid w:val="150D4D5D"/>
    <w:rsid w:val="158C4165"/>
    <w:rsid w:val="15CE66F3"/>
    <w:rsid w:val="15F76DE7"/>
    <w:rsid w:val="16534CDD"/>
    <w:rsid w:val="166E305A"/>
    <w:rsid w:val="171B7C2B"/>
    <w:rsid w:val="1786376B"/>
    <w:rsid w:val="178A4FFC"/>
    <w:rsid w:val="17B438FB"/>
    <w:rsid w:val="180B0491"/>
    <w:rsid w:val="1811606D"/>
    <w:rsid w:val="183E631E"/>
    <w:rsid w:val="18643613"/>
    <w:rsid w:val="19000FF5"/>
    <w:rsid w:val="191465D1"/>
    <w:rsid w:val="19195921"/>
    <w:rsid w:val="198D2249"/>
    <w:rsid w:val="19D87706"/>
    <w:rsid w:val="19FA45D6"/>
    <w:rsid w:val="1A3521C3"/>
    <w:rsid w:val="1A4D7E1C"/>
    <w:rsid w:val="1A536816"/>
    <w:rsid w:val="1A592778"/>
    <w:rsid w:val="1AC27F92"/>
    <w:rsid w:val="1B920C47"/>
    <w:rsid w:val="1B9D5D1C"/>
    <w:rsid w:val="1C191C1F"/>
    <w:rsid w:val="1C2B2BD8"/>
    <w:rsid w:val="1C4319BB"/>
    <w:rsid w:val="1C445B22"/>
    <w:rsid w:val="1CCA1CC0"/>
    <w:rsid w:val="1D110D80"/>
    <w:rsid w:val="1DE36BD2"/>
    <w:rsid w:val="1DE84FA0"/>
    <w:rsid w:val="1DF27C12"/>
    <w:rsid w:val="1E6C02D2"/>
    <w:rsid w:val="1E9064BC"/>
    <w:rsid w:val="1EAB63CA"/>
    <w:rsid w:val="1F454E1E"/>
    <w:rsid w:val="1F856A97"/>
    <w:rsid w:val="1F8F520A"/>
    <w:rsid w:val="1FC949B3"/>
    <w:rsid w:val="2000307B"/>
    <w:rsid w:val="205A23CE"/>
    <w:rsid w:val="2078458D"/>
    <w:rsid w:val="20BE04C9"/>
    <w:rsid w:val="213A3779"/>
    <w:rsid w:val="217F66FA"/>
    <w:rsid w:val="21D41582"/>
    <w:rsid w:val="21EA5CB6"/>
    <w:rsid w:val="223762DC"/>
    <w:rsid w:val="22475FD8"/>
    <w:rsid w:val="22807038"/>
    <w:rsid w:val="22874664"/>
    <w:rsid w:val="22B31486"/>
    <w:rsid w:val="22BC1584"/>
    <w:rsid w:val="23612D69"/>
    <w:rsid w:val="249941C2"/>
    <w:rsid w:val="249D740C"/>
    <w:rsid w:val="249E7878"/>
    <w:rsid w:val="24B13FA3"/>
    <w:rsid w:val="24B4364F"/>
    <w:rsid w:val="24E84F5E"/>
    <w:rsid w:val="252B359F"/>
    <w:rsid w:val="25302A09"/>
    <w:rsid w:val="256A233B"/>
    <w:rsid w:val="25A51E6C"/>
    <w:rsid w:val="260629BD"/>
    <w:rsid w:val="262A0565"/>
    <w:rsid w:val="264C0FC3"/>
    <w:rsid w:val="264F1B0D"/>
    <w:rsid w:val="26C6222A"/>
    <w:rsid w:val="2715737C"/>
    <w:rsid w:val="271E6644"/>
    <w:rsid w:val="273463CD"/>
    <w:rsid w:val="27CC7F6D"/>
    <w:rsid w:val="27DA79A0"/>
    <w:rsid w:val="281E411A"/>
    <w:rsid w:val="282C1B55"/>
    <w:rsid w:val="28953EF0"/>
    <w:rsid w:val="28B80A5E"/>
    <w:rsid w:val="28BF1C13"/>
    <w:rsid w:val="28D26DDB"/>
    <w:rsid w:val="2969163E"/>
    <w:rsid w:val="2A0350D2"/>
    <w:rsid w:val="2A0A5CCD"/>
    <w:rsid w:val="2A0B5569"/>
    <w:rsid w:val="2A245B20"/>
    <w:rsid w:val="2A8D7A34"/>
    <w:rsid w:val="2ABF7DCC"/>
    <w:rsid w:val="2ACA0F8D"/>
    <w:rsid w:val="2B2220D9"/>
    <w:rsid w:val="2B617D13"/>
    <w:rsid w:val="2B7B707B"/>
    <w:rsid w:val="2BAC10F8"/>
    <w:rsid w:val="2BEC67BD"/>
    <w:rsid w:val="2C0F2ECF"/>
    <w:rsid w:val="2CAC36AD"/>
    <w:rsid w:val="2CC73E17"/>
    <w:rsid w:val="2D08624E"/>
    <w:rsid w:val="2D1619A4"/>
    <w:rsid w:val="2D661911"/>
    <w:rsid w:val="2D913835"/>
    <w:rsid w:val="2DA0674A"/>
    <w:rsid w:val="2DCF5A0B"/>
    <w:rsid w:val="2E5A2234"/>
    <w:rsid w:val="2E6D1F77"/>
    <w:rsid w:val="2F727337"/>
    <w:rsid w:val="2FEC2393"/>
    <w:rsid w:val="300657E8"/>
    <w:rsid w:val="30256BF3"/>
    <w:rsid w:val="304F2113"/>
    <w:rsid w:val="30854F77"/>
    <w:rsid w:val="31974A88"/>
    <w:rsid w:val="31E44621"/>
    <w:rsid w:val="32330EBC"/>
    <w:rsid w:val="326F2C5E"/>
    <w:rsid w:val="329155A8"/>
    <w:rsid w:val="334A614A"/>
    <w:rsid w:val="335E4B63"/>
    <w:rsid w:val="342430DE"/>
    <w:rsid w:val="34477178"/>
    <w:rsid w:val="34507F39"/>
    <w:rsid w:val="34605AC9"/>
    <w:rsid w:val="34871EEE"/>
    <w:rsid w:val="34AE3860"/>
    <w:rsid w:val="34FB6475"/>
    <w:rsid w:val="35430447"/>
    <w:rsid w:val="354544AE"/>
    <w:rsid w:val="3582313B"/>
    <w:rsid w:val="359F18BF"/>
    <w:rsid w:val="35CC7111"/>
    <w:rsid w:val="35ED7518"/>
    <w:rsid w:val="35F329B6"/>
    <w:rsid w:val="36806838"/>
    <w:rsid w:val="369B4C3D"/>
    <w:rsid w:val="36E303A5"/>
    <w:rsid w:val="37226F26"/>
    <w:rsid w:val="374A77CF"/>
    <w:rsid w:val="376C7F3C"/>
    <w:rsid w:val="37EA64F1"/>
    <w:rsid w:val="37F43CC5"/>
    <w:rsid w:val="39353FE3"/>
    <w:rsid w:val="398F0FBC"/>
    <w:rsid w:val="39D00F5F"/>
    <w:rsid w:val="39D258D3"/>
    <w:rsid w:val="39DE6CAC"/>
    <w:rsid w:val="3AB612FF"/>
    <w:rsid w:val="3ABA3F8D"/>
    <w:rsid w:val="3B453F35"/>
    <w:rsid w:val="3B49247A"/>
    <w:rsid w:val="3B8164D5"/>
    <w:rsid w:val="3BB63946"/>
    <w:rsid w:val="3BDB0A72"/>
    <w:rsid w:val="3BFD5111"/>
    <w:rsid w:val="3C472F6A"/>
    <w:rsid w:val="3C6058AC"/>
    <w:rsid w:val="3C8F3E16"/>
    <w:rsid w:val="3CA2206B"/>
    <w:rsid w:val="3D1C6513"/>
    <w:rsid w:val="3D305E63"/>
    <w:rsid w:val="3D3154CB"/>
    <w:rsid w:val="3D4D70E1"/>
    <w:rsid w:val="3D502A11"/>
    <w:rsid w:val="3D6A7F4B"/>
    <w:rsid w:val="3DB919E8"/>
    <w:rsid w:val="3E2A7B93"/>
    <w:rsid w:val="3EBE747A"/>
    <w:rsid w:val="3EC45A5D"/>
    <w:rsid w:val="3EDD70BD"/>
    <w:rsid w:val="3EFA2B27"/>
    <w:rsid w:val="3F3343B2"/>
    <w:rsid w:val="3F3C576D"/>
    <w:rsid w:val="40416F61"/>
    <w:rsid w:val="40643D39"/>
    <w:rsid w:val="41C33DF4"/>
    <w:rsid w:val="42566D41"/>
    <w:rsid w:val="428069AD"/>
    <w:rsid w:val="42DF31D7"/>
    <w:rsid w:val="432D029B"/>
    <w:rsid w:val="433C1D88"/>
    <w:rsid w:val="436F2CDB"/>
    <w:rsid w:val="439E3284"/>
    <w:rsid w:val="43AB032F"/>
    <w:rsid w:val="43BB472B"/>
    <w:rsid w:val="43C34094"/>
    <w:rsid w:val="43DA4B54"/>
    <w:rsid w:val="43F46C1A"/>
    <w:rsid w:val="43FE390D"/>
    <w:rsid w:val="441541D9"/>
    <w:rsid w:val="44807422"/>
    <w:rsid w:val="450C36E3"/>
    <w:rsid w:val="4640669E"/>
    <w:rsid w:val="46A329D1"/>
    <w:rsid w:val="478B4E89"/>
    <w:rsid w:val="479F70C3"/>
    <w:rsid w:val="47A92B66"/>
    <w:rsid w:val="48325B7D"/>
    <w:rsid w:val="48863DFF"/>
    <w:rsid w:val="489F55C4"/>
    <w:rsid w:val="48FD3277"/>
    <w:rsid w:val="4964004F"/>
    <w:rsid w:val="49B538EC"/>
    <w:rsid w:val="49EA746F"/>
    <w:rsid w:val="4A3D35AB"/>
    <w:rsid w:val="4A912387"/>
    <w:rsid w:val="4AE94419"/>
    <w:rsid w:val="4AF14C6A"/>
    <w:rsid w:val="4B0069F2"/>
    <w:rsid w:val="4B7347A6"/>
    <w:rsid w:val="4B7C477D"/>
    <w:rsid w:val="4B996F75"/>
    <w:rsid w:val="4BFA64DA"/>
    <w:rsid w:val="4CC73635"/>
    <w:rsid w:val="4CDE2880"/>
    <w:rsid w:val="4D0C0E08"/>
    <w:rsid w:val="4D131220"/>
    <w:rsid w:val="4DB32C95"/>
    <w:rsid w:val="4DEB66CF"/>
    <w:rsid w:val="4E066B5A"/>
    <w:rsid w:val="4E202451"/>
    <w:rsid w:val="4EC54340"/>
    <w:rsid w:val="4ED33B00"/>
    <w:rsid w:val="4F43011C"/>
    <w:rsid w:val="4F4B2F64"/>
    <w:rsid w:val="4F6B3351"/>
    <w:rsid w:val="4F841371"/>
    <w:rsid w:val="4F8F36E9"/>
    <w:rsid w:val="4FA17112"/>
    <w:rsid w:val="4FD33F16"/>
    <w:rsid w:val="4FE252A2"/>
    <w:rsid w:val="502F1F08"/>
    <w:rsid w:val="50B04D06"/>
    <w:rsid w:val="50F8000F"/>
    <w:rsid w:val="511705C5"/>
    <w:rsid w:val="52044BE6"/>
    <w:rsid w:val="521C49A8"/>
    <w:rsid w:val="523B4CAB"/>
    <w:rsid w:val="529A4FD8"/>
    <w:rsid w:val="52DD4398"/>
    <w:rsid w:val="531653B9"/>
    <w:rsid w:val="533860C8"/>
    <w:rsid w:val="53492C82"/>
    <w:rsid w:val="53501EF1"/>
    <w:rsid w:val="537D7340"/>
    <w:rsid w:val="53832FE9"/>
    <w:rsid w:val="542B4A5F"/>
    <w:rsid w:val="554658D4"/>
    <w:rsid w:val="55DF2F53"/>
    <w:rsid w:val="55E845DF"/>
    <w:rsid w:val="561F4A06"/>
    <w:rsid w:val="568F1924"/>
    <w:rsid w:val="56C1711D"/>
    <w:rsid w:val="56C27F88"/>
    <w:rsid w:val="56FB0469"/>
    <w:rsid w:val="57083CBA"/>
    <w:rsid w:val="57152D52"/>
    <w:rsid w:val="572C115C"/>
    <w:rsid w:val="57BD0D9F"/>
    <w:rsid w:val="57C60323"/>
    <w:rsid w:val="58206DEE"/>
    <w:rsid w:val="583B6EC5"/>
    <w:rsid w:val="588E4F49"/>
    <w:rsid w:val="58D90809"/>
    <w:rsid w:val="58E21C97"/>
    <w:rsid w:val="58F92B0E"/>
    <w:rsid w:val="593F529E"/>
    <w:rsid w:val="599D2070"/>
    <w:rsid w:val="59BF639F"/>
    <w:rsid w:val="5A2730BF"/>
    <w:rsid w:val="5A394929"/>
    <w:rsid w:val="5A4D50D0"/>
    <w:rsid w:val="5A5972FD"/>
    <w:rsid w:val="5A8052CC"/>
    <w:rsid w:val="5A8A761D"/>
    <w:rsid w:val="5AA3671B"/>
    <w:rsid w:val="5ACE25EE"/>
    <w:rsid w:val="5B010D97"/>
    <w:rsid w:val="5C085F1D"/>
    <w:rsid w:val="5C0D1EA9"/>
    <w:rsid w:val="5C4931AE"/>
    <w:rsid w:val="5C5A09AF"/>
    <w:rsid w:val="5C7379D8"/>
    <w:rsid w:val="5C840E0B"/>
    <w:rsid w:val="5CE602D6"/>
    <w:rsid w:val="5D324B18"/>
    <w:rsid w:val="5D6435B4"/>
    <w:rsid w:val="5D6C2F16"/>
    <w:rsid w:val="5DF856C1"/>
    <w:rsid w:val="5FEA2645"/>
    <w:rsid w:val="5FF069EB"/>
    <w:rsid w:val="60035E02"/>
    <w:rsid w:val="6036479D"/>
    <w:rsid w:val="605657C4"/>
    <w:rsid w:val="60D74F8C"/>
    <w:rsid w:val="60DD0064"/>
    <w:rsid w:val="60E937BE"/>
    <w:rsid w:val="6106322C"/>
    <w:rsid w:val="615B7400"/>
    <w:rsid w:val="616246DA"/>
    <w:rsid w:val="618164E0"/>
    <w:rsid w:val="61AE6ACC"/>
    <w:rsid w:val="63787674"/>
    <w:rsid w:val="63D06EA1"/>
    <w:rsid w:val="64BC35D0"/>
    <w:rsid w:val="64BE3901"/>
    <w:rsid w:val="64CC2DA0"/>
    <w:rsid w:val="64D046A6"/>
    <w:rsid w:val="64F1084A"/>
    <w:rsid w:val="65242634"/>
    <w:rsid w:val="654C0D9E"/>
    <w:rsid w:val="65B068D6"/>
    <w:rsid w:val="65C475A6"/>
    <w:rsid w:val="65D90C27"/>
    <w:rsid w:val="65E04D01"/>
    <w:rsid w:val="66261B15"/>
    <w:rsid w:val="66826114"/>
    <w:rsid w:val="66D24D9E"/>
    <w:rsid w:val="67A22C8A"/>
    <w:rsid w:val="67F30053"/>
    <w:rsid w:val="680E5426"/>
    <w:rsid w:val="68333E8C"/>
    <w:rsid w:val="685C40C1"/>
    <w:rsid w:val="688212AD"/>
    <w:rsid w:val="68A66212"/>
    <w:rsid w:val="68CA082B"/>
    <w:rsid w:val="68E67BBC"/>
    <w:rsid w:val="69294970"/>
    <w:rsid w:val="69B67C62"/>
    <w:rsid w:val="69E248EC"/>
    <w:rsid w:val="6A0E397B"/>
    <w:rsid w:val="6A242D7D"/>
    <w:rsid w:val="6A9A0193"/>
    <w:rsid w:val="6B60472F"/>
    <w:rsid w:val="6B955647"/>
    <w:rsid w:val="6C7A5714"/>
    <w:rsid w:val="6CFA5F29"/>
    <w:rsid w:val="6D827821"/>
    <w:rsid w:val="6DDC5C9A"/>
    <w:rsid w:val="6DFB6898"/>
    <w:rsid w:val="6E4148B9"/>
    <w:rsid w:val="6E414E2D"/>
    <w:rsid w:val="6E47207A"/>
    <w:rsid w:val="6E804A6A"/>
    <w:rsid w:val="6EB11A5E"/>
    <w:rsid w:val="6ECA55AC"/>
    <w:rsid w:val="6F23323B"/>
    <w:rsid w:val="6F3C1C3D"/>
    <w:rsid w:val="6F9713CF"/>
    <w:rsid w:val="6F9E42BF"/>
    <w:rsid w:val="6FA86160"/>
    <w:rsid w:val="6FCB2698"/>
    <w:rsid w:val="707864BC"/>
    <w:rsid w:val="708277B8"/>
    <w:rsid w:val="70951A45"/>
    <w:rsid w:val="70BA5F12"/>
    <w:rsid w:val="70D7176D"/>
    <w:rsid w:val="70F568A4"/>
    <w:rsid w:val="7161626E"/>
    <w:rsid w:val="71F63CE8"/>
    <w:rsid w:val="72201AC5"/>
    <w:rsid w:val="72926AE0"/>
    <w:rsid w:val="733732A1"/>
    <w:rsid w:val="74013F3B"/>
    <w:rsid w:val="74107FB4"/>
    <w:rsid w:val="741616CF"/>
    <w:rsid w:val="7451126D"/>
    <w:rsid w:val="747F1D40"/>
    <w:rsid w:val="750E1D75"/>
    <w:rsid w:val="75311C2B"/>
    <w:rsid w:val="75FA1B19"/>
    <w:rsid w:val="760E58EC"/>
    <w:rsid w:val="7646308D"/>
    <w:rsid w:val="767F4267"/>
    <w:rsid w:val="77023908"/>
    <w:rsid w:val="77146FC8"/>
    <w:rsid w:val="77272769"/>
    <w:rsid w:val="77301F25"/>
    <w:rsid w:val="775852D7"/>
    <w:rsid w:val="778D0627"/>
    <w:rsid w:val="77A63658"/>
    <w:rsid w:val="780E6776"/>
    <w:rsid w:val="78904B68"/>
    <w:rsid w:val="789A5A91"/>
    <w:rsid w:val="78E00CDC"/>
    <w:rsid w:val="78F66FF3"/>
    <w:rsid w:val="791B7C78"/>
    <w:rsid w:val="79DC01B2"/>
    <w:rsid w:val="7A1D1879"/>
    <w:rsid w:val="7A490AEB"/>
    <w:rsid w:val="7AF62649"/>
    <w:rsid w:val="7B11634C"/>
    <w:rsid w:val="7B4E3533"/>
    <w:rsid w:val="7C291B45"/>
    <w:rsid w:val="7C2E6D05"/>
    <w:rsid w:val="7C4C7AE6"/>
    <w:rsid w:val="7C7F7A42"/>
    <w:rsid w:val="7C8011CD"/>
    <w:rsid w:val="7CD46FB7"/>
    <w:rsid w:val="7D027581"/>
    <w:rsid w:val="7D1376CC"/>
    <w:rsid w:val="7E15192E"/>
    <w:rsid w:val="7E1B3210"/>
    <w:rsid w:val="7E4E1695"/>
    <w:rsid w:val="7EB614B1"/>
    <w:rsid w:val="7F5E1408"/>
    <w:rsid w:val="7F6E7B96"/>
    <w:rsid w:val="7FE26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next w:val="1"/>
    <w:qFormat/>
    <w:uiPriority w:val="0"/>
    <w:pPr>
      <w:widowControl w:val="0"/>
      <w:snapToGrid w:val="0"/>
      <w:spacing w:line="300" w:lineRule="auto"/>
      <w:ind w:firstLine="556"/>
      <w:jc w:val="both"/>
    </w:pPr>
    <w:rPr>
      <w:rFonts w:ascii="仿宋_GB2312" w:eastAsia="仿宋_GB2312" w:hAnsiTheme="minorHAnsi" w:cstheme="minorBidi"/>
      <w:kern w:val="0"/>
      <w:sz w:val="21"/>
      <w:szCs w:val="22"/>
      <w:lang w:val="en-US" w:eastAsia="zh-CN"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曲靖市宣威市党政机关单位</Company>
  <Pages>1</Pages>
  <Words>0</Words>
  <Characters>0</Characters>
  <Lines>0</Lines>
  <Paragraphs>0</Paragraphs>
  <TotalTime>10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2020-12-18T00:49:00Z</dcterms:created>
  <dc:creator>天行健</dc:creator>
  <cp:lastModifiedBy>Lenovo</cp:lastModifiedBy>
  <cp:lastPrinted>2020-12-18T09:40:00Z</cp:lastPrinted>
  <dcterms:modified xsi:type="dcterms:W3CDTF">2022-02-09T02:56:06Z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