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sz w:val="44"/>
          <w:szCs w:val="44"/>
          <w:lang w:eastAsia="zh-CN"/>
        </w:rPr>
        <w:t>宣威市发展和改革局202</w:t>
      </w:r>
      <w:r>
        <w:rPr>
          <w:rFonts w:hint="eastAsia" w:ascii="方正小标宋简体" w:hAnsi="方正小标宋简体" w:eastAsia="方正小标宋简体" w:cs="方正小标宋简体"/>
          <w:b w:val="0"/>
          <w:i w:val="0"/>
          <w:caps w:val="0"/>
          <w:color w:val="000000"/>
          <w:spacing w:val="0"/>
          <w:sz w:val="44"/>
          <w:szCs w:val="44"/>
          <w:lang w:val="en-US" w:eastAsia="zh-CN"/>
        </w:rPr>
        <w:t>1</w:t>
      </w:r>
      <w:r>
        <w:rPr>
          <w:rFonts w:hint="eastAsia" w:ascii="方正小标宋简体" w:hAnsi="方正小标宋简体" w:eastAsia="方正小标宋简体" w:cs="方正小标宋简体"/>
          <w:b w:val="0"/>
          <w:i w:val="0"/>
          <w:caps w:val="0"/>
          <w:color w:val="000000"/>
          <w:spacing w:val="0"/>
          <w:sz w:val="44"/>
          <w:szCs w:val="44"/>
        </w:rPr>
        <w:t>年政府信息公开工作年度报告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根据《中华人民共和国政府信息公开条例》及省、曲靖市和宣威市政府信息公开相关工作要求，现将宣威市发展和改革局2021年度政府信息公开工作报告如下。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宣威市发展和改革局深入学习贯彻习近平新时代中国特色社会主义思想，认真贯彻落实政府信息公开工作要求，把全面推进政务信息和政务公开工作列入重要议事日程，提升政务服务工作实效，推进政务公开制度化规范化建设，把政务公开工作与中心工作共抓共推，确保年度政务公开各项工作任务落到实处。主要采取了以下工作措施：</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楷体GB2312" w:hAnsi="楷体GB2312" w:eastAsia="楷体GB2312" w:cs="楷体GB2312"/>
          <w:b w:val="0"/>
          <w:bCs w:val="0"/>
          <w:kern w:val="2"/>
          <w:sz w:val="32"/>
          <w:szCs w:val="32"/>
          <w:lang w:val="en-US" w:eastAsia="zh-CN" w:bidi="ar-SA"/>
        </w:rPr>
      </w:pPr>
      <w:r>
        <w:rPr>
          <w:rFonts w:hint="eastAsia" w:ascii="楷体GB2312" w:hAnsi="楷体GB2312" w:eastAsia="楷体GB2312" w:cs="楷体GB2312"/>
          <w:b w:val="0"/>
          <w:bCs w:val="0"/>
          <w:kern w:val="2"/>
          <w:sz w:val="32"/>
          <w:szCs w:val="32"/>
          <w:lang w:val="en-US" w:eastAsia="zh-CN" w:bidi="ar-SA"/>
        </w:rPr>
        <w:t>加强组织领导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GB2312" w:hAnsi="仿宋GB2312" w:eastAsia="仿宋GB2312" w:cs="仿宋GB2312"/>
          <w:i w:val="0"/>
          <w:caps w:val="0"/>
          <w:color w:val="000000"/>
          <w:spacing w:val="0"/>
          <w:sz w:val="32"/>
          <w:szCs w:val="32"/>
        </w:rPr>
      </w:pPr>
      <w:r>
        <w:rPr>
          <w:rFonts w:hint="eastAsia" w:ascii="仿宋_GB2312" w:hAnsi="仿宋_GB2312" w:eastAsia="仿宋_GB2312" w:cs="仿宋_GB2312"/>
          <w:b w:val="0"/>
          <w:bCs w:val="0"/>
          <w:kern w:val="2"/>
          <w:sz w:val="32"/>
          <w:szCs w:val="32"/>
          <w:lang w:val="en-US" w:eastAsia="zh-CN" w:bidi="ar-SA"/>
        </w:rPr>
        <w:t>进一步充实政府信息公开工作领导小组，健全工作机制，切实加强对具体公开事项的指导及实施，</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b w:val="0"/>
          <w:bCs w:val="0"/>
          <w:sz w:val="32"/>
          <w:szCs w:val="32"/>
          <w:lang w:val="en-US" w:eastAsia="zh-CN"/>
        </w:rPr>
        <w:t>定</w:t>
      </w:r>
      <w:r>
        <w:rPr>
          <w:rFonts w:hint="eastAsia" w:ascii="仿宋_GB2312" w:hAnsi="仿宋_GB2312" w:eastAsia="仿宋_GB2312" w:cs="仿宋_GB2312"/>
          <w:sz w:val="32"/>
          <w:szCs w:val="32"/>
          <w:lang w:val="en-US" w:eastAsia="zh-CN"/>
        </w:rPr>
        <w:t>专人负责政府信息公开采编和管理工作，</w:t>
      </w:r>
      <w:r>
        <w:rPr>
          <w:rFonts w:hint="eastAsia" w:ascii="仿宋GB2312" w:hAnsi="仿宋GB2312" w:eastAsia="仿宋GB2312" w:cs="仿宋GB2312"/>
          <w:i w:val="0"/>
          <w:caps w:val="0"/>
          <w:color w:val="000000"/>
          <w:spacing w:val="0"/>
          <w:sz w:val="32"/>
          <w:szCs w:val="32"/>
        </w:rPr>
        <w:t>积极组织工作人员参加有关政府信息公开培训，</w:t>
      </w:r>
      <w:r>
        <w:rPr>
          <w:rFonts w:hint="eastAsia" w:ascii="仿宋GB2312" w:hAnsi="仿宋GB2312" w:eastAsia="仿宋GB2312" w:cs="仿宋GB2312"/>
          <w:i w:val="0"/>
          <w:caps w:val="0"/>
          <w:color w:val="000000"/>
          <w:spacing w:val="0"/>
          <w:sz w:val="32"/>
          <w:szCs w:val="32"/>
          <w:lang w:val="en-US" w:eastAsia="zh-CN"/>
        </w:rPr>
        <w:t>加强</w:t>
      </w:r>
      <w:r>
        <w:rPr>
          <w:rFonts w:hint="eastAsia" w:ascii="仿宋GB2312" w:hAnsi="仿宋GB2312" w:eastAsia="仿宋GB2312" w:cs="仿宋GB2312"/>
          <w:i w:val="0"/>
          <w:caps w:val="0"/>
          <w:color w:val="000000"/>
          <w:spacing w:val="0"/>
          <w:sz w:val="32"/>
          <w:szCs w:val="32"/>
        </w:rPr>
        <w:t>业务指导，加强对《条例》和上级行有关政府信息公开工作文件的学习和宣传，</w:t>
      </w:r>
      <w:r>
        <w:rPr>
          <w:rFonts w:hint="eastAsia" w:ascii="仿宋GB2312" w:hAnsi="仿宋GB2312" w:eastAsia="仿宋GB2312" w:cs="仿宋GB2312"/>
          <w:i w:val="0"/>
          <w:caps w:val="0"/>
          <w:color w:val="000000"/>
          <w:spacing w:val="0"/>
          <w:sz w:val="32"/>
          <w:szCs w:val="32"/>
          <w:lang w:val="en-US" w:eastAsia="zh-CN"/>
        </w:rPr>
        <w:t>掌握</w:t>
      </w:r>
      <w:r>
        <w:rPr>
          <w:rFonts w:hint="eastAsia" w:ascii="仿宋GB2312" w:hAnsi="仿宋GB2312" w:eastAsia="仿宋GB2312" w:cs="仿宋GB2312"/>
          <w:i w:val="0"/>
          <w:caps w:val="0"/>
          <w:color w:val="000000"/>
          <w:spacing w:val="0"/>
          <w:sz w:val="32"/>
          <w:szCs w:val="32"/>
        </w:rPr>
        <w:t>工作要求和方法，提升</w:t>
      </w:r>
      <w:r>
        <w:rPr>
          <w:rFonts w:hint="eastAsia" w:ascii="仿宋GB2312" w:hAnsi="仿宋GB2312" w:eastAsia="仿宋GB2312" w:cs="仿宋GB2312"/>
          <w:i w:val="0"/>
          <w:caps w:val="0"/>
          <w:color w:val="000000"/>
          <w:spacing w:val="0"/>
          <w:sz w:val="32"/>
          <w:szCs w:val="32"/>
          <w:lang w:val="en-US" w:eastAsia="zh-CN"/>
        </w:rPr>
        <w:t>信息公开质量</w:t>
      </w:r>
      <w:r>
        <w:rPr>
          <w:rFonts w:hint="eastAsia" w:ascii="仿宋GB2312" w:hAnsi="仿宋GB2312" w:eastAsia="仿宋GB2312" w:cs="仿宋GB2312"/>
          <w:i w:val="0"/>
          <w:caps w:val="0"/>
          <w:color w:val="000000"/>
          <w:spacing w:val="0"/>
          <w:sz w:val="32"/>
          <w:szCs w:val="32"/>
        </w:rPr>
        <w:t>。</w:t>
      </w:r>
      <w:r>
        <w:rPr>
          <w:rFonts w:hint="eastAsia" w:ascii="仿宋GB2312" w:hAnsi="仿宋GB2312" w:eastAsia="仿宋GB2312" w:cs="仿宋GB2312"/>
          <w:i w:val="0"/>
          <w:caps w:val="0"/>
          <w:color w:val="000000"/>
          <w:spacing w:val="0"/>
          <w:sz w:val="32"/>
          <w:szCs w:val="32"/>
          <w:lang w:val="en-US" w:eastAsia="zh-CN"/>
        </w:rPr>
        <w:t>严格</w:t>
      </w:r>
      <w:r>
        <w:rPr>
          <w:rFonts w:hint="eastAsia" w:ascii="仿宋_GB2312" w:hAnsi="仿宋_GB2312" w:eastAsia="仿宋_GB2312" w:cs="仿宋_GB2312"/>
          <w:b w:val="0"/>
          <w:bCs w:val="0"/>
          <w:kern w:val="2"/>
          <w:sz w:val="32"/>
          <w:szCs w:val="32"/>
          <w:lang w:val="en-US" w:eastAsia="zh-CN" w:bidi="ar-SA"/>
        </w:rPr>
        <w:t>落实好工作目标、计划和工作任务，</w:t>
      </w:r>
      <w:r>
        <w:rPr>
          <w:rFonts w:hint="eastAsia" w:ascii="仿宋GB2312" w:hAnsi="仿宋GB2312" w:eastAsia="仿宋GB2312" w:cs="仿宋GB2312"/>
          <w:i w:val="0"/>
          <w:caps w:val="0"/>
          <w:color w:val="000000"/>
          <w:spacing w:val="0"/>
          <w:sz w:val="32"/>
          <w:szCs w:val="32"/>
        </w:rPr>
        <w:t>确保了政府信息公开工作的</w:t>
      </w:r>
      <w:r>
        <w:rPr>
          <w:rFonts w:hint="eastAsia" w:ascii="仿宋GB2312" w:hAnsi="仿宋GB2312" w:eastAsia="仿宋GB2312" w:cs="仿宋GB2312"/>
          <w:i w:val="0"/>
          <w:caps w:val="0"/>
          <w:color w:val="000000"/>
          <w:spacing w:val="0"/>
          <w:sz w:val="32"/>
          <w:szCs w:val="32"/>
          <w:lang w:val="en-US" w:eastAsia="zh-CN"/>
        </w:rPr>
        <w:t>有序</w:t>
      </w:r>
      <w:r>
        <w:rPr>
          <w:rFonts w:hint="eastAsia" w:ascii="仿宋GB2312" w:hAnsi="仿宋GB2312" w:eastAsia="仿宋GB2312" w:cs="仿宋GB2312"/>
          <w:i w:val="0"/>
          <w:caps w:val="0"/>
          <w:color w:val="000000"/>
          <w:spacing w:val="0"/>
          <w:sz w:val="32"/>
          <w:szCs w:val="32"/>
        </w:rPr>
        <w:t>开展。</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640" w:leftChars="0" w:right="0" w:rightChars="0"/>
        <w:jc w:val="both"/>
        <w:textAlignment w:val="auto"/>
        <w:rPr>
          <w:rFonts w:hint="eastAsia" w:ascii="楷体GB2312" w:hAnsi="楷体GB2312" w:eastAsia="楷体GB2312" w:cs="楷体GB2312"/>
          <w:b w:val="0"/>
          <w:bCs w:val="0"/>
          <w:kern w:val="2"/>
          <w:sz w:val="32"/>
          <w:szCs w:val="32"/>
          <w:lang w:val="en-US" w:eastAsia="zh-CN" w:bidi="ar-SA"/>
        </w:rPr>
      </w:pPr>
      <w:r>
        <w:rPr>
          <w:rFonts w:hint="eastAsia" w:ascii="楷体GB2312" w:hAnsi="楷体GB2312" w:eastAsia="楷体GB2312" w:cs="楷体GB2312"/>
          <w:b w:val="0"/>
          <w:bCs w:val="0"/>
          <w:kern w:val="2"/>
          <w:sz w:val="32"/>
          <w:szCs w:val="32"/>
          <w:lang w:val="en-US" w:eastAsia="zh-CN" w:bidi="ar-SA"/>
        </w:rPr>
        <w:t>（二）完善工作机制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GB2312" w:hAnsi="仿宋GB2312" w:eastAsia="仿宋GB2312" w:cs="仿宋GB2312"/>
          <w:i w:val="0"/>
          <w:caps w:val="0"/>
          <w:color w:val="000000"/>
          <w:spacing w:val="0"/>
          <w:sz w:val="32"/>
          <w:szCs w:val="32"/>
        </w:rPr>
      </w:pPr>
      <w:r>
        <w:rPr>
          <w:rFonts w:hint="eastAsia" w:ascii="仿宋GB2312" w:hAnsi="仿宋GB2312" w:eastAsia="仿宋GB2312" w:cs="仿宋GB2312"/>
          <w:i w:val="0"/>
          <w:caps w:val="0"/>
          <w:color w:val="000000"/>
          <w:spacing w:val="0"/>
          <w:sz w:val="32"/>
          <w:szCs w:val="32"/>
        </w:rPr>
        <w:t>结合工作实际，不断更新政府信息公开指南，严格按照《中华人民共和国政府信息公开条例》和《保守国家秘密法》等有关法律法规的规定，将凡属应当公开的信息纳入公开目录，同时做好各类公开事项</w:t>
      </w:r>
      <w:r>
        <w:rPr>
          <w:rFonts w:hint="eastAsia" w:ascii="仿宋GB2312" w:hAnsi="仿宋GB2312" w:eastAsia="仿宋GB2312" w:cs="仿宋GB2312"/>
          <w:i w:val="0"/>
          <w:caps w:val="0"/>
          <w:color w:val="000000"/>
          <w:spacing w:val="0"/>
          <w:sz w:val="32"/>
          <w:szCs w:val="32"/>
          <w:lang w:val="en-US" w:eastAsia="zh-CN"/>
        </w:rPr>
        <w:t>审核</w:t>
      </w:r>
      <w:r>
        <w:rPr>
          <w:rFonts w:hint="eastAsia" w:ascii="仿宋GB2312" w:hAnsi="仿宋GB2312" w:eastAsia="仿宋GB2312" w:cs="仿宋GB2312"/>
          <w:i w:val="0"/>
          <w:caps w:val="0"/>
          <w:color w:val="000000"/>
          <w:spacing w:val="0"/>
          <w:sz w:val="32"/>
          <w:szCs w:val="32"/>
        </w:rPr>
        <w:t>登记管理工作，规范公开程序和时限，及时依法发布公开信息。</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640" w:leftChars="0" w:right="0" w:rightChars="0"/>
        <w:jc w:val="both"/>
        <w:textAlignment w:val="auto"/>
        <w:rPr>
          <w:rFonts w:hint="default" w:ascii="楷体GB2312" w:hAnsi="楷体GB2312" w:eastAsia="楷体GB2312" w:cs="楷体GB2312"/>
          <w:b w:val="0"/>
          <w:bCs w:val="0"/>
          <w:kern w:val="2"/>
          <w:sz w:val="32"/>
          <w:szCs w:val="32"/>
          <w:lang w:val="en-US" w:eastAsia="zh-CN" w:bidi="ar-SA"/>
        </w:rPr>
      </w:pPr>
      <w:r>
        <w:rPr>
          <w:rFonts w:hint="eastAsia" w:ascii="楷体GB2312" w:hAnsi="楷体GB2312" w:eastAsia="楷体GB2312" w:cs="楷体GB2312"/>
          <w:b w:val="0"/>
          <w:bCs w:val="0"/>
          <w:kern w:val="2"/>
          <w:sz w:val="32"/>
          <w:szCs w:val="32"/>
          <w:lang w:val="en-US" w:eastAsia="zh-CN" w:bidi="ar-SA"/>
        </w:rPr>
        <w:t>（三）规范运用平台及时发布信息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GB2312" w:hAnsi="仿宋GB2312" w:eastAsia="仿宋GB2312" w:cs="仿宋GB2312"/>
          <w:i w:val="0"/>
          <w:caps w:val="0"/>
          <w:color w:val="000000"/>
          <w:spacing w:val="0"/>
          <w:sz w:val="32"/>
          <w:szCs w:val="32"/>
        </w:rPr>
      </w:pPr>
      <w:r>
        <w:rPr>
          <w:rFonts w:hint="eastAsia" w:ascii="仿宋GB2312" w:hAnsi="仿宋GB2312" w:eastAsia="仿宋GB2312" w:cs="仿宋GB2312"/>
          <w:i w:val="0"/>
          <w:caps w:val="0"/>
          <w:color w:val="000000"/>
          <w:spacing w:val="0"/>
          <w:sz w:val="32"/>
          <w:szCs w:val="32"/>
        </w:rPr>
        <w:t>结合</w:t>
      </w:r>
      <w:r>
        <w:rPr>
          <w:rFonts w:hint="eastAsia" w:ascii="仿宋GB2312" w:hAnsi="仿宋GB2312" w:eastAsia="仿宋GB2312" w:cs="仿宋GB2312"/>
          <w:i w:val="0"/>
          <w:caps w:val="0"/>
          <w:color w:val="000000"/>
          <w:spacing w:val="0"/>
          <w:sz w:val="32"/>
          <w:szCs w:val="32"/>
          <w:lang w:val="en-US" w:eastAsia="zh-CN"/>
        </w:rPr>
        <w:t>工作实际</w:t>
      </w:r>
      <w:r>
        <w:rPr>
          <w:rFonts w:hint="eastAsia" w:ascii="仿宋GB2312" w:hAnsi="仿宋GB2312" w:eastAsia="仿宋GB2312" w:cs="仿宋GB2312"/>
          <w:i w:val="0"/>
          <w:caps w:val="0"/>
          <w:color w:val="000000"/>
          <w:spacing w:val="0"/>
          <w:sz w:val="32"/>
          <w:szCs w:val="32"/>
        </w:rPr>
        <w:t>，进一步健全完善</w:t>
      </w:r>
      <w:r>
        <w:rPr>
          <w:rFonts w:hint="eastAsia" w:ascii="仿宋GB2312" w:hAnsi="仿宋GB2312" w:eastAsia="仿宋GB2312" w:cs="仿宋GB2312"/>
          <w:i w:val="0"/>
          <w:caps w:val="0"/>
          <w:color w:val="000000"/>
          <w:spacing w:val="0"/>
          <w:sz w:val="32"/>
          <w:szCs w:val="32"/>
          <w:lang w:val="en-US" w:eastAsia="zh-CN"/>
        </w:rPr>
        <w:t>市发改局</w:t>
      </w:r>
      <w:r>
        <w:rPr>
          <w:rFonts w:hint="eastAsia" w:ascii="仿宋GB2312" w:hAnsi="仿宋GB2312" w:eastAsia="仿宋GB2312" w:cs="仿宋GB2312"/>
          <w:i w:val="0"/>
          <w:caps w:val="0"/>
          <w:color w:val="000000"/>
          <w:spacing w:val="0"/>
          <w:sz w:val="32"/>
          <w:szCs w:val="32"/>
        </w:rPr>
        <w:t>在宣威市政府门户网站的有关信息公开和发布工作，</w:t>
      </w:r>
      <w:r>
        <w:rPr>
          <w:rFonts w:hint="eastAsia" w:ascii="仿宋GB2312" w:hAnsi="仿宋GB2312" w:eastAsia="仿宋GB2312" w:cs="仿宋GB2312"/>
          <w:i w:val="0"/>
          <w:caps w:val="0"/>
          <w:color w:val="000000"/>
          <w:spacing w:val="0"/>
          <w:sz w:val="32"/>
          <w:szCs w:val="32"/>
          <w:lang w:val="en-US" w:eastAsia="zh-CN"/>
        </w:rPr>
        <w:t>并</w:t>
      </w:r>
      <w:r>
        <w:rPr>
          <w:rFonts w:hint="eastAsia" w:ascii="仿宋GB2312" w:hAnsi="仿宋GB2312" w:eastAsia="仿宋GB2312" w:cs="仿宋GB2312"/>
          <w:i w:val="0"/>
          <w:caps w:val="0"/>
          <w:color w:val="000000"/>
          <w:spacing w:val="0"/>
          <w:sz w:val="32"/>
          <w:szCs w:val="32"/>
        </w:rPr>
        <w:t>在办公楼大厅</w:t>
      </w:r>
      <w:r>
        <w:rPr>
          <w:rFonts w:hint="eastAsia" w:ascii="仿宋GB2312" w:hAnsi="仿宋GB2312" w:eastAsia="仿宋GB2312" w:cs="仿宋GB2312"/>
          <w:i w:val="0"/>
          <w:caps w:val="0"/>
          <w:color w:val="000000"/>
          <w:spacing w:val="0"/>
          <w:sz w:val="32"/>
          <w:szCs w:val="32"/>
          <w:lang w:val="en-US" w:eastAsia="zh-CN"/>
        </w:rPr>
        <w:t>设立信息公开栏</w:t>
      </w:r>
      <w:r>
        <w:rPr>
          <w:rFonts w:hint="eastAsia" w:ascii="仿宋GB2312" w:hAnsi="仿宋GB2312" w:eastAsia="仿宋GB2312" w:cs="仿宋GB2312"/>
          <w:i w:val="0"/>
          <w:caps w:val="0"/>
          <w:color w:val="000000"/>
          <w:spacing w:val="0"/>
          <w:sz w:val="32"/>
          <w:szCs w:val="32"/>
        </w:rPr>
        <w:t>，及时更新和发布单位职能、工作职责、工作动态和</w:t>
      </w:r>
      <w:r>
        <w:rPr>
          <w:rFonts w:hint="eastAsia" w:ascii="仿宋GB2312" w:hAnsi="仿宋GB2312" w:eastAsia="仿宋GB2312" w:cs="仿宋GB2312"/>
          <w:i w:val="0"/>
          <w:caps w:val="0"/>
          <w:color w:val="000000"/>
          <w:spacing w:val="0"/>
          <w:sz w:val="32"/>
          <w:szCs w:val="32"/>
          <w:lang w:val="en-US" w:eastAsia="zh-CN"/>
        </w:rPr>
        <w:t>投资政策、重点项目、价格收费</w:t>
      </w:r>
      <w:r>
        <w:rPr>
          <w:rFonts w:hint="eastAsia" w:ascii="仿宋GB2312" w:hAnsi="仿宋GB2312" w:eastAsia="仿宋GB2312" w:cs="仿宋GB2312"/>
          <w:i w:val="0"/>
          <w:caps w:val="0"/>
          <w:color w:val="000000"/>
          <w:spacing w:val="0"/>
          <w:sz w:val="32"/>
          <w:szCs w:val="32"/>
        </w:rPr>
        <w:t>等内容，推进便民服务。重大建设项目批准和实施领域政府信息统一纳入云南省投资项目在线审批监管平台公开和监管，网址链接：zxjg.yn.gov.cn 。通过这一平台，可实现</w:t>
      </w:r>
      <w:r>
        <w:rPr>
          <w:rFonts w:hint="eastAsia" w:ascii="仿宋GB2312" w:hAnsi="仿宋GB2312" w:eastAsia="仿宋GB2312" w:cs="仿宋GB2312"/>
          <w:i w:val="0"/>
          <w:caps w:val="0"/>
          <w:color w:val="000000"/>
          <w:spacing w:val="0"/>
          <w:sz w:val="32"/>
          <w:szCs w:val="32"/>
          <w:lang w:val="en-US" w:eastAsia="zh-CN"/>
        </w:rPr>
        <w:t>宣威市</w:t>
      </w:r>
      <w:r>
        <w:rPr>
          <w:rFonts w:hint="eastAsia" w:ascii="仿宋GB2312" w:hAnsi="仿宋GB2312" w:eastAsia="仿宋GB2312" w:cs="仿宋GB2312"/>
          <w:i w:val="0"/>
          <w:caps w:val="0"/>
          <w:color w:val="000000"/>
          <w:spacing w:val="0"/>
          <w:sz w:val="32"/>
          <w:szCs w:val="32"/>
        </w:rPr>
        <w:t>所有录入的重大建设项目信息检索和有关信息查询。</w:t>
      </w:r>
      <w:r>
        <w:rPr>
          <w:rFonts w:hint="eastAsia" w:ascii="仿宋GB2312" w:hAnsi="仿宋GB2312" w:eastAsia="仿宋GB2312" w:cs="仿宋GB2312"/>
          <w:i w:val="0"/>
          <w:caps w:val="0"/>
          <w:color w:val="000000"/>
          <w:spacing w:val="0"/>
          <w:sz w:val="32"/>
          <w:szCs w:val="32"/>
          <w:lang w:val="en-US" w:eastAsia="zh-CN"/>
        </w:rPr>
        <w:t>2021年申请</w:t>
      </w:r>
      <w:r>
        <w:rPr>
          <w:rFonts w:hint="eastAsia" w:ascii="仿宋GB2312" w:hAnsi="仿宋GB2312" w:eastAsia="仿宋GB2312" w:cs="仿宋GB2312"/>
          <w:i w:val="0"/>
          <w:caps w:val="0"/>
          <w:color w:val="000000"/>
          <w:spacing w:val="0"/>
          <w:sz w:val="32"/>
          <w:szCs w:val="32"/>
        </w:rPr>
        <w:t>政府信息公开</w:t>
      </w:r>
      <w:r>
        <w:rPr>
          <w:rFonts w:hint="eastAsia" w:ascii="仿宋GB2312" w:hAnsi="仿宋GB2312" w:eastAsia="仿宋GB2312" w:cs="仿宋GB2312"/>
          <w:i w:val="0"/>
          <w:caps w:val="0"/>
          <w:color w:val="000000"/>
          <w:spacing w:val="0"/>
          <w:sz w:val="32"/>
          <w:szCs w:val="32"/>
          <w:lang w:val="en-US" w:eastAsia="zh-CN"/>
        </w:rPr>
        <w:t>3</w:t>
      </w:r>
      <w:r>
        <w:rPr>
          <w:rFonts w:hint="eastAsia" w:ascii="仿宋GB2312" w:hAnsi="仿宋GB2312" w:eastAsia="仿宋GB2312" w:cs="仿宋GB2312"/>
          <w:i w:val="0"/>
          <w:caps w:val="0"/>
          <w:color w:val="000000"/>
          <w:spacing w:val="0"/>
          <w:sz w:val="32"/>
          <w:szCs w:val="32"/>
        </w:rPr>
        <w:t>件，均办理结束并归档。</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二、主动公开政府信息情况</w:t>
      </w:r>
    </w:p>
    <w:tbl>
      <w:tblPr>
        <w:tblStyle w:val="7"/>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939"/>
        <w:gridCol w:w="1927"/>
        <w:gridCol w:w="196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24" w:type="dxa"/>
            <w:vAlign w:val="center"/>
          </w:tcPr>
          <w:p>
            <w:pPr>
              <w:keepNext w:val="0"/>
              <w:keepLines w:val="0"/>
              <w:widowControl/>
              <w:suppressLineNumbers w:val="0"/>
              <w:jc w:val="center"/>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信息内容</w:t>
            </w:r>
          </w:p>
        </w:tc>
        <w:tc>
          <w:tcPr>
            <w:tcW w:w="1939"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本年制发件数</w:t>
            </w:r>
          </w:p>
        </w:tc>
        <w:tc>
          <w:tcPr>
            <w:tcW w:w="1927"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6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2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规章</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行政规范性文件</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黑体_GBK" w:cs="Times New Roman"/>
                <w:sz w:val="28"/>
                <w:szCs w:val="28"/>
                <w:vertAlign w:val="baseline"/>
                <w:lang w:eastAsia="zh-CN"/>
              </w:rPr>
              <w:t>行政许可</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行政处罚</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行政强制</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信息内容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val="en-US" w:eastAsia="zh-CN"/>
              </w:rPr>
              <w:t>行政事业性收费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bl>
    <w:p>
      <w:pPr>
        <w:spacing w:line="640" w:lineRule="exact"/>
        <w:jc w:val="left"/>
        <w:rPr>
          <w:rFonts w:hint="default" w:ascii="Times New Roman" w:hAnsi="Times New Roman" w:eastAsia="仿宋_GB2312" w:cs="Times New Roman"/>
          <w:sz w:val="32"/>
          <w:szCs w:val="32"/>
        </w:rPr>
      </w:pPr>
    </w:p>
    <w:p>
      <w:pPr>
        <w:pStyle w:val="5"/>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三、收到和处理政府信息公开申请情况</w:t>
      </w:r>
    </w:p>
    <w:tbl>
      <w:tblPr>
        <w:tblStyle w:val="6"/>
        <w:tblW w:w="8801" w:type="dxa"/>
        <w:jc w:val="center"/>
        <w:tblLayout w:type="fixed"/>
        <w:tblCellMar>
          <w:top w:w="0" w:type="dxa"/>
          <w:left w:w="0" w:type="dxa"/>
          <w:bottom w:w="0" w:type="dxa"/>
          <w:right w:w="0" w:type="dxa"/>
        </w:tblCellMar>
      </w:tblPr>
      <w:tblGrid>
        <w:gridCol w:w="684"/>
        <w:gridCol w:w="740"/>
        <w:gridCol w:w="2988"/>
        <w:gridCol w:w="528"/>
        <w:gridCol w:w="297"/>
        <w:gridCol w:w="214"/>
        <w:gridCol w:w="512"/>
        <w:gridCol w:w="640"/>
        <w:gridCol w:w="662"/>
        <w:gridCol w:w="512"/>
        <w:gridCol w:w="1024"/>
      </w:tblGrid>
      <w:tr>
        <w:tblPrEx>
          <w:tblCellMar>
            <w:top w:w="0" w:type="dxa"/>
            <w:left w:w="0" w:type="dxa"/>
            <w:bottom w:w="0" w:type="dxa"/>
            <w:right w:w="0" w:type="dxa"/>
          </w:tblCellMar>
        </w:tblPrEx>
        <w:trPr>
          <w:trHeight w:val="394" w:hRule="exact"/>
          <w:jc w:val="center"/>
        </w:trPr>
        <w:tc>
          <w:tcPr>
            <w:tcW w:w="5237" w:type="dxa"/>
            <w:gridSpan w:val="5"/>
            <w:tcBorders>
              <w:top w:val="nil"/>
              <w:left w:val="nil"/>
              <w:bottom w:val="nil"/>
              <w:right w:val="nil"/>
            </w:tcBorders>
            <w:shd w:val="clear" w:color="auto" w:fill="auto"/>
            <w:tcMar>
              <w:top w:w="15" w:type="dxa"/>
              <w:left w:w="15" w:type="dxa"/>
              <w:right w:w="15" w:type="dxa"/>
            </w:tcMar>
            <w:vAlign w:val="center"/>
          </w:tcPr>
          <w:p>
            <w:pPr>
              <w:widowControl/>
              <w:ind w:firstLine="200" w:firstLineChars="100"/>
              <w:jc w:val="left"/>
              <w:textAlignment w:val="center"/>
              <w:rPr>
                <w:rFonts w:hint="default" w:ascii="Times New Roman" w:hAnsi="Times New Roman" w:eastAsia="方正楷体_GBK" w:cs="Times New Roman"/>
                <w:color w:val="000000"/>
                <w:kern w:val="0"/>
                <w:sz w:val="20"/>
                <w:szCs w:val="20"/>
                <w:lang w:eastAsia="zh-CN"/>
              </w:rPr>
            </w:pPr>
            <w:r>
              <w:rPr>
                <w:rFonts w:hint="default" w:ascii="Times New Roman" w:hAnsi="Times New Roman" w:eastAsia="方正楷体_GBK" w:cs="Times New Roman"/>
                <w:color w:val="000000"/>
                <w:kern w:val="0"/>
                <w:sz w:val="20"/>
                <w:szCs w:val="20"/>
                <w:lang w:eastAsia="zh-CN"/>
              </w:rPr>
              <w:t>填报</w:t>
            </w:r>
            <w:r>
              <w:rPr>
                <w:rFonts w:hint="default" w:ascii="Times New Roman" w:hAnsi="Times New Roman" w:eastAsia="方正楷体_GBK" w:cs="Times New Roman"/>
                <w:color w:val="000000"/>
                <w:kern w:val="0"/>
                <w:sz w:val="20"/>
                <w:szCs w:val="20"/>
              </w:rPr>
              <w:t>单位：</w:t>
            </w:r>
            <w:r>
              <w:rPr>
                <w:rFonts w:hint="default" w:ascii="Times New Roman" w:hAnsi="Times New Roman" w:eastAsia="方正楷体_GBK" w:cs="Times New Roman"/>
                <w:color w:val="000000"/>
                <w:kern w:val="0"/>
                <w:sz w:val="20"/>
                <w:szCs w:val="20"/>
                <w:lang w:val="en-US" w:eastAsia="zh-CN"/>
              </w:rPr>
              <w:t xml:space="preserve"> </w:t>
            </w:r>
          </w:p>
        </w:tc>
        <w:tc>
          <w:tcPr>
            <w:tcW w:w="3564"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楷体_GBK" w:cs="Times New Roman"/>
                <w:color w:val="000000"/>
                <w:kern w:val="0"/>
                <w:sz w:val="20"/>
                <w:szCs w:val="20"/>
              </w:rPr>
            </w:pPr>
            <w:r>
              <w:rPr>
                <w:rFonts w:hint="default" w:ascii="Times New Roman" w:hAnsi="Times New Roman" w:eastAsia="方正楷体_GBK" w:cs="Times New Roman"/>
                <w:color w:val="000000"/>
                <w:kern w:val="0"/>
                <w:sz w:val="20"/>
                <w:szCs w:val="20"/>
              </w:rPr>
              <w:t>填报时间：202</w:t>
            </w:r>
            <w:r>
              <w:rPr>
                <w:rFonts w:hint="default" w:ascii="Times New Roman" w:hAnsi="Times New Roman" w:eastAsia="方正楷体_GBK" w:cs="Times New Roman"/>
                <w:color w:val="000000"/>
                <w:kern w:val="0"/>
                <w:sz w:val="20"/>
                <w:szCs w:val="20"/>
                <w:lang w:val="en-US" w:eastAsia="zh-CN"/>
              </w:rPr>
              <w:t>2</w:t>
            </w:r>
            <w:r>
              <w:rPr>
                <w:rFonts w:hint="default" w:ascii="Times New Roman" w:hAnsi="Times New Roman" w:eastAsia="方正楷体_GBK" w:cs="Times New Roman"/>
                <w:color w:val="000000"/>
                <w:kern w:val="0"/>
                <w:sz w:val="20"/>
                <w:szCs w:val="20"/>
              </w:rPr>
              <w:t>年</w:t>
            </w:r>
            <w:r>
              <w:rPr>
                <w:rFonts w:hint="default" w:ascii="Times New Roman" w:hAnsi="Times New Roman" w:eastAsia="方正楷体_GBK" w:cs="Times New Roman"/>
                <w:color w:val="000000"/>
                <w:kern w:val="0"/>
                <w:sz w:val="20"/>
                <w:szCs w:val="20"/>
                <w:lang w:val="en-US" w:eastAsia="zh-CN"/>
              </w:rPr>
              <w:t xml:space="preserve">  </w:t>
            </w:r>
            <w:r>
              <w:rPr>
                <w:rFonts w:hint="default" w:ascii="Times New Roman" w:hAnsi="Times New Roman" w:eastAsia="方正楷体_GBK" w:cs="Times New Roman"/>
                <w:color w:val="000000"/>
                <w:kern w:val="0"/>
                <w:sz w:val="20"/>
                <w:szCs w:val="20"/>
              </w:rPr>
              <w:t>月</w:t>
            </w:r>
            <w:r>
              <w:rPr>
                <w:rFonts w:hint="default" w:ascii="Times New Roman" w:hAnsi="Times New Roman" w:eastAsia="方正楷体_GBK" w:cs="Times New Roman"/>
                <w:color w:val="000000"/>
                <w:kern w:val="0"/>
                <w:sz w:val="20"/>
                <w:szCs w:val="20"/>
                <w:lang w:val="en-US" w:eastAsia="zh-CN"/>
              </w:rPr>
              <w:t xml:space="preserve">  </w:t>
            </w:r>
            <w:r>
              <w:rPr>
                <w:rFonts w:hint="default" w:ascii="Times New Roman" w:hAnsi="Times New Roman" w:eastAsia="方正楷体_GBK" w:cs="Times New Roman"/>
                <w:color w:val="000000"/>
                <w:kern w:val="0"/>
                <w:sz w:val="20"/>
                <w:szCs w:val="20"/>
              </w:rPr>
              <w:t>日</w:t>
            </w:r>
          </w:p>
        </w:tc>
      </w:tr>
      <w:tr>
        <w:tblPrEx>
          <w:tblCellMar>
            <w:top w:w="0" w:type="dxa"/>
            <w:left w:w="0" w:type="dxa"/>
            <w:bottom w:w="0" w:type="dxa"/>
            <w:right w:w="0" w:type="dxa"/>
          </w:tblCellMar>
        </w:tblPrEx>
        <w:trPr>
          <w:trHeight w:val="300" w:hRule="atLeast"/>
          <w:jc w:val="center"/>
        </w:trPr>
        <w:tc>
          <w:tcPr>
            <w:tcW w:w="4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color w:val="000000"/>
                <w:kern w:val="0"/>
                <w:sz w:val="20"/>
                <w:szCs w:val="20"/>
              </w:rPr>
              <w:t>（本列数据的勾稽关系为：第一项加第二项之和，等于第三项加第四项之和）</w:t>
            </w:r>
          </w:p>
        </w:tc>
        <w:tc>
          <w:tcPr>
            <w:tcW w:w="43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申请人情况</w:t>
            </w:r>
          </w:p>
        </w:tc>
      </w:tr>
      <w:tr>
        <w:tblPrEx>
          <w:tblCellMar>
            <w:top w:w="0" w:type="dxa"/>
            <w:left w:w="0" w:type="dxa"/>
            <w:bottom w:w="0" w:type="dxa"/>
            <w:right w:w="0" w:type="dxa"/>
          </w:tblCellMar>
        </w:tblPrEx>
        <w:trPr>
          <w:trHeight w:val="270"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自然人</w:t>
            </w:r>
          </w:p>
        </w:tc>
        <w:tc>
          <w:tcPr>
            <w:tcW w:w="28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法人或其他组织</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总计</w:t>
            </w:r>
          </w:p>
        </w:tc>
      </w:tr>
      <w:tr>
        <w:tblPrEx>
          <w:tblCellMar>
            <w:top w:w="0" w:type="dxa"/>
            <w:left w:w="0" w:type="dxa"/>
            <w:bottom w:w="0" w:type="dxa"/>
            <w:right w:w="0" w:type="dxa"/>
          </w:tblCellMar>
        </w:tblPrEx>
        <w:trPr>
          <w:trHeight w:val="362"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商业企业</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科研机构</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社会公益组织</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法律服务机构</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其他</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一、本年度新收政府信息公开申请数量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3</w:t>
            </w:r>
          </w:p>
        </w:tc>
      </w:tr>
      <w:tr>
        <w:tblPrEx>
          <w:tblCellMar>
            <w:top w:w="0" w:type="dxa"/>
            <w:left w:w="0" w:type="dxa"/>
            <w:bottom w:w="0" w:type="dxa"/>
            <w:right w:w="0" w:type="dxa"/>
          </w:tblCellMar>
        </w:tblPrEx>
        <w:trPr>
          <w:trHeight w:val="399"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二、上年度结转政府信息公开申请数量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3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三、上半年办理结果</w:t>
            </w: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（一）予以公开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3</w:t>
            </w:r>
          </w:p>
        </w:tc>
      </w:tr>
      <w:tr>
        <w:tblPrEx>
          <w:tblCellMar>
            <w:top w:w="0" w:type="dxa"/>
            <w:left w:w="0" w:type="dxa"/>
            <w:bottom w:w="0" w:type="dxa"/>
            <w:right w:w="0" w:type="dxa"/>
          </w:tblCellMar>
        </w:tblPrEx>
        <w:trPr>
          <w:trHeight w:val="71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b w:val="0"/>
                <w:bCs w:val="0"/>
                <w:color w:val="000000"/>
                <w:kern w:val="0"/>
                <w:sz w:val="20"/>
                <w:szCs w:val="20"/>
              </w:rPr>
              <w:t>（二）部分公开</w:t>
            </w:r>
            <w:r>
              <w:rPr>
                <w:rFonts w:hint="default" w:ascii="Times New Roman" w:hAnsi="Times New Roman" w:eastAsia="方正仿宋_GBK" w:cs="Times New Roman"/>
                <w:color w:val="000000"/>
                <w:kern w:val="0"/>
                <w:sz w:val="20"/>
                <w:szCs w:val="20"/>
              </w:rPr>
              <w:t>（区分处理的，只计这一情形，不计其他情形）</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（三）不予公开</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1.属于国家秘密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2.其他法律行政法规禁止公开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3.危及“三安全一稳定”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4.保护第三方合法权益</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5.属于三类内部事务信息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6.属于四类过程性信息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7.属于行政执法案卷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8.属于行政查询事项</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（四）无法提供</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1.本机关不掌握相关政府信息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2.没有现成信息需要另行制作</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3.补正后申请内容仍不明确</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（五）不予处理</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1.信访举报投诉类申请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3.要求提供公开出版物</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4.无正当理由大量反复申请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5.要求行政机关确认或重新出具已获取信息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88"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（六）其他处理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93"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（七）总计</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3</w:t>
            </w: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四、结转下年度继续办理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备</w:t>
            </w:r>
            <w:r>
              <w:rPr>
                <w:rFonts w:hint="default" w:ascii="Times New Roman" w:hAnsi="Times New Roman" w:eastAsia="方正黑体_GBK" w:cs="Times New Roman"/>
                <w:color w:val="000000"/>
                <w:kern w:val="0"/>
                <w:sz w:val="20"/>
                <w:szCs w:val="20"/>
                <w:lang w:val="en-US" w:eastAsia="zh-CN"/>
              </w:rPr>
              <w:t xml:space="preserve"> </w:t>
            </w:r>
            <w:r>
              <w:rPr>
                <w:rFonts w:hint="default" w:ascii="Times New Roman" w:hAnsi="Times New Roman" w:eastAsia="方正黑体_GBK" w:cs="Times New Roman"/>
                <w:color w:val="000000"/>
                <w:kern w:val="0"/>
                <w:sz w:val="20"/>
                <w:szCs w:val="20"/>
              </w:rPr>
              <w:t>注</w:t>
            </w:r>
          </w:p>
        </w:tc>
        <w:tc>
          <w:tcPr>
            <w:tcW w:w="81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统计时间截至</w:t>
            </w:r>
            <w:r>
              <w:rPr>
                <w:rFonts w:hint="eastAsia" w:ascii="Times New Roman" w:hAnsi="Times New Roman" w:eastAsia="方正黑体_GBK" w:cs="Times New Roman"/>
                <w:color w:val="000000"/>
                <w:kern w:val="0"/>
                <w:sz w:val="20"/>
                <w:szCs w:val="20"/>
                <w:lang w:val="en-US" w:eastAsia="zh-CN"/>
              </w:rPr>
              <w:t>2021年</w:t>
            </w:r>
            <w:r>
              <w:rPr>
                <w:rFonts w:hint="default" w:ascii="Times New Roman" w:hAnsi="Times New Roman" w:eastAsia="方正黑体_GBK" w:cs="Times New Roman"/>
                <w:color w:val="000000"/>
                <w:kern w:val="0"/>
                <w:sz w:val="20"/>
                <w:szCs w:val="20"/>
              </w:rPr>
              <w:t>12月31日</w:t>
            </w:r>
            <w:r>
              <w:rPr>
                <w:rFonts w:hint="default" w:ascii="Times New Roman" w:hAnsi="Times New Roman" w:eastAsia="方正黑体_GBK" w:cs="Times New Roman"/>
                <w:color w:val="000000"/>
                <w:kern w:val="0"/>
                <w:sz w:val="20"/>
                <w:szCs w:val="20"/>
                <w:lang w:eastAsia="zh-CN"/>
              </w:rPr>
              <w:t>，</w:t>
            </w:r>
            <w:r>
              <w:rPr>
                <w:rFonts w:hint="default" w:ascii="Times New Roman" w:hAnsi="Times New Roman" w:eastAsia="方正黑体_GBK" w:cs="Times New Roman"/>
                <w:color w:val="000000"/>
                <w:kern w:val="0"/>
                <w:sz w:val="20"/>
                <w:szCs w:val="20"/>
              </w:rPr>
              <w:t>12月31日前收到申请未办结的申请件列入第四项统计。</w:t>
            </w:r>
          </w:p>
        </w:tc>
      </w:tr>
    </w:tbl>
    <w:p>
      <w:pPr>
        <w:pStyle w:val="5"/>
        <w:keepNext w:val="0"/>
        <w:keepLines w:val="0"/>
        <w:widowControl/>
        <w:suppressLineNumbers w:val="0"/>
        <w:spacing w:before="0" w:beforeAutospacing="0" w:after="0" w:afterAutospacing="0"/>
        <w:ind w:firstLine="320" w:firstLineChars="1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四、政府信息公开行政复议、行政诉讼情况</w:t>
      </w:r>
    </w:p>
    <w:tbl>
      <w:tblPr>
        <w:tblStyle w:val="7"/>
        <w:tblpPr w:leftFromText="180" w:rightFromText="180" w:vertAnchor="text" w:tblpXSpec="center" w:tblpY="1"/>
        <w:tblOverlap w:val="never"/>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1"/>
        <w:gridCol w:w="651"/>
        <w:gridCol w:w="629"/>
        <w:gridCol w:w="645"/>
        <w:gridCol w:w="638"/>
        <w:gridCol w:w="622"/>
        <w:gridCol w:w="647"/>
        <w:gridCol w:w="715"/>
        <w:gridCol w:w="718"/>
        <w:gridCol w:w="768"/>
        <w:gridCol w:w="796"/>
        <w:gridCol w:w="632"/>
        <w:gridCol w:w="63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5" w:type="dxa"/>
            <w:gridSpan w:val="5"/>
            <w:vAlign w:val="center"/>
          </w:tcPr>
          <w:p>
            <w:pPr>
              <w:keepNext w:val="0"/>
              <w:keepLines w:val="0"/>
              <w:widowControl/>
              <w:suppressLineNumbers w:val="0"/>
              <w:jc w:val="center"/>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kern w:val="0"/>
                <w:sz w:val="24"/>
                <w:szCs w:val="24"/>
                <w:lang w:val="en-US" w:eastAsia="zh-CN" w:bidi="ar"/>
              </w:rPr>
              <w:t>行政复议</w:t>
            </w:r>
          </w:p>
        </w:tc>
        <w:tc>
          <w:tcPr>
            <w:tcW w:w="6877"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vertAlign w:val="baseline"/>
                <w:lang w:eastAsia="zh-CN"/>
              </w:rPr>
            </w:pPr>
            <w:r>
              <w:rPr>
                <w:rFonts w:hint="default" w:ascii="Times New Roman" w:hAnsi="Times New Roman" w:eastAsia="方正黑体_GBK" w:cs="Times New Roman"/>
                <w:sz w:val="24"/>
                <w:szCs w:val="24"/>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kern w:val="0"/>
                <w:sz w:val="20"/>
                <w:szCs w:val="20"/>
                <w:lang w:val="en-US" w:eastAsia="zh-CN" w:bidi="ar"/>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w:t>
            </w:r>
          </w:p>
        </w:tc>
        <w:tc>
          <w:tcPr>
            <w:tcW w:w="62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审结</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lang w:eastAsia="zh-CN"/>
              </w:rPr>
            </w:pPr>
            <w:r>
              <w:rPr>
                <w:rFonts w:hint="default" w:ascii="Times New Roman" w:hAnsi="Times New Roman" w:eastAsia="方正黑体_GBK" w:cs="Times New Roman"/>
                <w:sz w:val="20"/>
                <w:szCs w:val="20"/>
                <w:vertAlign w:val="baseline"/>
                <w:lang w:eastAsia="zh-CN"/>
              </w:rPr>
              <w:t>总计</w:t>
            </w:r>
          </w:p>
        </w:tc>
        <w:tc>
          <w:tcPr>
            <w:tcW w:w="334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未经复议直接起诉</w:t>
            </w:r>
          </w:p>
        </w:tc>
        <w:tc>
          <w:tcPr>
            <w:tcW w:w="3537"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2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c>
          <w:tcPr>
            <w:tcW w:w="76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rPr>
        <w:t xml:space="preserve">   </w:t>
      </w:r>
      <w:r>
        <w:rPr>
          <w:rFonts w:hint="eastAsia" w:ascii="黑体" w:hAnsi="宋体" w:eastAsia="黑体" w:cs="黑体"/>
          <w:i w:val="0"/>
          <w:caps w:val="0"/>
          <w:color w:val="000000"/>
          <w:spacing w:val="0"/>
          <w:sz w:val="32"/>
          <w:szCs w:val="32"/>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rPr>
          <w:rFonts w:hint="eastAsia" w:ascii="微软雅黑" w:hAnsi="微软雅黑" w:eastAsia="微软雅黑" w:cs="微软雅黑"/>
          <w:i w:val="0"/>
          <w:caps w:val="0"/>
          <w:color w:val="000000"/>
          <w:spacing w:val="0"/>
          <w:sz w:val="27"/>
          <w:szCs w:val="27"/>
        </w:rPr>
      </w:pPr>
      <w:r>
        <w:rPr>
          <w:rFonts w:hint="eastAsia" w:ascii="方正仿宋_GBK" w:hAnsi="方正仿宋_GBK" w:eastAsia="方正仿宋_GBK" w:cs="方正仿宋_GBK"/>
          <w:i w:val="0"/>
          <w:caps w:val="0"/>
          <w:color w:val="000000"/>
          <w:spacing w:val="0"/>
          <w:kern w:val="0"/>
          <w:sz w:val="32"/>
          <w:szCs w:val="32"/>
          <w:lang w:val="en-US" w:eastAsia="zh-CN" w:bidi="ar"/>
        </w:rPr>
        <w:t>市发改局的政府信息公开工作认真规范，但与《条例》有关规定和上级有关要求、与社会公众的需求仍有差距。主要体现在：政府信息公开的主动性和创新力有待进一步提高等；政府信息公开工作的广度和深度有待进一步延伸和拓展。2022年我局将紧紧围绕市委、市政府重点工作部署和工作重点，进一步增强公开意识，做好以下几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rPr>
          <w:rFonts w:hint="eastAsia" w:ascii="微软雅黑" w:hAnsi="微软雅黑" w:eastAsia="微软雅黑" w:cs="微软雅黑"/>
          <w:i w:val="0"/>
          <w:caps w:val="0"/>
          <w:color w:val="000000"/>
          <w:spacing w:val="0"/>
          <w:sz w:val="27"/>
          <w:szCs w:val="27"/>
        </w:rPr>
      </w:pPr>
      <w:r>
        <w:rPr>
          <w:rFonts w:hint="eastAsia" w:ascii="方正仿宋_GBK" w:hAnsi="方正仿宋_GBK" w:eastAsia="方正仿宋_GBK" w:cs="方正仿宋_GBK"/>
          <w:i w:val="0"/>
          <w:caps w:val="0"/>
          <w:color w:val="000000"/>
          <w:spacing w:val="0"/>
          <w:kern w:val="0"/>
          <w:sz w:val="32"/>
          <w:szCs w:val="32"/>
          <w:lang w:val="en-US" w:eastAsia="zh-CN" w:bidi="ar"/>
        </w:rPr>
        <w:t>一是不断完善政府信息公开工作机制，创新信息公开的方式方法，及时发布发展改革相关信息。继续加强保密审查工作，严格执行保密工作制度，强化责任落实，确保信息安全。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rPr>
          <w:rFonts w:hint="eastAsia" w:ascii="微软雅黑" w:hAnsi="微软雅黑" w:eastAsia="微软雅黑" w:cs="微软雅黑"/>
          <w:i w:val="0"/>
          <w:caps w:val="0"/>
          <w:color w:val="000000"/>
          <w:spacing w:val="0"/>
          <w:sz w:val="27"/>
          <w:szCs w:val="27"/>
        </w:rPr>
      </w:pPr>
      <w:r>
        <w:rPr>
          <w:rFonts w:hint="eastAsia" w:ascii="方正仿宋_GBK" w:hAnsi="方正仿宋_GBK" w:eastAsia="方正仿宋_GBK" w:cs="方正仿宋_GBK"/>
          <w:i w:val="0"/>
          <w:caps w:val="0"/>
          <w:color w:val="000000"/>
          <w:spacing w:val="0"/>
          <w:kern w:val="0"/>
          <w:sz w:val="32"/>
          <w:szCs w:val="32"/>
          <w:lang w:val="en-US" w:eastAsia="zh-CN" w:bidi="ar"/>
        </w:rPr>
        <w:t>二是进一步提高认识加大培训力度。加强对《条例》的学习，扎实组织政府信息工作业务培训，进一步提升广大干部对政府信息公开政策的认识，增强政府信息公开的主动性，进一步提升政府信息公开的质量。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rPr>
          <w:rFonts w:hint="eastAsia" w:ascii="微软雅黑" w:hAnsi="微软雅黑" w:eastAsia="微软雅黑" w:cs="微软雅黑"/>
          <w:i w:val="0"/>
          <w:caps w:val="0"/>
          <w:color w:val="000000"/>
          <w:spacing w:val="0"/>
          <w:sz w:val="27"/>
          <w:szCs w:val="27"/>
        </w:rPr>
      </w:pPr>
      <w:r>
        <w:rPr>
          <w:rFonts w:hint="eastAsia" w:ascii="方正仿宋_GBK" w:hAnsi="方正仿宋_GBK" w:eastAsia="方正仿宋_GBK" w:cs="方正仿宋_GBK"/>
          <w:i w:val="0"/>
          <w:caps w:val="0"/>
          <w:color w:val="000000"/>
          <w:spacing w:val="0"/>
          <w:kern w:val="0"/>
          <w:sz w:val="32"/>
          <w:szCs w:val="32"/>
          <w:lang w:val="en-US" w:eastAsia="zh-CN" w:bidi="ar"/>
        </w:rPr>
        <w:t>三是依托政府门户网站，及时发布和更新依法应主动公开的政府信息，确保信息公开的时效性、准确性和有效性；利用网站拉近与公众的距离，以大众视角组织信息公开内容，让政府信息公开内容和形式都更接地气，更体现政府部门的公信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rPr>
        <w:t>六、其他需要报告的事项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80" w:right="0" w:firstLine="0"/>
        <w:rPr>
          <w:rFonts w:hint="eastAsia" w:ascii="微软雅黑" w:hAnsi="微软雅黑" w:eastAsia="微软雅黑" w:cs="微软雅黑"/>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无。</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仿宋_GB2312" w:hAnsi="仿宋_GB2312" w:eastAsia="仿宋_GB2312" w:cs="仿宋_GB2312"/>
          <w:i w:val="0"/>
          <w:caps w:val="0"/>
          <w:color w:val="000000"/>
          <w:spacing w:val="0"/>
          <w:kern w:val="0"/>
          <w:sz w:val="32"/>
          <w:szCs w:val="32"/>
          <w:lang w:val="en-US" w:eastAsia="zh-CN" w:bidi="ar"/>
        </w:rPr>
      </w:pPr>
      <w:r>
        <w:rPr>
          <w:rFonts w:ascii="仿宋_GB2312" w:hAnsi="仿宋_GB2312" w:eastAsia="仿宋_GB2312" w:cs="仿宋_GB2312"/>
          <w:i w:val="0"/>
          <w:caps w:val="0"/>
          <w:color w:val="000000"/>
          <w:spacing w:val="0"/>
          <w:kern w:val="0"/>
          <w:sz w:val="32"/>
          <w:szCs w:val="32"/>
          <w:lang w:val="en-US" w:eastAsia="zh-CN" w:bidi="ar"/>
        </w:rPr>
        <w:t> </w:t>
      </w:r>
      <w:r>
        <w:rPr>
          <w:rFonts w:hint="eastAsia" w:ascii="仿宋_GB2312" w:hAnsi="仿宋_GB2312" w:eastAsia="仿宋_GB2312" w:cs="仿宋_GB2312"/>
          <w:i w:val="0"/>
          <w:caps w:val="0"/>
          <w:color w:val="000000"/>
          <w:spacing w:val="0"/>
          <w:kern w:val="0"/>
          <w:sz w:val="32"/>
          <w:szCs w:val="32"/>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仿宋_GB2312" w:hAnsi="仿宋_GB2312" w:eastAsia="仿宋_GB2312" w:cs="仿宋_GB2312"/>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120" w:firstLineChars="1600"/>
        <w:jc w:val="left"/>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kern w:val="0"/>
          <w:sz w:val="32"/>
          <w:szCs w:val="32"/>
          <w:lang w:val="en-US" w:eastAsia="zh-CN" w:bidi="ar"/>
        </w:rPr>
        <w:t>   宣威市发展和改革局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kern w:val="0"/>
          <w:sz w:val="32"/>
          <w:szCs w:val="32"/>
          <w:lang w:val="en-US" w:eastAsia="zh-CN" w:bidi="ar"/>
        </w:rPr>
        <w:t>                                            2022年2月10日</w:t>
      </w:r>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rPr>
        <w:t>   </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北師大說⪻">
    <w:panose1 w:val="0201060900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超世纪细印篆">
    <w:panose1 w:val="02000000000000000000"/>
    <w:charset w:val="88"/>
    <w:family w:val="auto"/>
    <w:pitch w:val="default"/>
    <w:sig w:usb0="00000003" w:usb1="28880000" w:usb2="00000006" w:usb3="00000000" w:csb0="00100000" w:csb1="00000000"/>
  </w:font>
  <w:font w:name="Calibri Light">
    <w:panose1 w:val="020F0302020204030204"/>
    <w:charset w:val="00"/>
    <w:family w:val="auto"/>
    <w:pitch w:val="default"/>
    <w:sig w:usb0="E0002AFF" w:usb1="C000247B" w:usb2="00000009" w:usb3="00000000" w:csb0="200001FF" w:csb1="00000000"/>
  </w:font>
  <w:font w:name="方正大黑_GBK">
    <w:panose1 w:val="03000509000000000000"/>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行楷繁体">
    <w:panose1 w:val="02010601030101010101"/>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创艺简">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粗倩繁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兰亭粗黑简体">
    <w:panose1 w:val="02000000000000000000"/>
    <w:charset w:val="86"/>
    <w:family w:val="auto"/>
    <w:pitch w:val="default"/>
    <w:sig w:usb0="00000001" w:usb1="08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楷体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粗黑繁体">
    <w:panose1 w:val="02010601030101010101"/>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Swis721 BdCnOul BT">
    <w:panose1 w:val="04020704030B03040203"/>
    <w:charset w:val="00"/>
    <w:family w:val="auto"/>
    <w:pitch w:val="default"/>
    <w:sig w:usb0="00000000" w:usb1="00000000" w:usb2="00000000" w:usb3="00000000" w:csb0="00000000" w:csb1="00000000"/>
  </w:font>
  <w:font w:name="Sitka Heading">
    <w:panose1 w:val="02000505000000020004"/>
    <w:charset w:val="00"/>
    <w:family w:val="auto"/>
    <w:pitch w:val="default"/>
    <w:sig w:usb0="A00002EF" w:usb1="4000204B" w:usb2="00000000" w:usb3="00000000" w:csb0="2000019F" w:csb1="00000000"/>
  </w:font>
  <w:font w:name="Segoe UI Semibold">
    <w:panose1 w:val="020B07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ScriptS">
    <w:panose1 w:val="00000400000000000000"/>
    <w:charset w:val="00"/>
    <w:family w:val="auto"/>
    <w:pitch w:val="default"/>
    <w:sig w:usb0="00000207" w:usb1="00000000" w:usb2="00000000" w:usb3="00000000" w:csb0="000001FF" w:csb1="00000000"/>
  </w:font>
  <w:font w:name="RomanD">
    <w:panose1 w:val="00000400000000000000"/>
    <w:charset w:val="00"/>
    <w:family w:val="auto"/>
    <w:pitch w:val="default"/>
    <w:sig w:usb0="00000207" w:usb1="00000000" w:usb2="00000000" w:usb3="00000000" w:csb0="000001FF" w:csb1="00000000"/>
  </w:font>
  <w:font w:name="Rockwell Condensed">
    <w:panose1 w:val="020606030504050201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06B95"/>
    <w:multiLevelType w:val="singleLevel"/>
    <w:tmpl w:val="46206B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464FE"/>
    <w:rsid w:val="09724226"/>
    <w:rsid w:val="09F669AD"/>
    <w:rsid w:val="0B4264C9"/>
    <w:rsid w:val="11AE2F10"/>
    <w:rsid w:val="157D622F"/>
    <w:rsid w:val="16B311A4"/>
    <w:rsid w:val="1AD464FE"/>
    <w:rsid w:val="28EE33BA"/>
    <w:rsid w:val="32673AB6"/>
    <w:rsid w:val="32C33C1C"/>
    <w:rsid w:val="330160F2"/>
    <w:rsid w:val="345A09E4"/>
    <w:rsid w:val="348E5882"/>
    <w:rsid w:val="36223AD9"/>
    <w:rsid w:val="389B56ED"/>
    <w:rsid w:val="3B950B19"/>
    <w:rsid w:val="3E1D2021"/>
    <w:rsid w:val="494B48CF"/>
    <w:rsid w:val="57592280"/>
    <w:rsid w:val="580469B3"/>
    <w:rsid w:val="5F37766E"/>
    <w:rsid w:val="67086EB7"/>
    <w:rsid w:val="690F1A02"/>
    <w:rsid w:val="6FF47121"/>
    <w:rsid w:val="720906CE"/>
    <w:rsid w:val="73397A01"/>
    <w:rsid w:val="73CA0659"/>
    <w:rsid w:val="75E3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2020-12-04T10:17:00Z</dcterms:created>
  <dc:creator>乌蒙山人</dc:creator>
  <cp:lastModifiedBy>Administrator</cp:lastModifiedBy>
  <cp:lastPrinted>2022-02-11T02:44:56Z</cp:lastPrinted>
  <dcterms:modified xsi:type="dcterms:W3CDTF">2022-02-11T02:58:52Z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80E368827DF645D089690F42F0059353</vt:lpwstr>
  </property>
</Properties>
</file>