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sz w:val="44"/>
          <w:szCs w:val="44"/>
        </w:rPr>
      </w:pPr>
      <w:r>
        <w:rPr>
          <w:rFonts w:hint="eastAsia" w:ascii="Times New Roman" w:hAnsi="Times New Roman" w:eastAsia="方正小标宋_GBK" w:cs="Times New Roman"/>
          <w:b w:val="0"/>
          <w:bCs/>
          <w:sz w:val="44"/>
          <w:szCs w:val="44"/>
          <w:lang w:val="en-US" w:eastAsia="zh-CN"/>
        </w:rPr>
        <w:t>宣威市地震局2021年</w:t>
      </w:r>
      <w:r>
        <w:rPr>
          <w:rFonts w:hint="default" w:ascii="Times New Roman" w:hAnsi="Times New Roman" w:eastAsia="方正小标宋_GBK" w:cs="Times New Roman"/>
          <w:b w:val="0"/>
          <w:bCs/>
          <w:sz w:val="44"/>
          <w:szCs w:val="44"/>
        </w:rPr>
        <w:t>政府信息公开工作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年度报告</w:t>
      </w: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宋体" w:cs="Times New Roman"/>
        </w:rPr>
      </w:pPr>
    </w:p>
    <w:p>
      <w:pPr>
        <w:widowControl/>
        <w:shd w:val="clear" w:color="auto" w:fill="FFFFFF"/>
        <w:wordWrap w:val="0"/>
        <w:spacing w:line="580" w:lineRule="atLeast"/>
        <w:ind w:firstLine="641"/>
        <w:rPr>
          <w:rFonts w:asciiTheme="minorEastAsia" w:hAnsiTheme="minorEastAsia" w:eastAsiaTheme="minorEastAsia"/>
          <w:color w:val="5A5A5A"/>
          <w:kern w:val="0"/>
          <w:sz w:val="32"/>
          <w:szCs w:val="32"/>
        </w:rPr>
      </w:pPr>
      <w:r>
        <w:rPr>
          <w:rFonts w:hint="eastAsia" w:asciiTheme="minorEastAsia" w:hAnsiTheme="minorEastAsia" w:eastAsiaTheme="minorEastAsia"/>
          <w:color w:val="5A5A5A"/>
          <w:kern w:val="0"/>
          <w:sz w:val="32"/>
          <w:szCs w:val="32"/>
        </w:rPr>
        <w:t>按照《中华人民共和国政府信息公开条例》的要求，</w:t>
      </w:r>
      <w:r>
        <w:rPr>
          <w:rFonts w:hint="eastAsia" w:asciiTheme="minorEastAsia" w:hAnsiTheme="minorEastAsia" w:eastAsiaTheme="minorEastAsia"/>
          <w:color w:val="333333"/>
          <w:sz w:val="32"/>
          <w:szCs w:val="32"/>
          <w:shd w:val="clear" w:color="auto" w:fill="FFFFFF"/>
        </w:rPr>
        <w:t>特向社会公布宣威市地震局202</w:t>
      </w:r>
      <w:r>
        <w:rPr>
          <w:rFonts w:hint="eastAsia" w:asciiTheme="minorEastAsia" w:hAnsiTheme="minorEastAsia"/>
          <w:color w:val="333333"/>
          <w:sz w:val="32"/>
          <w:szCs w:val="32"/>
          <w:shd w:val="clear" w:color="auto" w:fill="FFFFFF"/>
          <w:lang w:val="en-US" w:eastAsia="zh-CN"/>
        </w:rPr>
        <w:t>1</w:t>
      </w:r>
      <w:r>
        <w:rPr>
          <w:rFonts w:hint="eastAsia" w:asciiTheme="minorEastAsia" w:hAnsiTheme="minorEastAsia" w:eastAsiaTheme="minorEastAsia"/>
          <w:color w:val="333333"/>
          <w:sz w:val="32"/>
          <w:szCs w:val="32"/>
          <w:shd w:val="clear" w:color="auto" w:fill="FFFFFF"/>
        </w:rPr>
        <w:t>年</w:t>
      </w:r>
      <w:r>
        <w:rPr>
          <w:rFonts w:hint="eastAsia" w:asciiTheme="minorEastAsia" w:hAnsiTheme="minorEastAsia"/>
          <w:color w:val="333333"/>
          <w:sz w:val="32"/>
          <w:szCs w:val="32"/>
          <w:shd w:val="clear" w:color="auto" w:fill="FFFFFF"/>
          <w:lang w:val="en-US" w:eastAsia="zh-CN"/>
        </w:rPr>
        <w:t>政府</w:t>
      </w:r>
      <w:r>
        <w:rPr>
          <w:rFonts w:hint="eastAsia" w:asciiTheme="minorEastAsia" w:hAnsiTheme="minorEastAsia" w:eastAsiaTheme="minorEastAsia"/>
          <w:color w:val="333333"/>
          <w:sz w:val="32"/>
          <w:szCs w:val="32"/>
          <w:shd w:val="clear" w:color="auto" w:fill="FFFFFF"/>
        </w:rPr>
        <w:t>信息公开</w:t>
      </w:r>
      <w:r>
        <w:rPr>
          <w:rFonts w:hint="eastAsia" w:asciiTheme="minorEastAsia" w:hAnsiTheme="minorEastAsia"/>
          <w:color w:val="333333"/>
          <w:sz w:val="32"/>
          <w:szCs w:val="32"/>
          <w:shd w:val="clear" w:color="auto" w:fill="FFFFFF"/>
          <w:lang w:val="en-US" w:eastAsia="zh-CN"/>
        </w:rPr>
        <w:t>工作</w:t>
      </w:r>
      <w:r>
        <w:rPr>
          <w:rFonts w:hint="eastAsia" w:asciiTheme="minorEastAsia" w:hAnsiTheme="minorEastAsia" w:eastAsiaTheme="minorEastAsia"/>
          <w:color w:val="333333"/>
          <w:sz w:val="32"/>
          <w:szCs w:val="32"/>
          <w:shd w:val="clear" w:color="auto" w:fill="FFFFFF"/>
        </w:rPr>
        <w:t>年度报告。本报告由</w:t>
      </w:r>
      <w:r>
        <w:rPr>
          <w:rFonts w:hint="eastAsia" w:asciiTheme="minorEastAsia" w:hAnsiTheme="minorEastAsia" w:eastAsiaTheme="minorEastAsia"/>
          <w:color w:val="5A5A5A"/>
          <w:kern w:val="0"/>
          <w:sz w:val="32"/>
          <w:szCs w:val="32"/>
        </w:rPr>
        <w:t>政府信息公开工作总体情况概述，</w:t>
      </w:r>
      <w:r>
        <w:rPr>
          <w:rFonts w:hint="eastAsia" w:asciiTheme="minorEastAsia" w:hAnsiTheme="minorEastAsia"/>
          <w:color w:val="5A5A5A"/>
          <w:kern w:val="0"/>
          <w:sz w:val="32"/>
          <w:szCs w:val="32"/>
          <w:lang w:val="en-US" w:eastAsia="zh-CN"/>
        </w:rPr>
        <w:t>主动公开政府信息情况</w:t>
      </w:r>
      <w:r>
        <w:rPr>
          <w:rFonts w:hint="eastAsia" w:asciiTheme="minorEastAsia" w:hAnsiTheme="minorEastAsia" w:eastAsiaTheme="minorEastAsia"/>
          <w:color w:val="5A5A5A"/>
          <w:kern w:val="0"/>
          <w:sz w:val="32"/>
          <w:szCs w:val="32"/>
        </w:rPr>
        <w:t>，</w:t>
      </w:r>
      <w:r>
        <w:rPr>
          <w:rFonts w:hint="eastAsia" w:asciiTheme="minorEastAsia" w:hAnsiTheme="minorEastAsia" w:eastAsiaTheme="minorEastAsia"/>
          <w:color w:val="333333"/>
          <w:sz w:val="32"/>
          <w:szCs w:val="32"/>
          <w:shd w:val="clear" w:color="auto" w:fill="FFFFFF"/>
        </w:rPr>
        <w:t>收到和处理政府信息公开申请情况，政府信息公开行政复议、行政诉讼情况，政府信息公开工作存在的主要问题及改进情况，其他需要报告的事项共六个部分组成。</w:t>
      </w:r>
      <w:r>
        <w:rPr>
          <w:rFonts w:hint="eastAsia" w:asciiTheme="minorEastAsia" w:hAnsiTheme="minorEastAsia" w:eastAsiaTheme="minorEastAsia"/>
          <w:color w:val="5A5A5A"/>
          <w:kern w:val="0"/>
          <w:sz w:val="32"/>
          <w:szCs w:val="32"/>
        </w:rPr>
        <w:t>本报告中所列数据的统计期限自202</w:t>
      </w:r>
      <w:r>
        <w:rPr>
          <w:rFonts w:hint="eastAsia" w:asciiTheme="minorEastAsia" w:hAnsiTheme="minorEastAsia"/>
          <w:color w:val="5A5A5A"/>
          <w:kern w:val="0"/>
          <w:sz w:val="32"/>
          <w:szCs w:val="32"/>
          <w:lang w:val="en-US" w:eastAsia="zh-CN"/>
        </w:rPr>
        <w:t>1</w:t>
      </w:r>
      <w:r>
        <w:rPr>
          <w:rFonts w:hint="eastAsia" w:asciiTheme="minorEastAsia" w:hAnsiTheme="minorEastAsia" w:eastAsiaTheme="minorEastAsia"/>
          <w:color w:val="5A5A5A"/>
          <w:kern w:val="0"/>
          <w:sz w:val="32"/>
          <w:szCs w:val="32"/>
        </w:rPr>
        <w:t>年1月1日起至202</w:t>
      </w:r>
      <w:r>
        <w:rPr>
          <w:rFonts w:hint="eastAsia" w:asciiTheme="minorEastAsia" w:hAnsiTheme="minorEastAsia"/>
          <w:color w:val="5A5A5A"/>
          <w:kern w:val="0"/>
          <w:sz w:val="32"/>
          <w:szCs w:val="32"/>
          <w:lang w:val="en-US" w:eastAsia="zh-CN"/>
        </w:rPr>
        <w:t>1</w:t>
      </w:r>
      <w:r>
        <w:rPr>
          <w:rFonts w:hint="eastAsia" w:asciiTheme="minorEastAsia" w:hAnsiTheme="minorEastAsia" w:eastAsiaTheme="minorEastAsia"/>
          <w:color w:val="5A5A5A"/>
          <w:kern w:val="0"/>
          <w:sz w:val="32"/>
          <w:szCs w:val="32"/>
        </w:rPr>
        <w:t>年12月30日。如对本报告存有疑问，请与宣威市地震局办公室联系。联系地址：宣威市建设东街215号；联系电话0874—7162328</w:t>
      </w:r>
    </w:p>
    <w:p>
      <w:pPr>
        <w:pStyle w:val="4"/>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w:t>
      </w:r>
      <w:r>
        <w:rPr>
          <w:rFonts w:hint="default" w:ascii="Times New Roman" w:hAnsi="Times New Roman" w:eastAsia="方正黑体_GBK" w:cs="Times New Roman"/>
          <w:b/>
          <w:bCs w:val="0"/>
          <w:sz w:val="32"/>
          <w:szCs w:val="32"/>
        </w:rPr>
        <w:t>、</w:t>
      </w:r>
      <w:r>
        <w:rPr>
          <w:rFonts w:hint="eastAsia" w:ascii="Times New Roman" w:hAnsi="Times New Roman" w:eastAsia="方正黑体_GBK" w:cs="Times New Roman"/>
          <w:b w:val="0"/>
          <w:bCs/>
          <w:sz w:val="32"/>
          <w:szCs w:val="32"/>
          <w:lang w:val="en-US" w:eastAsia="zh-CN"/>
        </w:rPr>
        <w:t>政府信息公开工作总体情况概述</w:t>
      </w:r>
      <w:bookmarkStart w:id="0" w:name="_GoBack"/>
      <w:bookmarkEnd w:id="0"/>
    </w:p>
    <w:p>
      <w:pPr>
        <w:widowControl/>
        <w:shd w:val="clear" w:color="auto" w:fill="FFFFFF"/>
        <w:wordWrap w:val="0"/>
        <w:spacing w:line="580" w:lineRule="atLeast"/>
        <w:ind w:firstLine="641"/>
        <w:rPr>
          <w:rFonts w:hint="eastAsia" w:asciiTheme="minorEastAsia" w:hAnsiTheme="minorEastAsia" w:eastAsiaTheme="minorEastAsia"/>
          <w:color w:val="5A5A5A"/>
          <w:kern w:val="0"/>
          <w:sz w:val="32"/>
          <w:szCs w:val="32"/>
          <w:lang w:eastAsia="zh-CN"/>
        </w:rPr>
      </w:pPr>
      <w:r>
        <w:rPr>
          <w:rFonts w:hint="eastAsia" w:ascii="宋体" w:hAnsi="宋体" w:eastAsia="宋体" w:cs="宋体"/>
          <w:i w:val="0"/>
          <w:iCs w:val="0"/>
          <w:caps w:val="0"/>
          <w:color w:val="494949"/>
          <w:spacing w:val="0"/>
          <w:sz w:val="32"/>
          <w:szCs w:val="32"/>
          <w:shd w:val="clear" w:fill="FFFFFF"/>
        </w:rPr>
        <w:t>2021年是实施“十四五”规划、开启全面建设社会主义现代化国家新征程的第一年。</w:t>
      </w:r>
      <w:r>
        <w:rPr>
          <w:rFonts w:hint="eastAsia" w:ascii="宋体" w:hAnsi="宋体" w:eastAsia="宋体" w:cs="宋体"/>
          <w:i w:val="0"/>
          <w:iCs w:val="0"/>
          <w:caps w:val="0"/>
          <w:color w:val="494949"/>
          <w:spacing w:val="0"/>
          <w:sz w:val="32"/>
          <w:szCs w:val="32"/>
          <w:shd w:val="clear" w:fill="FFFFFF"/>
          <w:lang w:val="en-US" w:eastAsia="zh-CN"/>
        </w:rPr>
        <w:t>宣威市</w:t>
      </w:r>
      <w:r>
        <w:rPr>
          <w:rFonts w:hint="eastAsia" w:ascii="宋体" w:hAnsi="宋体" w:eastAsia="宋体" w:cs="宋体"/>
          <w:i w:val="0"/>
          <w:iCs w:val="0"/>
          <w:caps w:val="0"/>
          <w:color w:val="494949"/>
          <w:spacing w:val="0"/>
          <w:sz w:val="32"/>
          <w:szCs w:val="32"/>
          <w:shd w:val="clear" w:fill="FFFFFF"/>
        </w:rPr>
        <w:t>地震局政府信息公开工作坚持以习近平新时代中国特色社会主义思想为指导，全面贯彻党的十九大和十九届历次全会精神，深入贯彻落实上级有关政府信息公开工作的安排部署，坚持以人民为中心的发展思想，紧扣“十四五”开好局起好步深化政务公开，突出抓好</w:t>
      </w:r>
      <w:r>
        <w:rPr>
          <w:rFonts w:hint="eastAsia" w:ascii="宋体" w:hAnsi="宋体" w:eastAsia="宋体" w:cs="宋体"/>
          <w:i w:val="0"/>
          <w:iCs w:val="0"/>
          <w:caps w:val="0"/>
          <w:color w:val="494949"/>
          <w:spacing w:val="0"/>
          <w:sz w:val="32"/>
          <w:szCs w:val="32"/>
          <w:shd w:val="clear" w:fill="FFFFFF"/>
          <w:lang w:val="en-US" w:eastAsia="zh-CN"/>
        </w:rPr>
        <w:t>防震减灾</w:t>
      </w:r>
      <w:r>
        <w:rPr>
          <w:rFonts w:hint="eastAsia" w:ascii="宋体" w:hAnsi="宋体" w:eastAsia="宋体" w:cs="宋体"/>
          <w:i w:val="0"/>
          <w:iCs w:val="0"/>
          <w:caps w:val="0"/>
          <w:color w:val="494949"/>
          <w:spacing w:val="0"/>
          <w:sz w:val="32"/>
          <w:szCs w:val="32"/>
          <w:shd w:val="clear" w:fill="FFFFFF"/>
        </w:rPr>
        <w:t>年度重点</w:t>
      </w:r>
      <w:r>
        <w:rPr>
          <w:rFonts w:hint="eastAsia" w:ascii="宋体" w:hAnsi="宋体" w:eastAsia="宋体" w:cs="宋体"/>
          <w:i w:val="0"/>
          <w:iCs w:val="0"/>
          <w:caps w:val="0"/>
          <w:color w:val="494949"/>
          <w:spacing w:val="0"/>
          <w:sz w:val="32"/>
          <w:szCs w:val="32"/>
          <w:shd w:val="clear" w:fill="FFFFFF"/>
          <w:lang w:val="en-US" w:eastAsia="zh-CN"/>
        </w:rPr>
        <w:t>工作</w:t>
      </w:r>
      <w:r>
        <w:rPr>
          <w:rFonts w:hint="eastAsia" w:ascii="宋体" w:hAnsi="宋体" w:eastAsia="宋体" w:cs="宋体"/>
          <w:i w:val="0"/>
          <w:iCs w:val="0"/>
          <w:caps w:val="0"/>
          <w:color w:val="494949"/>
          <w:spacing w:val="0"/>
          <w:sz w:val="32"/>
          <w:szCs w:val="32"/>
          <w:shd w:val="clear" w:fill="FFFFFF"/>
        </w:rPr>
        <w:t>任务的信息公开</w:t>
      </w:r>
      <w:r>
        <w:rPr>
          <w:rFonts w:hint="eastAsia" w:ascii="宋体" w:hAnsi="宋体" w:eastAsia="宋体" w:cs="宋体"/>
          <w:i w:val="0"/>
          <w:iCs w:val="0"/>
          <w:caps w:val="0"/>
          <w:color w:val="494949"/>
          <w:spacing w:val="0"/>
          <w:sz w:val="32"/>
          <w:szCs w:val="32"/>
          <w:shd w:val="clear" w:fill="FFFFFF"/>
          <w:lang w:eastAsia="zh-CN"/>
        </w:rPr>
        <w:t>，</w:t>
      </w:r>
      <w:r>
        <w:rPr>
          <w:rFonts w:hint="eastAsia" w:ascii="宋体" w:hAnsi="宋体" w:eastAsia="宋体" w:cs="宋体"/>
          <w:color w:val="5A5A5A"/>
          <w:kern w:val="0"/>
          <w:sz w:val="32"/>
          <w:szCs w:val="32"/>
        </w:rPr>
        <w:t>通过宣威政府门户网站、</w:t>
      </w:r>
      <w:r>
        <w:rPr>
          <w:rFonts w:hint="eastAsia" w:ascii="宋体" w:hAnsi="宋体" w:eastAsia="宋体" w:cs="宋体"/>
          <w:color w:val="5A5A5A"/>
          <w:kern w:val="0"/>
          <w:sz w:val="32"/>
          <w:szCs w:val="32"/>
          <w:lang w:val="en-US" w:eastAsia="zh-CN"/>
        </w:rPr>
        <w:t>宣威发布、掌上宣威、掌上曲靖、</w:t>
      </w:r>
      <w:r>
        <w:rPr>
          <w:rFonts w:hint="eastAsia" w:ascii="宋体" w:hAnsi="宋体" w:eastAsia="宋体" w:cs="宋体"/>
          <w:color w:val="5A5A5A"/>
          <w:kern w:val="0"/>
          <w:sz w:val="32"/>
          <w:szCs w:val="32"/>
        </w:rPr>
        <w:t>云南省地震局防</w:t>
      </w:r>
      <w:r>
        <w:rPr>
          <w:rFonts w:hint="eastAsia" w:asciiTheme="minorEastAsia" w:hAnsiTheme="minorEastAsia" w:eastAsiaTheme="minorEastAsia"/>
          <w:color w:val="5A5A5A"/>
          <w:kern w:val="0"/>
          <w:sz w:val="32"/>
          <w:szCs w:val="32"/>
        </w:rPr>
        <w:t>震减灾信息网站发布信息</w:t>
      </w:r>
      <w:r>
        <w:rPr>
          <w:rFonts w:hint="eastAsia" w:asciiTheme="minorEastAsia" w:hAnsiTheme="minorEastAsia"/>
          <w:color w:val="5A5A5A"/>
          <w:kern w:val="0"/>
          <w:sz w:val="32"/>
          <w:szCs w:val="32"/>
          <w:lang w:val="en-US" w:eastAsia="zh-CN"/>
        </w:rPr>
        <w:t>15</w:t>
      </w:r>
      <w:r>
        <w:rPr>
          <w:rFonts w:hint="eastAsia" w:asciiTheme="minorEastAsia" w:hAnsiTheme="minorEastAsia" w:eastAsiaTheme="minorEastAsia"/>
          <w:color w:val="5A5A5A"/>
          <w:kern w:val="0"/>
          <w:sz w:val="32"/>
          <w:szCs w:val="32"/>
        </w:rPr>
        <w:t>条信息</w:t>
      </w:r>
      <w:r>
        <w:rPr>
          <w:rFonts w:hint="eastAsia" w:asciiTheme="minorEastAsia" w:hAnsiTheme="minorEastAsia"/>
          <w:color w:val="5A5A5A"/>
          <w:kern w:val="0"/>
          <w:sz w:val="32"/>
          <w:szCs w:val="32"/>
          <w:lang w:eastAsia="zh-CN"/>
        </w:rPr>
        <w:t>（</w:t>
      </w:r>
      <w:r>
        <w:rPr>
          <w:rFonts w:hint="eastAsia" w:asciiTheme="minorEastAsia" w:hAnsiTheme="minorEastAsia"/>
          <w:color w:val="5A5A5A"/>
          <w:kern w:val="0"/>
          <w:sz w:val="32"/>
          <w:szCs w:val="32"/>
          <w:lang w:val="en-US" w:eastAsia="zh-CN"/>
        </w:rPr>
        <w:t>工作信息</w:t>
      </w:r>
      <w:r>
        <w:rPr>
          <w:rFonts w:hint="eastAsia" w:asciiTheme="minorEastAsia" w:hAnsiTheme="minorEastAsia"/>
          <w:color w:val="5A5A5A"/>
          <w:kern w:val="0"/>
          <w:sz w:val="32"/>
          <w:szCs w:val="32"/>
          <w:lang w:eastAsia="zh-CN"/>
        </w:rPr>
        <w:t>）</w:t>
      </w:r>
      <w:r>
        <w:rPr>
          <w:rFonts w:hint="eastAsia" w:asciiTheme="minorEastAsia" w:hAnsiTheme="minorEastAsia" w:eastAsiaTheme="minorEastAsia"/>
          <w:color w:val="5A5A5A"/>
          <w:kern w:val="0"/>
          <w:sz w:val="32"/>
          <w:szCs w:val="32"/>
        </w:rPr>
        <w:t>，依申请公开信息0条</w:t>
      </w:r>
      <w:r>
        <w:rPr>
          <w:rFonts w:hint="eastAsia" w:asciiTheme="minorEastAsia" w:hAnsiTheme="minorEastAsia"/>
          <w:color w:val="5A5A5A"/>
          <w:kern w:val="0"/>
          <w:sz w:val="32"/>
          <w:szCs w:val="32"/>
          <w:lang w:eastAsia="zh-CN"/>
        </w:rPr>
        <w:t>，</w:t>
      </w:r>
      <w:r>
        <w:rPr>
          <w:rFonts w:hint="eastAsia" w:ascii="宋体" w:hAnsi="宋体" w:eastAsia="宋体" w:cs="宋体"/>
          <w:i w:val="0"/>
          <w:iCs w:val="0"/>
          <w:caps w:val="0"/>
          <w:color w:val="494949"/>
          <w:spacing w:val="0"/>
          <w:sz w:val="32"/>
          <w:szCs w:val="32"/>
          <w:shd w:val="clear" w:fill="FFFFFF"/>
        </w:rPr>
        <w:t>进一步保障了社会公众的知情权，增进了社会公众对防震减灾工作的了解和理解。</w:t>
      </w: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二、主动公开政府信息情况</w:t>
      </w:r>
    </w:p>
    <w:tbl>
      <w:tblPr>
        <w:tblStyle w:val="6"/>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939"/>
        <w:gridCol w:w="1927"/>
        <w:gridCol w:w="196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24" w:type="dxa"/>
            <w:vAlign w:val="center"/>
          </w:tcPr>
          <w:p>
            <w:pPr>
              <w:keepNext w:val="0"/>
              <w:keepLines w:val="0"/>
              <w:widowControl/>
              <w:suppressLineNumbers w:val="0"/>
              <w:jc w:val="center"/>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信息内容</w:t>
            </w:r>
          </w:p>
        </w:tc>
        <w:tc>
          <w:tcPr>
            <w:tcW w:w="1939"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本年制发件数</w:t>
            </w:r>
          </w:p>
        </w:tc>
        <w:tc>
          <w:tcPr>
            <w:tcW w:w="1927"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6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2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规章</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行政规范性文件</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黑体_GBK" w:cs="Times New Roman"/>
                <w:sz w:val="28"/>
                <w:szCs w:val="28"/>
                <w:vertAlign w:val="baseline"/>
                <w:lang w:eastAsia="zh-CN"/>
              </w:rPr>
              <w:t>行政许可</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行政处罚</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行政强制</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信息内容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val="en-US" w:eastAsia="zh-CN"/>
              </w:rPr>
              <w:t>行政事业性收费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bl>
    <w:p>
      <w:pPr>
        <w:widowControl/>
        <w:shd w:val="clear" w:color="auto" w:fill="FFFFFF"/>
        <w:spacing w:line="600" w:lineRule="atLeast"/>
        <w:rPr>
          <w:rFonts w:hint="eastAsia" w:cs="宋体" w:asciiTheme="minorEastAsia" w:hAnsiTheme="minorEastAsia" w:eastAsiaTheme="minorEastAsia"/>
          <w:b/>
          <w:color w:val="333333"/>
          <w:kern w:val="0"/>
          <w:sz w:val="32"/>
          <w:szCs w:val="32"/>
        </w:rPr>
      </w:pPr>
      <w:r>
        <w:rPr>
          <w:rFonts w:hint="eastAsia" w:cs="宋体" w:asciiTheme="minorEastAsia" w:hAnsiTheme="minorEastAsia" w:eastAsiaTheme="minorEastAsia"/>
          <w:b/>
          <w:color w:val="333333"/>
          <w:kern w:val="0"/>
          <w:sz w:val="32"/>
          <w:szCs w:val="32"/>
        </w:rPr>
        <w:t>三、收到和处理政府信息公开申请情况</w:t>
      </w:r>
    </w:p>
    <w:tbl>
      <w:tblPr>
        <w:tblStyle w:val="5"/>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90"/>
        <w:gridCol w:w="1698"/>
        <w:gridCol w:w="889"/>
        <w:gridCol w:w="981"/>
        <w:gridCol w:w="996"/>
        <w:gridCol w:w="982"/>
        <w:gridCol w:w="941"/>
        <w:gridCol w:w="1009"/>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11" w:type="dxa"/>
            <w:gridSpan w:val="3"/>
            <w:vMerge w:val="restart"/>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（本列数据的勾稽关系为：第一项加第二项之和，等于第三项加第四项之和）</w:t>
            </w:r>
          </w:p>
        </w:tc>
        <w:tc>
          <w:tcPr>
            <w:tcW w:w="6793" w:type="dxa"/>
            <w:gridSpan w:val="7"/>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11" w:type="dxa"/>
            <w:gridSpan w:val="3"/>
            <w:vMerge w:val="continue"/>
            <w:vAlign w:val="center"/>
          </w:tcPr>
          <w:p>
            <w:pPr>
              <w:spacing w:line="360" w:lineRule="exact"/>
              <w:jc w:val="center"/>
              <w:rPr>
                <w:rFonts w:ascii="方正仿宋_GBK" w:cs="方正仿宋_GBK"/>
                <w:bCs/>
                <w:color w:val="333333"/>
                <w:kern w:val="0"/>
                <w:sz w:val="24"/>
                <w:shd w:val="clear" w:color="auto" w:fill="FFFFFF"/>
              </w:rPr>
            </w:pPr>
          </w:p>
        </w:tc>
        <w:tc>
          <w:tcPr>
            <w:tcW w:w="889" w:type="dxa"/>
            <w:vMerge w:val="restart"/>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自然人</w:t>
            </w:r>
          </w:p>
        </w:tc>
        <w:tc>
          <w:tcPr>
            <w:tcW w:w="4909" w:type="dxa"/>
            <w:gridSpan w:val="5"/>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法人或其他组织</w:t>
            </w:r>
          </w:p>
        </w:tc>
        <w:tc>
          <w:tcPr>
            <w:tcW w:w="995" w:type="dxa"/>
            <w:vMerge w:val="restart"/>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3311" w:type="dxa"/>
            <w:gridSpan w:val="3"/>
            <w:vMerge w:val="continue"/>
            <w:vAlign w:val="center"/>
          </w:tcPr>
          <w:p>
            <w:pPr>
              <w:spacing w:line="360" w:lineRule="exact"/>
              <w:jc w:val="center"/>
              <w:rPr>
                <w:rFonts w:ascii="方正仿宋_GBK" w:cs="方正仿宋_GBK"/>
                <w:bCs/>
                <w:color w:val="333333"/>
                <w:kern w:val="0"/>
                <w:sz w:val="24"/>
                <w:shd w:val="clear" w:color="auto" w:fill="FFFFFF"/>
              </w:rPr>
            </w:pPr>
          </w:p>
        </w:tc>
        <w:tc>
          <w:tcPr>
            <w:tcW w:w="889"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981" w:type="dxa"/>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商业</w:t>
            </w:r>
          </w:p>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企业</w:t>
            </w:r>
          </w:p>
        </w:tc>
        <w:tc>
          <w:tcPr>
            <w:tcW w:w="996" w:type="dxa"/>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科研</w:t>
            </w:r>
          </w:p>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机构</w:t>
            </w:r>
          </w:p>
        </w:tc>
        <w:tc>
          <w:tcPr>
            <w:tcW w:w="982" w:type="dxa"/>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社会公益组织</w:t>
            </w:r>
          </w:p>
        </w:tc>
        <w:tc>
          <w:tcPr>
            <w:tcW w:w="941" w:type="dxa"/>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法律服务机构</w:t>
            </w:r>
          </w:p>
        </w:tc>
        <w:tc>
          <w:tcPr>
            <w:tcW w:w="1009" w:type="dxa"/>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其他</w:t>
            </w:r>
          </w:p>
        </w:tc>
        <w:tc>
          <w:tcPr>
            <w:tcW w:w="995" w:type="dxa"/>
            <w:vMerge w:val="continue"/>
            <w:vAlign w:val="center"/>
          </w:tcPr>
          <w:p>
            <w:pPr>
              <w:spacing w:line="360" w:lineRule="exact"/>
              <w:jc w:val="center"/>
              <w:rPr>
                <w:rFonts w:ascii="方正仿宋_GBK" w:cs="方正仿宋_GBK"/>
                <w:bCs/>
                <w:color w:val="333333"/>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3311" w:type="dxa"/>
            <w:gridSpan w:val="3"/>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一、本年新收政府信息公开</w:t>
            </w:r>
          </w:p>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申请数量</w:t>
            </w:r>
          </w:p>
        </w:tc>
        <w:tc>
          <w:tcPr>
            <w:tcW w:w="889" w:type="dxa"/>
            <w:vAlign w:val="center"/>
          </w:tcPr>
          <w:p>
            <w:pPr>
              <w:spacing w:line="360" w:lineRule="exact"/>
              <w:jc w:val="center"/>
              <w:rPr>
                <w:rFonts w:hint="default" w:ascii="方正仿宋_GBK" w:cs="方正仿宋_GBK" w:eastAsiaTheme="minorEastAsia"/>
                <w:bCs/>
                <w:color w:val="333333"/>
                <w:kern w:val="0"/>
                <w:sz w:val="24"/>
                <w:shd w:val="clear" w:color="auto" w:fill="FFFFFF"/>
                <w:lang w:val="en-US" w:eastAsia="zh-CN"/>
              </w:rPr>
            </w:pPr>
            <w:r>
              <w:rPr>
                <w:rFonts w:hint="eastAsia" w:ascii="方正仿宋_GBK" w:cs="方正仿宋_GBK" w:eastAsiaTheme="minorEastAsia"/>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3311" w:type="dxa"/>
            <w:gridSpan w:val="3"/>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二、上年结转政府信息公开</w:t>
            </w:r>
          </w:p>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申请数量</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3" w:type="dxa"/>
            <w:vMerge w:val="restart"/>
            <w:vAlign w:val="center"/>
          </w:tcPr>
          <w:p>
            <w:p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三、本年度办理结果</w:t>
            </w:r>
          </w:p>
        </w:tc>
        <w:tc>
          <w:tcPr>
            <w:tcW w:w="2488" w:type="dxa"/>
            <w:gridSpan w:val="2"/>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hint="eastAsia" w:ascii="方正楷体_GBK" w:hAnsi="方正楷体_GBK" w:eastAsia="方正楷体_GBK" w:cs="方正楷体_GBK"/>
                <w:bCs/>
                <w:color w:val="333333"/>
                <w:kern w:val="0"/>
                <w:sz w:val="21"/>
                <w:szCs w:val="21"/>
                <w:shd w:val="clear" w:color="auto" w:fill="FFFFFF"/>
              </w:rPr>
              <w:t>（一）予以公开</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default"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2488" w:type="dxa"/>
            <w:gridSpan w:val="2"/>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hint="eastAsia" w:ascii="方正楷体_GBK" w:hAnsi="方正楷体_GBK" w:eastAsia="方正楷体_GBK" w:cs="方正楷体_GBK"/>
                <w:bCs/>
                <w:color w:val="333333"/>
                <w:kern w:val="0"/>
                <w:sz w:val="21"/>
                <w:szCs w:val="21"/>
                <w:shd w:val="clear" w:color="auto" w:fill="FFFFFF"/>
              </w:rPr>
              <w:t>（二）部分公开（区分处理的，只计这一情形，不计其他情形）</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default"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restart"/>
            <w:vAlign w:val="center"/>
          </w:tcPr>
          <w:p>
            <w:pPr>
              <w:spacing w:line="280" w:lineRule="exact"/>
              <w:jc w:val="center"/>
              <w:rPr>
                <w:rFonts w:ascii="方正楷体_GBK" w:hAnsi="方正楷体_GBK" w:eastAsia="方正楷体_GBK" w:cs="方正楷体_GBK"/>
                <w:bCs/>
                <w:color w:val="333333"/>
                <w:kern w:val="0"/>
                <w:sz w:val="21"/>
                <w:szCs w:val="21"/>
                <w:shd w:val="clear" w:color="auto" w:fill="FFFFFF"/>
              </w:rPr>
            </w:pPr>
            <w:r>
              <w:rPr>
                <w:rFonts w:hint="eastAsia" w:ascii="方正楷体_GBK" w:hAnsi="方正楷体_GBK" w:eastAsia="方正楷体_GBK" w:cs="方正楷体_GBK"/>
                <w:bCs/>
                <w:color w:val="333333"/>
                <w:kern w:val="0"/>
                <w:sz w:val="21"/>
                <w:szCs w:val="21"/>
                <w:shd w:val="clear" w:color="auto" w:fill="FFFFFF"/>
              </w:rPr>
              <w:t>（三）不予</w:t>
            </w:r>
          </w:p>
          <w:p>
            <w:pPr>
              <w:spacing w:line="280" w:lineRule="exact"/>
              <w:jc w:val="center"/>
              <w:rPr>
                <w:rFonts w:ascii="方正楷体_GBK" w:hAnsi="方正楷体_GBK" w:eastAsia="方正楷体_GBK" w:cs="方正楷体_GBK"/>
                <w:bCs/>
                <w:color w:val="333333"/>
                <w:kern w:val="0"/>
                <w:sz w:val="21"/>
                <w:szCs w:val="21"/>
                <w:shd w:val="clear" w:color="auto" w:fill="FFFFFF"/>
              </w:rPr>
            </w:pPr>
            <w:r>
              <w:rPr>
                <w:rFonts w:hint="eastAsia" w:ascii="方正楷体_GBK" w:hAnsi="方正楷体_GBK" w:eastAsia="方正楷体_GBK" w:cs="方正楷体_GBK"/>
                <w:bCs/>
                <w:color w:val="333333"/>
                <w:kern w:val="0"/>
                <w:sz w:val="21"/>
                <w:szCs w:val="21"/>
                <w:shd w:val="clear" w:color="auto" w:fill="FFFFFF"/>
              </w:rPr>
              <w:t>公开</w:t>
            </w: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1.</w:t>
            </w:r>
            <w:r>
              <w:rPr>
                <w:rFonts w:hint="eastAsia" w:ascii="方正楷体_GBK" w:hAnsi="方正楷体_GBK" w:eastAsia="方正楷体_GBK" w:cs="方正楷体_GBK"/>
                <w:bCs/>
                <w:color w:val="333333"/>
                <w:kern w:val="0"/>
                <w:sz w:val="21"/>
                <w:szCs w:val="21"/>
                <w:shd w:val="clear" w:color="auto" w:fill="FFFFFF"/>
              </w:rPr>
              <w:t>属于国家秘密</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2.</w:t>
            </w:r>
            <w:r>
              <w:rPr>
                <w:rFonts w:hint="eastAsia" w:ascii="方正楷体_GBK" w:hAnsi="方正楷体_GBK" w:eastAsia="方正楷体_GBK" w:cs="方正楷体_GBK"/>
                <w:bCs/>
                <w:color w:val="333333"/>
                <w:kern w:val="0"/>
                <w:sz w:val="21"/>
                <w:szCs w:val="21"/>
                <w:shd w:val="clear" w:color="auto" w:fill="FFFFFF"/>
              </w:rPr>
              <w:t>其他法律行政法规禁止公开</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3.</w:t>
            </w:r>
            <w:r>
              <w:rPr>
                <w:rFonts w:hint="eastAsia" w:ascii="方正楷体_GBK" w:hAnsi="方正楷体_GBK" w:eastAsia="方正楷体_GBK" w:cs="方正楷体_GBK"/>
                <w:bCs/>
                <w:color w:val="333333"/>
                <w:kern w:val="0"/>
                <w:sz w:val="21"/>
                <w:szCs w:val="21"/>
                <w:shd w:val="clear" w:color="auto" w:fill="FFFFFF"/>
              </w:rPr>
              <w:t>危及“三安全一稳定”</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4.</w:t>
            </w:r>
            <w:r>
              <w:rPr>
                <w:rFonts w:hint="eastAsia" w:ascii="方正楷体_GBK" w:hAnsi="方正楷体_GBK" w:eastAsia="方正楷体_GBK" w:cs="方正楷体_GBK"/>
                <w:bCs/>
                <w:color w:val="333333"/>
                <w:kern w:val="0"/>
                <w:sz w:val="21"/>
                <w:szCs w:val="21"/>
                <w:shd w:val="clear" w:color="auto" w:fill="FFFFFF"/>
              </w:rPr>
              <w:t>保护第三方合法权益</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5.</w:t>
            </w:r>
            <w:r>
              <w:rPr>
                <w:rFonts w:hint="eastAsia" w:ascii="方正楷体_GBK" w:hAnsi="方正楷体_GBK" w:eastAsia="方正楷体_GBK" w:cs="方正楷体_GBK"/>
                <w:bCs/>
                <w:color w:val="333333"/>
                <w:kern w:val="0"/>
                <w:sz w:val="21"/>
                <w:szCs w:val="21"/>
                <w:shd w:val="clear" w:color="auto" w:fill="FFFFFF"/>
              </w:rPr>
              <w:t>属于三类内部事务信息</w:t>
            </w:r>
          </w:p>
        </w:tc>
        <w:tc>
          <w:tcPr>
            <w:tcW w:w="889" w:type="dxa"/>
            <w:vAlign w:val="center"/>
          </w:tcPr>
          <w:p>
            <w:pPr>
              <w:spacing w:line="360" w:lineRule="exact"/>
              <w:jc w:val="center"/>
              <w:rPr>
                <w:rFonts w:ascii="方正仿宋_GBK" w:cs="方正仿宋_GBK"/>
                <w:bCs/>
                <w:color w:val="333333"/>
                <w:kern w:val="0"/>
                <w:sz w:val="24"/>
                <w:shd w:val="clear" w:color="auto" w:fill="FFFFFF"/>
              </w:rPr>
            </w:pP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6.</w:t>
            </w:r>
            <w:r>
              <w:rPr>
                <w:rFonts w:hint="eastAsia" w:ascii="方正楷体_GBK" w:hAnsi="方正楷体_GBK" w:eastAsia="方正楷体_GBK" w:cs="方正楷体_GBK"/>
                <w:bCs/>
                <w:color w:val="333333"/>
                <w:kern w:val="0"/>
                <w:sz w:val="21"/>
                <w:szCs w:val="21"/>
                <w:shd w:val="clear" w:color="auto" w:fill="FFFFFF"/>
              </w:rPr>
              <w:t>属于四类过程性信息</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default"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7.</w:t>
            </w:r>
            <w:r>
              <w:rPr>
                <w:rFonts w:hint="eastAsia" w:ascii="方正楷体_GBK" w:hAnsi="方正楷体_GBK" w:eastAsia="方正楷体_GBK" w:cs="方正楷体_GBK"/>
                <w:bCs/>
                <w:color w:val="333333"/>
                <w:kern w:val="0"/>
                <w:sz w:val="21"/>
                <w:szCs w:val="21"/>
                <w:shd w:val="clear" w:color="auto" w:fill="FFFFFF"/>
              </w:rPr>
              <w:t>属于行政执法案卷</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8.</w:t>
            </w:r>
            <w:r>
              <w:rPr>
                <w:rFonts w:hint="eastAsia" w:ascii="方正楷体_GBK" w:hAnsi="方正楷体_GBK" w:eastAsia="方正楷体_GBK" w:cs="方正楷体_GBK"/>
                <w:bCs/>
                <w:color w:val="333333"/>
                <w:kern w:val="0"/>
                <w:sz w:val="21"/>
                <w:szCs w:val="21"/>
                <w:shd w:val="clear" w:color="auto" w:fill="FFFFFF"/>
              </w:rPr>
              <w:t>属于行政查询事项</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default"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restart"/>
            <w:vAlign w:val="center"/>
          </w:tcPr>
          <w:p>
            <w:pPr>
              <w:spacing w:line="280" w:lineRule="exact"/>
              <w:jc w:val="center"/>
              <w:rPr>
                <w:rFonts w:ascii="方正楷体_GBK" w:hAnsi="方正楷体_GBK" w:eastAsia="方正楷体_GBK" w:cs="方正楷体_GBK"/>
                <w:bCs/>
                <w:color w:val="333333"/>
                <w:kern w:val="0"/>
                <w:sz w:val="21"/>
                <w:szCs w:val="21"/>
                <w:shd w:val="clear" w:color="auto" w:fill="FFFFFF"/>
              </w:rPr>
            </w:pPr>
            <w:r>
              <w:rPr>
                <w:rFonts w:hint="eastAsia" w:ascii="方正楷体_GBK" w:hAnsi="方正楷体_GBK" w:eastAsia="方正楷体_GBK" w:cs="方正楷体_GBK"/>
                <w:bCs/>
                <w:color w:val="333333"/>
                <w:kern w:val="0"/>
                <w:sz w:val="21"/>
                <w:szCs w:val="21"/>
                <w:shd w:val="clear" w:color="auto" w:fill="FFFFFF"/>
              </w:rPr>
              <w:t>（四）无法</w:t>
            </w:r>
          </w:p>
          <w:p>
            <w:pPr>
              <w:spacing w:line="280" w:lineRule="exact"/>
              <w:jc w:val="center"/>
              <w:rPr>
                <w:rFonts w:ascii="方正楷体_GBK" w:hAnsi="方正楷体_GBK" w:eastAsia="方正楷体_GBK" w:cs="方正楷体_GBK"/>
                <w:bCs/>
                <w:color w:val="333333"/>
                <w:kern w:val="0"/>
                <w:sz w:val="21"/>
                <w:szCs w:val="21"/>
                <w:shd w:val="clear" w:color="auto" w:fill="FFFFFF"/>
              </w:rPr>
            </w:pPr>
            <w:r>
              <w:rPr>
                <w:rFonts w:hint="eastAsia" w:ascii="方正楷体_GBK" w:hAnsi="方正楷体_GBK" w:eastAsia="方正楷体_GBK" w:cs="方正楷体_GBK"/>
                <w:bCs/>
                <w:color w:val="333333"/>
                <w:kern w:val="0"/>
                <w:sz w:val="21"/>
                <w:szCs w:val="21"/>
                <w:shd w:val="clear" w:color="auto" w:fill="FFFFFF"/>
              </w:rPr>
              <w:t>提供</w:t>
            </w: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1.</w:t>
            </w:r>
            <w:r>
              <w:rPr>
                <w:rFonts w:hint="eastAsia" w:ascii="方正楷体_GBK" w:hAnsi="方正楷体_GBK" w:eastAsia="方正楷体_GBK" w:cs="方正楷体_GBK"/>
                <w:bCs/>
                <w:color w:val="333333"/>
                <w:kern w:val="0"/>
                <w:sz w:val="21"/>
                <w:szCs w:val="21"/>
                <w:shd w:val="clear" w:color="auto" w:fill="FFFFFF"/>
              </w:rPr>
              <w:t>本机关不掌握相关政府信息</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2.</w:t>
            </w:r>
            <w:r>
              <w:rPr>
                <w:rFonts w:hint="eastAsia" w:ascii="方正楷体_GBK" w:hAnsi="方正楷体_GBK" w:eastAsia="方正楷体_GBK" w:cs="方正楷体_GBK"/>
                <w:bCs/>
                <w:color w:val="333333"/>
                <w:kern w:val="0"/>
                <w:sz w:val="21"/>
                <w:szCs w:val="21"/>
                <w:shd w:val="clear" w:color="auto" w:fill="FFFFFF"/>
              </w:rPr>
              <w:t>没有现成信息需要另行制作</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default"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3.</w:t>
            </w:r>
            <w:r>
              <w:rPr>
                <w:rFonts w:hint="eastAsia" w:ascii="方正楷体_GBK" w:hAnsi="方正楷体_GBK" w:eastAsia="方正楷体_GBK" w:cs="方正楷体_GBK"/>
                <w:bCs/>
                <w:color w:val="333333"/>
                <w:kern w:val="0"/>
                <w:sz w:val="21"/>
                <w:szCs w:val="21"/>
                <w:shd w:val="clear" w:color="auto" w:fill="FFFFFF"/>
              </w:rPr>
              <w:t>补正后申请内容仍不明确</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exact"/>
          <w:jc w:val="center"/>
        </w:trPr>
        <w:tc>
          <w:tcPr>
            <w:tcW w:w="823" w:type="dxa"/>
            <w:vMerge w:val="restart"/>
            <w:vAlign w:val="center"/>
          </w:tcPr>
          <w:p>
            <w:pPr>
              <w:numPr>
                <w:ilvl w:val="0"/>
                <w:numId w:val="1"/>
              </w:numPr>
              <w:spacing w:line="360" w:lineRule="exact"/>
              <w:jc w:val="center"/>
              <w:rPr>
                <w:rFonts w:hint="eastAsia" w:ascii="方正仿宋_GBK" w:hAns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本年度办理</w:t>
            </w:r>
          </w:p>
          <w:p>
            <w:pPr>
              <w:numPr>
                <w:ilvl w:val="0"/>
                <w:numId w:val="1"/>
              </w:numPr>
              <w:spacing w:line="360" w:lineRule="exact"/>
              <w:jc w:val="center"/>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结果</w:t>
            </w:r>
          </w:p>
        </w:tc>
        <w:tc>
          <w:tcPr>
            <w:tcW w:w="790" w:type="dxa"/>
            <w:vMerge w:val="restart"/>
            <w:vAlign w:val="center"/>
          </w:tcPr>
          <w:p>
            <w:pPr>
              <w:spacing w:line="280" w:lineRule="exact"/>
              <w:jc w:val="center"/>
              <w:rPr>
                <w:rFonts w:ascii="方正楷体_GBK" w:hAnsi="方正楷体_GBK" w:eastAsia="方正楷体_GBK" w:cs="方正楷体_GBK"/>
                <w:bCs/>
                <w:color w:val="333333"/>
                <w:kern w:val="0"/>
                <w:sz w:val="21"/>
                <w:szCs w:val="21"/>
                <w:shd w:val="clear" w:color="auto" w:fill="FFFFFF"/>
              </w:rPr>
            </w:pPr>
            <w:r>
              <w:rPr>
                <w:rFonts w:hint="eastAsia" w:ascii="方正楷体_GBK" w:hAnsi="方正楷体_GBK" w:eastAsia="方正楷体_GBK" w:cs="方正楷体_GBK"/>
                <w:bCs/>
                <w:color w:val="333333"/>
                <w:kern w:val="0"/>
                <w:sz w:val="21"/>
                <w:szCs w:val="21"/>
                <w:shd w:val="clear" w:color="auto" w:fill="FFFFFF"/>
              </w:rPr>
              <w:t>（五）不予</w:t>
            </w:r>
          </w:p>
          <w:p>
            <w:pPr>
              <w:spacing w:line="280" w:lineRule="exact"/>
              <w:jc w:val="center"/>
              <w:rPr>
                <w:rFonts w:ascii="方正楷体_GBK" w:hAnsi="方正楷体_GBK" w:eastAsia="方正楷体_GBK" w:cs="方正楷体_GBK"/>
                <w:bCs/>
                <w:color w:val="333333"/>
                <w:kern w:val="0"/>
                <w:sz w:val="21"/>
                <w:szCs w:val="21"/>
                <w:shd w:val="clear" w:color="auto" w:fill="FFFFFF"/>
              </w:rPr>
            </w:pPr>
            <w:r>
              <w:rPr>
                <w:rFonts w:hint="eastAsia" w:ascii="方正楷体_GBK" w:hAnsi="方正楷体_GBK" w:eastAsia="方正楷体_GBK" w:cs="方正楷体_GBK"/>
                <w:bCs/>
                <w:color w:val="333333"/>
                <w:kern w:val="0"/>
                <w:sz w:val="21"/>
                <w:szCs w:val="21"/>
                <w:shd w:val="clear" w:color="auto" w:fill="FFFFFF"/>
              </w:rPr>
              <w:t>处理</w:t>
            </w: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1.</w:t>
            </w:r>
            <w:r>
              <w:rPr>
                <w:rFonts w:hint="eastAsia" w:ascii="方正楷体_GBK" w:hAnsi="方正楷体_GBK" w:eastAsia="方正楷体_GBK" w:cs="方正楷体_GBK"/>
                <w:bCs/>
                <w:color w:val="333333"/>
                <w:kern w:val="0"/>
                <w:sz w:val="21"/>
                <w:szCs w:val="21"/>
                <w:shd w:val="clear" w:color="auto" w:fill="FFFFFF"/>
              </w:rPr>
              <w:t>信访举报投诉类申请</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2.</w:t>
            </w:r>
            <w:r>
              <w:rPr>
                <w:rFonts w:hint="eastAsia" w:ascii="方正楷体_GBK" w:hAnsi="方正楷体_GBK" w:eastAsia="方正楷体_GBK" w:cs="方正楷体_GBK"/>
                <w:bCs/>
                <w:color w:val="333333"/>
                <w:kern w:val="0"/>
                <w:sz w:val="21"/>
                <w:szCs w:val="21"/>
                <w:shd w:val="clear" w:color="auto" w:fill="FFFFFF"/>
              </w:rPr>
              <w:t>重复申请</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3.</w:t>
            </w:r>
            <w:r>
              <w:rPr>
                <w:rFonts w:hint="eastAsia" w:ascii="方正楷体_GBK" w:hAnsi="方正楷体_GBK" w:eastAsia="方正楷体_GBK" w:cs="方正楷体_GBK"/>
                <w:bCs/>
                <w:color w:val="333333"/>
                <w:kern w:val="0"/>
                <w:sz w:val="21"/>
                <w:szCs w:val="21"/>
                <w:shd w:val="clear" w:color="auto" w:fill="FFFFFF"/>
              </w:rPr>
              <w:t>要求提供公开出版物</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4.</w:t>
            </w:r>
            <w:r>
              <w:rPr>
                <w:rFonts w:hint="eastAsia" w:ascii="方正楷体_GBK" w:hAnsi="方正楷体_GBK" w:eastAsia="方正楷体_GBK" w:cs="方正楷体_GBK"/>
                <w:bCs/>
                <w:color w:val="333333"/>
                <w:kern w:val="0"/>
                <w:sz w:val="21"/>
                <w:szCs w:val="21"/>
                <w:shd w:val="clear" w:color="auto" w:fill="FFFFFF"/>
              </w:rPr>
              <w:t>无正当理由大量反复申请</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790" w:type="dxa"/>
            <w:vMerge w:val="continue"/>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p>
        </w:tc>
        <w:tc>
          <w:tcPr>
            <w:tcW w:w="1698" w:type="dxa"/>
            <w:vAlign w:val="center"/>
          </w:tcPr>
          <w:p>
            <w:pPr>
              <w:spacing w:line="280" w:lineRule="exact"/>
              <w:rPr>
                <w:rFonts w:ascii="方正楷体_GBK" w:hAnsi="方正楷体_GBK" w:eastAsia="方正楷体_GBK" w:cs="方正楷体_GBK"/>
                <w:bCs/>
                <w:color w:val="333333"/>
                <w:kern w:val="0"/>
                <w:sz w:val="21"/>
                <w:szCs w:val="21"/>
                <w:shd w:val="clear" w:color="auto" w:fill="FFFFFF"/>
              </w:rPr>
            </w:pPr>
            <w:r>
              <w:rPr>
                <w:rFonts w:ascii="方正楷体_GBK" w:hAnsi="方正楷体_GBK" w:eastAsia="方正楷体_GBK" w:cs="方正楷体_GBK"/>
                <w:bCs/>
                <w:color w:val="333333"/>
                <w:kern w:val="0"/>
                <w:sz w:val="21"/>
                <w:szCs w:val="21"/>
                <w:shd w:val="clear" w:color="auto" w:fill="FFFFFF"/>
              </w:rPr>
              <w:t>5.</w:t>
            </w:r>
            <w:r>
              <w:rPr>
                <w:rFonts w:hint="eastAsia" w:ascii="方正楷体_GBK" w:hAnsi="方正楷体_GBK" w:eastAsia="方正楷体_GBK" w:cs="方正楷体_GBK"/>
                <w:bCs/>
                <w:color w:val="333333"/>
                <w:kern w:val="0"/>
                <w:sz w:val="21"/>
                <w:szCs w:val="21"/>
                <w:shd w:val="clear" w:color="auto" w:fill="FFFFFF"/>
              </w:rPr>
              <w:t>要求行政机关确认或重新出具已获取信息</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2488" w:type="dxa"/>
            <w:gridSpan w:val="2"/>
            <w:vAlign w:val="center"/>
          </w:tcPr>
          <w:p>
            <w:pPr>
              <w:spacing w:line="360" w:lineRule="exact"/>
              <w:jc w:val="left"/>
              <w:rPr>
                <w:rFonts w:ascii="方正仿宋_GBK" w:cs="方正仿宋_GBK"/>
                <w:bCs/>
                <w:color w:val="333333"/>
                <w:kern w:val="0"/>
                <w:sz w:val="24"/>
                <w:shd w:val="clear" w:color="auto" w:fill="FFFFFF"/>
              </w:rPr>
            </w:pPr>
            <w:r>
              <w:rPr>
                <w:rFonts w:hint="eastAsia" w:ascii="方正楷体_GBK" w:hAnsi="方正楷体_GBK" w:eastAsia="方正楷体_GBK" w:cs="方正楷体_GBK"/>
                <w:bCs/>
                <w:color w:val="333333"/>
                <w:kern w:val="0"/>
                <w:sz w:val="21"/>
                <w:szCs w:val="21"/>
                <w:shd w:val="clear" w:color="auto" w:fill="FFFFFF"/>
              </w:rPr>
              <w:t>（六）其他处理</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23" w:type="dxa"/>
            <w:vMerge w:val="continue"/>
            <w:vAlign w:val="center"/>
          </w:tcPr>
          <w:p>
            <w:pPr>
              <w:spacing w:line="360" w:lineRule="exact"/>
              <w:jc w:val="center"/>
              <w:rPr>
                <w:rFonts w:ascii="方正仿宋_GBK" w:cs="方正仿宋_GBK"/>
                <w:bCs/>
                <w:color w:val="333333"/>
                <w:kern w:val="0"/>
                <w:sz w:val="24"/>
                <w:shd w:val="clear" w:color="auto" w:fill="FFFFFF"/>
              </w:rPr>
            </w:pPr>
          </w:p>
        </w:tc>
        <w:tc>
          <w:tcPr>
            <w:tcW w:w="2488" w:type="dxa"/>
            <w:gridSpan w:val="2"/>
            <w:vAlign w:val="center"/>
          </w:tcPr>
          <w:p>
            <w:pPr>
              <w:spacing w:line="360" w:lineRule="exact"/>
              <w:jc w:val="left"/>
              <w:rPr>
                <w:rFonts w:ascii="方正仿宋_GBK" w:cs="方正仿宋_GBK"/>
                <w:bCs/>
                <w:color w:val="333333"/>
                <w:kern w:val="0"/>
                <w:sz w:val="24"/>
                <w:shd w:val="clear" w:color="auto" w:fill="FFFFFF"/>
              </w:rPr>
            </w:pPr>
            <w:r>
              <w:rPr>
                <w:rFonts w:hint="eastAsia" w:ascii="方正楷体_GBK" w:hAnsi="方正楷体_GBK" w:eastAsia="方正楷体_GBK" w:cs="方正楷体_GBK"/>
                <w:bCs/>
                <w:color w:val="333333"/>
                <w:kern w:val="0"/>
                <w:sz w:val="21"/>
                <w:szCs w:val="21"/>
                <w:shd w:val="clear" w:color="auto" w:fill="FFFFFF"/>
              </w:rPr>
              <w:t>（七）总计</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default"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3311" w:type="dxa"/>
            <w:gridSpan w:val="3"/>
            <w:vAlign w:val="center"/>
          </w:tcPr>
          <w:p>
            <w:pPr>
              <w:spacing w:line="360" w:lineRule="exact"/>
              <w:jc w:val="left"/>
              <w:rPr>
                <w:rFonts w:ascii="方正仿宋_GBK" w:cs="方正仿宋_GBK"/>
                <w:bCs/>
                <w:color w:val="333333"/>
                <w:kern w:val="0"/>
                <w:sz w:val="24"/>
                <w:shd w:val="clear" w:color="auto" w:fill="FFFFFF"/>
              </w:rPr>
            </w:pPr>
            <w:r>
              <w:rPr>
                <w:rFonts w:hint="eastAsia" w:ascii="方正仿宋_GBK" w:hAnsi="方正仿宋_GBK" w:cs="方正仿宋_GBK"/>
                <w:bCs/>
                <w:color w:val="333333"/>
                <w:kern w:val="0"/>
                <w:sz w:val="24"/>
                <w:shd w:val="clear" w:color="auto" w:fill="FFFFFF"/>
              </w:rPr>
              <w:t>四、结转下年度继续办理</w:t>
            </w:r>
          </w:p>
        </w:tc>
        <w:tc>
          <w:tcPr>
            <w:tcW w:w="88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6"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82"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41"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1009"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c>
          <w:tcPr>
            <w:tcW w:w="995" w:type="dxa"/>
            <w:vAlign w:val="center"/>
          </w:tcPr>
          <w:p>
            <w:pPr>
              <w:spacing w:line="360" w:lineRule="exact"/>
              <w:jc w:val="center"/>
              <w:rPr>
                <w:rFonts w:hint="eastAsia" w:ascii="方正仿宋_GBK" w:eastAsia="宋体" w:cs="方正仿宋_GBK"/>
                <w:bCs/>
                <w:color w:val="333333"/>
                <w:kern w:val="0"/>
                <w:sz w:val="24"/>
                <w:shd w:val="clear" w:color="auto" w:fill="FFFFFF"/>
                <w:lang w:val="en-US" w:eastAsia="zh-CN"/>
              </w:rPr>
            </w:pPr>
            <w:r>
              <w:rPr>
                <w:rFonts w:hint="eastAsia" w:ascii="方正仿宋_GBK" w:cs="方正仿宋_GBK"/>
                <w:bCs/>
                <w:color w:val="333333"/>
                <w:kern w:val="0"/>
                <w:sz w:val="24"/>
                <w:shd w:val="clear" w:color="auto" w:fill="FFFFFF"/>
                <w:lang w:val="en-US" w:eastAsia="zh-CN"/>
              </w:rPr>
              <w:t>0</w:t>
            </w:r>
          </w:p>
        </w:tc>
      </w:tr>
    </w:tbl>
    <w:p>
      <w:pPr>
        <w:widowControl/>
        <w:jc w:val="left"/>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四、政府信息公开行政复议、行政诉讼情况</w:t>
      </w:r>
    </w:p>
    <w:tbl>
      <w:tblPr>
        <w:tblStyle w:val="5"/>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00" w:type="dxa"/>
            <w:gridSpan w:val="5"/>
            <w:vMerge w:val="restart"/>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行政复议</w:t>
            </w:r>
          </w:p>
        </w:tc>
        <w:tc>
          <w:tcPr>
            <w:tcW w:w="6800" w:type="dxa"/>
            <w:gridSpan w:val="10"/>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00" w:type="dxa"/>
            <w:gridSpan w:val="5"/>
            <w:vMerge w:val="continue"/>
            <w:vAlign w:val="center"/>
          </w:tcPr>
          <w:p>
            <w:pPr>
              <w:spacing w:line="360" w:lineRule="exact"/>
              <w:jc w:val="center"/>
              <w:rPr>
                <w:rFonts w:ascii="方正仿宋_GBK" w:cs="方正仿宋_GBK"/>
                <w:bCs/>
                <w:color w:val="333333"/>
                <w:sz w:val="24"/>
                <w:shd w:val="clear" w:color="auto" w:fill="FFFFFF"/>
              </w:rPr>
            </w:pPr>
          </w:p>
        </w:tc>
        <w:tc>
          <w:tcPr>
            <w:tcW w:w="3400" w:type="dxa"/>
            <w:gridSpan w:val="5"/>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未经复议直接起诉</w:t>
            </w:r>
          </w:p>
        </w:tc>
        <w:tc>
          <w:tcPr>
            <w:tcW w:w="3400" w:type="dxa"/>
            <w:gridSpan w:val="5"/>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结果维持</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结果纠正</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其他结果</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尚未审结</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总计</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结果维持</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结果纠正</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其他结果</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尚未审结</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总计</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结果维持</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结果纠正</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其他结果</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尚未审结</w:t>
            </w:r>
          </w:p>
        </w:tc>
        <w:tc>
          <w:tcPr>
            <w:tcW w:w="680" w:type="dxa"/>
            <w:vAlign w:val="center"/>
          </w:tcPr>
          <w:p>
            <w:pPr>
              <w:spacing w:line="360" w:lineRule="exact"/>
              <w:jc w:val="center"/>
              <w:rPr>
                <w:rFonts w:ascii="方正仿宋_GBK" w:cs="方正仿宋_GBK"/>
                <w:bCs/>
                <w:color w:val="333333"/>
                <w:sz w:val="24"/>
                <w:shd w:val="clear" w:color="auto" w:fill="FFFFFF"/>
              </w:rPr>
            </w:pPr>
            <w:r>
              <w:rPr>
                <w:rFonts w:hint="eastAsia" w:ascii="方正仿宋_GBK" w:hAnsi="方正仿宋_GBK" w:cs="方正仿宋_GBK"/>
                <w:bCs/>
                <w:color w:val="333333"/>
                <w:sz w:val="24"/>
                <w:shd w:val="clear" w:color="auto" w:fill="FFFFFF"/>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pPr>
              <w:spacing w:line="360" w:lineRule="exact"/>
              <w:jc w:val="center"/>
              <w:rPr>
                <w:rFonts w:hint="default"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default"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default"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eastAsia"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c>
          <w:tcPr>
            <w:tcW w:w="680" w:type="dxa"/>
            <w:vAlign w:val="center"/>
          </w:tcPr>
          <w:p>
            <w:pPr>
              <w:spacing w:line="360" w:lineRule="exact"/>
              <w:jc w:val="center"/>
              <w:rPr>
                <w:rFonts w:hint="default" w:ascii="新宋体" w:hAnsi="新宋体" w:eastAsia="新宋体" w:cs="新宋体"/>
                <w:bCs/>
                <w:color w:val="333333"/>
                <w:sz w:val="24"/>
                <w:shd w:val="clear" w:color="auto" w:fill="FFFFFF"/>
                <w:lang w:val="en-US" w:eastAsia="zh-CN"/>
              </w:rPr>
            </w:pPr>
            <w:r>
              <w:rPr>
                <w:rFonts w:hint="eastAsia" w:ascii="新宋体" w:hAnsi="新宋体" w:eastAsia="新宋体" w:cs="新宋体"/>
                <w:bCs/>
                <w:color w:val="333333"/>
                <w:sz w:val="24"/>
                <w:shd w:val="clear" w:color="auto" w:fill="FFFFFF"/>
                <w:lang w:val="en-US" w:eastAsia="zh-CN"/>
              </w:rPr>
              <w:t>0</w:t>
            </w:r>
          </w:p>
        </w:tc>
      </w:tr>
    </w:tbl>
    <w:p>
      <w:pPr>
        <w:pStyle w:val="4"/>
        <w:keepNext w:val="0"/>
        <w:keepLines w:val="0"/>
        <w:widowControl/>
        <w:suppressLineNumbers w:val="0"/>
        <w:spacing w:before="0" w:beforeAutospacing="0" w:after="0" w:afterAutospacing="0"/>
        <w:jc w:val="both"/>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640" w:firstLineChars="20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lang w:val="en-US" w:eastAsia="zh-CN"/>
        </w:rPr>
        <w:t>存在主要问题</w:t>
      </w:r>
      <w:r>
        <w:rPr>
          <w:rFonts w:hint="eastAsia" w:ascii="宋体" w:hAnsi="宋体" w:eastAsia="宋体" w:cs="宋体"/>
          <w:i w:val="0"/>
          <w:iCs w:val="0"/>
          <w:caps w:val="0"/>
          <w:color w:val="000000"/>
          <w:spacing w:val="0"/>
          <w:sz w:val="32"/>
          <w:szCs w:val="32"/>
          <w:shd w:val="clear" w:fill="FFFFFF"/>
        </w:rPr>
        <w:t>：一是主动公开工作落实不到位，</w:t>
      </w:r>
      <w:r>
        <w:rPr>
          <w:rFonts w:hint="eastAsia" w:ascii="宋体" w:hAnsi="宋体" w:eastAsia="宋体" w:cs="宋体"/>
          <w:i w:val="0"/>
          <w:iCs w:val="0"/>
          <w:caps w:val="0"/>
          <w:color w:val="000000"/>
          <w:spacing w:val="0"/>
          <w:sz w:val="32"/>
          <w:szCs w:val="32"/>
          <w:shd w:val="clear" w:fill="FFFFFF"/>
          <w:lang w:val="en-US" w:eastAsia="zh-CN"/>
        </w:rPr>
        <w:t>公开</w:t>
      </w:r>
      <w:r>
        <w:rPr>
          <w:rFonts w:hint="eastAsia" w:ascii="宋体" w:hAnsi="宋体" w:eastAsia="宋体" w:cs="宋体"/>
          <w:i w:val="0"/>
          <w:iCs w:val="0"/>
          <w:caps w:val="0"/>
          <w:color w:val="000000"/>
          <w:spacing w:val="0"/>
          <w:sz w:val="32"/>
          <w:szCs w:val="32"/>
          <w:shd w:val="clear" w:fill="FFFFFF"/>
        </w:rPr>
        <w:t>不及时</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二是公开载体建设不完善，各政务公开平台之间的契合程度还需进一步提高</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三是我局工作量大、工作任务重，人手紧缺，无专职从事政府信息公开工作的人员。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0" w:firstLineChars="20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lang w:val="en-US" w:eastAsia="zh-CN"/>
        </w:rPr>
        <w:t>整改措施：</w:t>
      </w:r>
      <w:r>
        <w:rPr>
          <w:rFonts w:hint="eastAsia" w:ascii="宋体" w:hAnsi="宋体" w:eastAsia="宋体" w:cs="宋体"/>
          <w:i w:val="0"/>
          <w:iCs w:val="0"/>
          <w:caps w:val="0"/>
          <w:color w:val="000000"/>
          <w:spacing w:val="0"/>
          <w:sz w:val="32"/>
          <w:szCs w:val="32"/>
          <w:shd w:val="clear" w:fill="FFFFFF"/>
        </w:rPr>
        <w:t>针对以上存在的问题，我局将高度重视，继续深入贯彻落实有关文件精神，进一步改进工作方法，完善推进措施，加大检查力度，着重抓好以下工作：一是加强各股室沟通及时梳理信息及时公开</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二是着力加强政务公开载体、平台建设和政府信息公开制度建设，充分发挥政府信息公开的综合效应</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三是我局将加强政府信息公开相关学习培训，配齐人员，保障经费，加大政府信息公开力度。</w:t>
      </w:r>
    </w:p>
    <w:p>
      <w:pPr>
        <w:pStyle w:val="4"/>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六、其他需要报告的事项</w:t>
      </w:r>
    </w:p>
    <w:p>
      <w:pPr>
        <w:spacing w:line="64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23F5B"/>
    <w:multiLevelType w:val="singleLevel"/>
    <w:tmpl w:val="28523F5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732B4"/>
    <w:rsid w:val="28245882"/>
    <w:rsid w:val="2B724B56"/>
    <w:rsid w:val="362178A5"/>
    <w:rsid w:val="3729237A"/>
    <w:rsid w:val="4F2A1121"/>
    <w:rsid w:val="5FEF347A"/>
    <w:rsid w:val="647E512F"/>
    <w:rsid w:val="6785721D"/>
    <w:rsid w:val="68DE26C8"/>
    <w:rsid w:val="69C702C1"/>
    <w:rsid w:val="7A480529"/>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eastAsia="仿宋_GB2312"/>
      <w:kern w:val="0"/>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2022-02-08T08:47:00Z</dcterms:created>
  <dc:creator>Administrator</dc:creator>
  <cp:lastModifiedBy>风轻云淡</cp:lastModifiedBy>
  <dcterms:modified xsi:type="dcterms:W3CDTF">2022-02-09T02:07:18Z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1C69CB4EE1564E58B075C39C9A25AACE</vt:lpwstr>
  </property>
</Properties>
</file>